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2643d2_425.htm"/>
      <w:bookmarkStart w:id="1" w:name="kstm2622643d2_425"/>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4,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375"/>
        <w:gridCol w:w="60"/>
        <w:gridCol w:w="2210"/>
        <w:gridCol w:w="60"/>
        <w:gridCol w:w="2780"/>
      </w:tblGrid>
      <w:tr>
        <w:trPr/>
        <w:tc>
          <w:tcPr>
            <w:tcW w:w="2375" w:type="dxa"/>
            <w:tcBorders>
              <w:bottom w:val="single" w:sz="8"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r>
              <w:rPr>
                <w:b/>
              </w:rPr>
              <w:t>001-05560</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rPr>
            </w:pPr>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5260 California Avenue</w:t>
        <w:br/>
        <w:t>Irvine, 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830"/>
        <w:gridCol w:w="378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Entry into a Material Definitive Agreement.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Skyworks Solutions, Inc., a Delaware corporation (the “Company”), issued $800,000,000 5.000% Senior Notes due 2028 (the “2028 Notes”), $600,000,000 5.750% Senior Notes due 2032 (the “2032 Notes”) and $600,000,000 6.250% Senior Notes due 2036 (the “2036 Notes” and, collectively with the 2028 Notes and the 2032 Notes, the “Notes”), pursuant to the Company’s registration statement on Form S-3ASR (File No. 333-297918) filed with the Securities and Exchange Commission (the “SEC”) on August 3, 2026. The Company intends to use the net proceeds received from the sale of the Notes, together with its existing cash and cash equivalents, to finance the cash consideration of approximately $3.00 billion for the Mergers (as defined below). In the event the consummation of the Mergers does not occur, the Company intends to use the net proceeds from the 2032 Notes for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Notes are governed by an Indenture, dated as of August 10, 2026 (the “Base Indenture”), as supplemented by a First Supplemental Indenture with respect to the 2028 Notes, a Second Supplemental Indenture with respect to the 2032 Notes and a Third Supplemental Indenture with respect to the 2036 Notes, each dated as of August 10, 2026 (collectively, the “Supplemental Indentures” and, collectively with the Base Indenture, the “Indenture”), in each case by and between the Company and U.S. Bank Trust Company, National Association, as trustee. The Indenture contains customary covenants that, among other things, limit the ability of the Company, with certain exceptions, to incur debt secured by liens, engage in sale and leaseback transactions and enter into certain consolidations, mergers and transfers of all or substantially all of the assets of the Company and its subsidiaries, taken as a whole.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 portion of the Notes of any series at any time and from time to time prior to maturity, in whole or in part, for cash at the applicable redemption prices set forth in the applicable Supplemental Indenture. If the Company undergoes a change of control repurchase event, as defined in the Indenture, with respect to a series of Notes, holders may require the Company to repurchase the Notes of such series in whole or in part for cash at a price equal to 101% of the principal amount of the Notes to be purchased, plus any accrued and unpaid interest to, but not including, the repurchase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 the consummation of the acquisition (the “Mergers”) of Qorvo, Inc., a Delaware corporation (“Qorvo”), pursuant to the Agreement and Plan of Merger, dated as of October 27, 2025, as amended, supplemented, amended and restated, restated or otherwise modified from time to time (the “Merger Agreement”), by and among the Company, Comet Acquisition Corp., a Delaware corporation, Comet Acquisition II, LLC, a Delaware limited liability company, and Qorvo does not occur on or before 11:59 p.m. Pacific Time on November 3, 2027, (ii) the Company notifies the trustee and the holders of the 2028 Notes and the 2036 Notes that it will not pursue the consummation of the Mergers, or (iii) the Merger Agreement has been terminated without the consummation of the Mergers, the 2028 Notes and the 2036 Notes will be subject to a special mandatory redemption upon the terms and at the redemption price set forth in the Supplemental Indenture governing such series of Notes. The 2032 Notes will not be subject to any special mandatory redemption if the Mergers are not completed.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events of default, including failure to make required payments of principal and interest, certain events of bankruptcy and insolvency and default in the performance or breach of any covenant or warranty contained in the Indenture or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2028 Notes will bear interest from and including August 10, 2026 at the rate of 5.000% per annum, the 2032 Notes will bear interest from and including August 10, 2026 at the rate of 5.750% per annum and the 2036 Notes will bear interest from and including August 10, 2026 at the rate of 6.250% per annum.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the Company’s senior unsecured obligations and are equal in right of payment with its other senior unsecured debt. The Notes are effectively subordinated to the Company’s secured debt, to the extent of the value of the assets securing that debt. The Notes are not obligations of any of the Company’s subsidiaries and, accordingly, are structurally subordinated to all obligations of the Company’s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summaries of the Base Indenture, the First Supplemental Indenture, the Second Supplemental Indenture, the Third Supplemental Indenture and the Notes do not purport to be complete discussions of those agreements or related documents and are qualified in their entirety by reference to the full text of those agreements, copies of which are filed herewith as Exhibits 4.1, 4.2, 4.3, 4.4, 4.5, 4.6 and 4.7, respectively, and incorporated herein by reference.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9397"/>
      </w:tblGrid>
      <w:tr>
        <w:trPr/>
        <w:tc>
          <w:tcPr>
            <w:tcW w:w="80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2.03</w:t>
            </w:r>
          </w:p>
        </w:tc>
        <w:tc>
          <w:tcPr>
            <w:tcW w:w="93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Creation of a Direct Financial Obligation or an Obligation under an Off-Balance Sheet Arrangement of a Registrant.</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contained under Item 1.01 above is hereby incorporated by reference in its entirety into this Item 2.03.</w:t>
      </w:r>
    </w:p>
    <w:p>
      <w:pPr>
        <w:pStyle w:val="TextBody"/>
        <w:bidi w:val="0"/>
        <w:spacing w:before="0" w:after="0"/>
        <w:ind w:left="0" w:right="0" w:firstLine="72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30"/>
        <w:gridCol w:w="123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Company entered into an Underwriting Agreement, dated August 4, 2026 (the “Underwriting Agreement”), by and among the Company and Goldman Sachs &amp; Co. LLC, BofA Securities, Inc., J.P. Morgan Securities LLC and Wells Fargo Securities, LLC, as representatives of the several underwriters named therein, with respect to the sale of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summary of the Underwriting Agreement does not purport to be a complete discussion of that agreement or related documents and is qualified in its entirety by reference to the full text of that agreement, a copy of which is filed herewith as Exhibit 1.1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including statements about the intended use of proceeds of the Notes and about the Mergers, within the meaning of Section 27A of the Securities Act of 1933, as amended, and Section 21E of the Securities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Although forward-looking statements in this report reflect the good faith judgment of the Company’s management as of the date the statement is first made, such statements can only be based on facts and factors then known and understood by the Company. Consequently, forward-looking statements involve inherent risks and uncertainties, and actual results and outcomes may differ materially and adversely from the results and outcomes discussed in or anticipated by the forward-looking statements. A number of important factors could cause actual results to differ materially and adversely from those in the forward-looking statements. You should consider the risks and uncertainties discussed in the Company’s Annual Report on Form 10-K for the year ended October 3, 2025, under the heading “Risk Factors” and in the other documents filed by the Company with the SEC in evaluating the Company’s forward-looking statements. The Company has no plans, and undertakes no obligation, to revise or update its forward-looking statements to reflect any event or circumstance that may arise after the date of this report. The Company cautions readers not to place undue reliance upon any such forward-looking statements, which speak only as of the date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the Company has filed with the SEC a registration statement on Form S-4, which includes a proxy statement of Qorvo that also constitutes a prospectus for the shares of Company common stock to be offered in the Mergers (collectively, the “Mergers Registration Statement and Proxy Statement/Prospectus”). Each of the Company and Qorvo may also file other relevant documents with the SEC regarding the Mergers. This communication is not a substitute for the proxy statement/prospectus or registration statement or any other document that the Company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THE COMPANY, QORVO, THE MERGERS AND RELATED MATTERS. Investors and security holders can obtain free copies of the Mergers Registration Statement and Proxy Statement/Prospectus and other documents containing important information about the Company, Qorvo and the Mergers filed with the SEC through the website maintained by the SEC at www.sec.gov. The documents filed by the Company with the SEC also may be obtained free of charge at the Company’s website at https://www.skyworksinc.com/investors or upon written request to the Company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pPr>
            <w:hyperlink w:anchor="tm2622643d2_ex1-1.htm">
              <w:r>
                <w:rPr>
                  <w:rStyle w:val="InternetLink"/>
                  <w:rFonts w:ascii="Times New Roman;Times;Serif" w:hAnsi="Times New Roman;Times;Serif"/>
                  <w:b/>
                  <w:sz w:val="20"/>
                </w:rPr>
                <w:t>1.1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1-1.htm">
              <w:r>
                <w:rPr>
                  <w:rStyle w:val="InternetLink"/>
                  <w:rFonts w:ascii="Times New Roman;Times;Serif" w:hAnsi="Times New Roman;Times;Serif"/>
                  <w:sz w:val="20"/>
                </w:rPr>
                <w:t>Underwriting Agreement, dated as of August 4, 2026, by and among the Company and Goldman Sachs &amp; Co. LLC, BofA Securities, Inc., J.P. Morgan Securities LLC and Wells Fargo Securities, LLC, as representatives of the several underwriters named therein</w:t>
              </w:r>
            </w:hyperlink>
          </w:p>
        </w:tc>
      </w:tr>
      <w:tr>
        <w:trPr/>
        <w:tc>
          <w:tcPr>
            <w:tcW w:w="725" w:type="dxa"/>
            <w:tcBorders/>
            <w:tcMar>
              <w:bottom w:w="0" w:type="dxa"/>
            </w:tcMar>
            <w:vAlign w:val="center"/>
          </w:tcPr>
          <w:p>
            <w:pPr>
              <w:pStyle w:val="TableContents"/>
              <w:bidi w:val="0"/>
              <w:spacing w:before="0" w:after="283"/>
              <w:jc w:val="left"/>
              <w:rPr/>
            </w:pPr>
            <w:hyperlink w:anchor="tm2622643d2_ex4-1.htm">
              <w:r>
                <w:rPr>
                  <w:rStyle w:val="InternetLink"/>
                  <w:rFonts w:ascii="Times New Roman;Times;Serif" w:hAnsi="Times New Roman;Times;Serif"/>
                  <w:b/>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1.htm">
              <w:r>
                <w:rPr>
                  <w:rStyle w:val="InternetLink"/>
                  <w:rFonts w:ascii="Times New Roman;Times;Serif" w:hAnsi="Times New Roman;Times;Serif"/>
                  <w:sz w:val="20"/>
                </w:rPr>
                <w:t>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2_ex4-2.htm">
              <w:r>
                <w:rPr>
                  <w:rStyle w:val="InternetLink"/>
                  <w:rFonts w:ascii="Times New Roman;Times;Serif" w:hAnsi="Times New Roman;Times;Serif"/>
                  <w:b/>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2.htm">
              <w:r>
                <w:rPr>
                  <w:rStyle w:val="InternetLink"/>
                  <w:rFonts w:ascii="Times New Roman;Times;Serif" w:hAnsi="Times New Roman;Times;Serif"/>
                  <w:sz w:val="20"/>
                </w:rPr>
                <w:t>First Supplemental 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2_ex4-3.htm">
              <w:r>
                <w:rPr>
                  <w:rStyle w:val="InternetLink"/>
                  <w:rFonts w:ascii="Times New Roman;Times;Serif" w:hAnsi="Times New Roman;Times;Serif"/>
                  <w:b/>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3.htm">
              <w:r>
                <w:rPr>
                  <w:rStyle w:val="InternetLink"/>
                  <w:rFonts w:ascii="Times New Roman;Times;Serif" w:hAnsi="Times New Roman;Times;Serif"/>
                  <w:sz w:val="20"/>
                </w:rPr>
                <w:t>Second Supplemental 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2_ex4-4.htm">
              <w:r>
                <w:rPr>
                  <w:rStyle w:val="InternetLink"/>
                  <w:rFonts w:ascii="Times New Roman;Times;Serif" w:hAnsi="Times New Roman;Times;Serif"/>
                  <w:b/>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4.htm">
              <w:r>
                <w:rPr>
                  <w:rStyle w:val="InternetLink"/>
                  <w:rFonts w:ascii="Times New Roman;Times;Serif" w:hAnsi="Times New Roman;Times;Serif"/>
                  <w:sz w:val="20"/>
                </w:rPr>
                <w:t>Third Supplemental Indenture, dated as of August 10, 2026, by and between the Company and U.S. Bank Trust Company, National Association</w:t>
              </w:r>
            </w:hyperlink>
          </w:p>
        </w:tc>
      </w:tr>
      <w:tr>
        <w:trPr/>
        <w:tc>
          <w:tcPr>
            <w:tcW w:w="725" w:type="dxa"/>
            <w:tcBorders/>
            <w:tcMar>
              <w:bottom w:w="0" w:type="dxa"/>
            </w:tcMar>
            <w:vAlign w:val="center"/>
          </w:tcPr>
          <w:p>
            <w:pPr>
              <w:pStyle w:val="TableContents"/>
              <w:bidi w:val="0"/>
              <w:spacing w:before="0" w:after="283"/>
              <w:jc w:val="left"/>
              <w:rPr/>
            </w:pPr>
            <w:hyperlink w:anchor="tm2622643d2_ex4-2.htm">
              <w:r>
                <w:rPr>
                  <w:rStyle w:val="InternetLink"/>
                  <w:rFonts w:ascii="Times New Roman;Times;Serif" w:hAnsi="Times New Roman;Times;Serif"/>
                  <w:b/>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2.htm">
              <w:r>
                <w:rPr>
                  <w:rStyle w:val="InternetLink"/>
                  <w:rFonts w:ascii="Times New Roman;Times;Serif" w:hAnsi="Times New Roman;Times;Serif"/>
                  <w:sz w:val="20"/>
                </w:rPr>
                <w:t>Form of 5.000% Senior Note due 2028 (included in Exhibit 4.2)</w:t>
              </w:r>
            </w:hyperlink>
          </w:p>
        </w:tc>
      </w:tr>
      <w:tr>
        <w:trPr/>
        <w:tc>
          <w:tcPr>
            <w:tcW w:w="725" w:type="dxa"/>
            <w:tcBorders/>
            <w:tcMar>
              <w:bottom w:w="0" w:type="dxa"/>
            </w:tcMar>
            <w:vAlign w:val="center"/>
          </w:tcPr>
          <w:p>
            <w:pPr>
              <w:pStyle w:val="TableContents"/>
              <w:bidi w:val="0"/>
              <w:spacing w:before="0" w:after="283"/>
              <w:jc w:val="left"/>
              <w:rPr/>
            </w:pPr>
            <w:hyperlink w:anchor="tm2622643d2_ex4-3.htm">
              <w:r>
                <w:rPr>
                  <w:rStyle w:val="InternetLink"/>
                  <w:rFonts w:ascii="Times New Roman;Times;Serif" w:hAnsi="Times New Roman;Times;Serif"/>
                  <w:b/>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3.htm">
              <w:r>
                <w:rPr>
                  <w:rStyle w:val="InternetLink"/>
                  <w:rFonts w:ascii="Times New Roman;Times;Serif" w:hAnsi="Times New Roman;Times;Serif"/>
                  <w:sz w:val="20"/>
                </w:rPr>
                <w:t>Form of 5.750% Senior Note due 2032 (included in Exhibit 4.3)</w:t>
              </w:r>
            </w:hyperlink>
          </w:p>
        </w:tc>
      </w:tr>
      <w:tr>
        <w:trPr/>
        <w:tc>
          <w:tcPr>
            <w:tcW w:w="725" w:type="dxa"/>
            <w:tcBorders/>
            <w:tcMar>
              <w:bottom w:w="0" w:type="dxa"/>
            </w:tcMar>
            <w:vAlign w:val="center"/>
          </w:tcPr>
          <w:p>
            <w:pPr>
              <w:pStyle w:val="TableContents"/>
              <w:bidi w:val="0"/>
              <w:spacing w:before="0" w:after="283"/>
              <w:jc w:val="left"/>
              <w:rPr/>
            </w:pPr>
            <w:hyperlink w:anchor="tm2622643d2_ex4-4.htm">
              <w:r>
                <w:rPr>
                  <w:rStyle w:val="InternetLink"/>
                  <w:rFonts w:ascii="Times New Roman;Times;Serif" w:hAnsi="Times New Roman;Times;Serif"/>
                  <w:b/>
                  <w:sz w:val="20"/>
                </w:rPr>
                <w:t>4.7</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4-4.htm">
              <w:r>
                <w:rPr>
                  <w:rStyle w:val="InternetLink"/>
                  <w:rFonts w:ascii="Times New Roman;Times;Serif" w:hAnsi="Times New Roman;Times;Serif"/>
                  <w:sz w:val="20"/>
                </w:rPr>
                <w:t>Form of 6.250% Senior Note due 2036 (included in Exhibit 4.4)</w:t>
              </w:r>
            </w:hyperlink>
          </w:p>
        </w:tc>
      </w:tr>
      <w:tr>
        <w:trPr/>
        <w:tc>
          <w:tcPr>
            <w:tcW w:w="725" w:type="dxa"/>
            <w:tcBorders/>
            <w:tcMar>
              <w:bottom w:w="0" w:type="dxa"/>
            </w:tcMar>
            <w:vAlign w:val="center"/>
          </w:tcPr>
          <w:p>
            <w:pPr>
              <w:pStyle w:val="TableContents"/>
              <w:bidi w:val="0"/>
              <w:spacing w:before="0" w:after="283"/>
              <w:jc w:val="left"/>
              <w:rPr/>
            </w:pPr>
            <w:hyperlink w:anchor="tm2622643d2_ex5-1.htm">
              <w:r>
                <w:rPr>
                  <w:rStyle w:val="InternetLink"/>
                  <w:rFonts w:ascii="Times New Roman;Times;Serif" w:hAnsi="Times New Roman;Times;Serif"/>
                  <w:b/>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5-1.htm">
              <w:r>
                <w:rPr>
                  <w:rStyle w:val="InternetLink"/>
                  <w:rFonts w:ascii="Times New Roman;Times;Serif" w:hAnsi="Times New Roman;Times;Serif"/>
                  <w:sz w:val="20"/>
                </w:rPr>
                <w:t>Opinion of Skadden, Arps, Slate, Meagher &amp; Flom LLP</w:t>
              </w:r>
            </w:hyperlink>
          </w:p>
        </w:tc>
      </w:tr>
      <w:tr>
        <w:trPr/>
        <w:tc>
          <w:tcPr>
            <w:tcW w:w="725" w:type="dxa"/>
            <w:tcBorders/>
            <w:tcMar>
              <w:bottom w:w="0" w:type="dxa"/>
            </w:tcMar>
            <w:vAlign w:val="center"/>
          </w:tcPr>
          <w:p>
            <w:pPr>
              <w:pStyle w:val="TableContents"/>
              <w:bidi w:val="0"/>
              <w:spacing w:before="0" w:after="283"/>
              <w:jc w:val="left"/>
              <w:rPr/>
            </w:pPr>
            <w:hyperlink w:anchor="tm2622643d2_ex5-1.htm">
              <w:r>
                <w:rPr>
                  <w:rStyle w:val="InternetLink"/>
                  <w:rFonts w:ascii="Times New Roman;Times;Serif" w:hAnsi="Times New Roman;Times;Serif"/>
                  <w:b/>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2643d2_ex5-1.htm">
              <w:r>
                <w:rPr>
                  <w:rStyle w:val="InternetLink"/>
                  <w:rFonts w:ascii="Times New Roman;Times;Serif" w:hAnsi="Times New Roman;Times;Serif"/>
                  <w:sz w:val="20"/>
                </w:rPr>
                <w:t>Consent of Skadden, Arps, Slate, Meagher &amp; Flom LLP (included in Exhibit 5.1)</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290"/>
        <w:gridCol w:w="4610"/>
      </w:tblGrid>
      <w:tr>
        <w:trPr/>
        <w:tc>
          <w:tcPr>
            <w:tcW w:w="7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75" w:type="dxa"/>
            <w:tcBorders/>
            <w:vAlign w:val="center"/>
          </w:tcPr>
          <w:p>
            <w:pPr>
              <w:pStyle w:val="TableContents"/>
              <w:bidi w:val="0"/>
              <w:spacing w:before="0" w:after="283"/>
              <w:jc w:val="both"/>
              <w:rPr/>
            </w:pPr>
            <w:r>
              <w:rPr/>
              <w:t> </w:t>
            </w:r>
          </w:p>
        </w:tc>
        <w:tc>
          <w:tcPr>
            <w:tcW w:w="49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643d2_ex1-1.htm"/>
      <w:bookmarkStart w:id="3" w:name="kstm2622643d2_ex1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 5.000% Senior Notes due 2028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 5.750% Senior Notes due 2032</w:t>
        <w:br/>
        <w:t>$600,000,000 6.250%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firstLine="648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Underwriters listed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BofA Securities,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Wells Fargo Securities,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Tryon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North Carolina 28202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issue and sell to the several Underwriters listed in Schedule 1 hereto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for whom you are acting as representatives (the “</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$800,000,000 principal amount of its 5.000%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$600,000,000 principal amount of its 5.750% Senior Notes due 2032 (the “</w:t>
      </w:r>
      <w:r>
        <w:rPr>
          <w:rFonts w:ascii="Times New Roman;Times;Serif" w:hAnsi="Times New Roman;Times;Serif"/>
          <w:b w:val="false"/>
          <w:i w:val="false"/>
          <w:caps w:val="false"/>
          <w:smallCaps w:val="false"/>
          <w:sz w:val="20"/>
          <w:u w:val="single"/>
        </w:rPr>
        <w:t>2032 Notes</w:t>
      </w:r>
      <w:r>
        <w:rPr>
          <w:rFonts w:ascii="Times New Roman;Times;Serif" w:hAnsi="Times New Roman;Times;Serif"/>
          <w:b w:val="false"/>
          <w:i w:val="false"/>
          <w:caps w:val="false"/>
          <w:smallCaps w:val="false"/>
          <w:sz w:val="20"/>
        </w:rPr>
        <w:t>”) and $600,000,000 principal amount of its 6.250%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and, together with the 2028 Notes and the 2032 Notes,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The Securities will be issued pursuant to an Indenture to be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amended by a First Supplemental Indenture to be dated as of August 10, 2026 with respect to the 2028 Notes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 Second Supplemental Indenture to be dated as of August 10, 2026 with respect to the 2032 Notes (the “</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and a Third Supplemental Indenture to be dated as of August 10, 2026 with respect to the 2036 Notes (the “</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and, together with the First Supplemental Indenture, the Second Supplemental Indenture and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several Underwriters concerning the purchase and sale of the Securities,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and the rules and regulations of the Commission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 registration statement on Form S-3ASR (File No. 333-297918), on August 3, 2026, relating to the Securities. Such registration statement, as amended at the time it became effective, including the information, if any, deemed pursuant to Rule 430A, 430B or 430C under the Securities Act to be part of the registration statement at the time of its effectiveness (“</w:t>
      </w:r>
      <w:r>
        <w:rPr>
          <w:rFonts w:ascii="Times New Roman;Times;Serif" w:hAnsi="Times New Roman;Times;Serif"/>
          <w:b w:val="false"/>
          <w:i w:val="false"/>
          <w:caps w:val="false"/>
          <w:smallCaps w:val="false"/>
          <w:sz w:val="20"/>
          <w:u w:val="single"/>
        </w:rPr>
        <w:t>Rule 430 Information</w:t>
      </w:r>
      <w:r>
        <w:rPr>
          <w:rFonts w:ascii="Times New Roman;Times;Serif" w:hAnsi="Times New Roman;Times;Serif"/>
          <w:b w:val="false"/>
          <w:i w:val="false"/>
          <w:caps w:val="false"/>
          <w:smallCaps w:val="false"/>
          <w:sz w:val="20"/>
        </w:rPr>
        <w:t>”), is referred to herein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as used herein, the term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 the form first used (or made available upon request of purchasers pursuant to Rule 173 under the Securities Act) in connection with confirmation of sales of the Securities. Any reference in this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Times New Roman;Times;Serif" w:hAnsi="Times New Roman;Times;Serif"/>
          <w:b w:val="false"/>
          <w:i w:val="false"/>
          <w:caps w:val="false"/>
          <w:smallCaps w:val="false"/>
          <w:sz w:val="20"/>
          <w:u w:val="single"/>
        </w:rPr>
        <w:t>amend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that are deemed to be incorporated by reference therein. Capitalized terms used but not defined herein shall have the meanings given to such terms in the Registration Statement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4:25 P.M., New York City time, on August 4, 2026, the time when sales of the Securities were first made (the “</w:t>
      </w:r>
      <w:r>
        <w:rPr>
          <w:rFonts w:ascii="Times New Roman;Times;Serif" w:hAnsi="Times New Roman;Times;Serif"/>
          <w:b w:val="false"/>
          <w:i w:val="false"/>
          <w:caps w:val="false"/>
          <w:smallCaps w:val="false"/>
          <w:sz w:val="20"/>
          <w:u w:val="single"/>
        </w:rPr>
        <w:t>Time of Sale</w:t>
      </w:r>
      <w:r>
        <w:rPr>
          <w:rFonts w:ascii="Times New Roman;Times;Serif" w:hAnsi="Times New Roman;Times;Serif"/>
          <w:b w:val="false"/>
          <w:i w:val="false"/>
          <w:caps w:val="false"/>
          <w:smallCaps w:val="false"/>
          <w:sz w:val="20"/>
        </w:rPr>
        <w:t>”), the Company had prepared the following information (collectively, the “</w:t>
      </w:r>
      <w:r>
        <w:rPr>
          <w:rFonts w:ascii="Times New Roman;Times;Serif" w:hAnsi="Times New Roman;Times;Serif"/>
          <w:b w:val="false"/>
          <w:i w:val="false"/>
          <w:caps w:val="false"/>
          <w:smallCaps w:val="false"/>
          <w:sz w:val="20"/>
          <w:u w:val="single"/>
        </w:rPr>
        <w:t>Time of Sale Information</w:t>
      </w:r>
      <w:r>
        <w:rPr>
          <w:rFonts w:ascii="Times New Roman;Times;Serif" w:hAnsi="Times New Roman;Times;Serif"/>
          <w:b w:val="false"/>
          <w:i w:val="false"/>
          <w:caps w:val="false"/>
          <w:smallCaps w:val="false"/>
          <w:sz w:val="20"/>
        </w:rPr>
        <w:t>”): a Preliminary Prospectus dated August 3, 2026, and each “</w:t>
      </w:r>
      <w:r>
        <w:rPr>
          <w:rFonts w:ascii="Times New Roman;Times;Serif" w:hAnsi="Times New Roman;Times;Serif"/>
          <w:b w:val="false"/>
          <w:i w:val="false"/>
          <w:caps w:val="false"/>
          <w:smallCaps w:val="false"/>
          <w:sz w:val="20"/>
          <w:u w:val="single"/>
        </w:rPr>
        <w:t>free-writing prospectus</w:t>
      </w:r>
      <w:r>
        <w:rPr>
          <w:rFonts w:ascii="Times New Roman;Times;Serif" w:hAnsi="Times New Roman;Times;Serif"/>
          <w:b w:val="false"/>
          <w:i w:val="false"/>
          <w:caps w:val="false"/>
          <w:smallCaps w:val="false"/>
          <w:sz w:val="20"/>
        </w:rPr>
        <w:t>” (as defined pursuant to Rule 405 under the Securities Act) listed on Annex A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an Agreement and Plan of Merger, dated as of October 27, 2025 (as amended, supplemented, amended and restated, restated or otherwise modified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Qorvo, Inc., a Delaware corporation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Comet Acquisition Corp., a Delaware corporation and a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pursuant to which, subject to the satisfaction or waiver of the conditions specified therein,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Company. The Company intends to use the net proceeds from the offering of the Securities, together with existing cash and cash equivalents, to finance the cash consideration of approximately $3.00 billion for the Mergers. In the event the consummation of the Mergers does not occur, the Company intends to use the net proceeds from the 2032 Notes for general corporate purposes. Subject to the terms of the Indenture, the 2028 Notes and the 2036 Notes will be redeemed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in whole and not in part, at a price equal to 101% of the aggregate principal amount of such Notes, plus accrued and unpaid interest thereon to, but excluding, the date of the Special Mandatory Redemption, in the event that (i) the consummation of the Mergers does not occur on or before 11:59 p.m. Pacific Time on November 3, 2027, (ii) the Company notifies the Trustee and the holders of the 2028 Notes and the 2036 Notes that it will not pursue the consummation of the Mergers or (iii) the Merger Agreement has been terminated without the consummation of the Mergers. The 2032 Notes will not be subject to the Special Mandatory Redemption if the Mergers are not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Purchase and Sale of the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(i) the respective principal amount of 2028 Notes set forth opposite such Underwriter’s name in Schedule 1 hereto at a price equal to 99.472% of the principal amount thereof plus accrued interest, if any, from August 10, 2026 to the Closing Date (as defined below), (ii) the respective principal amount of 2032 Notes set forth opposite such Underwriter’s name in Schedule 1 hereto at a price equal to 99.332% of the principal amount thereof plus accrued interest, if any, from August 10, 2026 to the Closing Date and (iii) the respective principal amount of 2036 Notes set forth opposite such Underwriter’s name in Schedule 1 hereto at a price equal to 98.030% of the principal amount thereof plus accrued interest, if any, from August 10, 2026 to the Closing Date. The Company will not be obligated to deliver any of the Securities except upon payment for all the Securities to be purchased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understands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for and delivery of the Securities will be made at the offices of Cravath, Swaine &amp; Moore LLP at 10:00 A.M., New York City time, on August 10, 2026,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for the Securities shall be made by wire transfer in immediately available funds to the account(s) specified by the Company to the Representatives against delivery to the nominee of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for the account of the Underwriters, of one or more global notes representing each series of Securities (collectively,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with any transfer taxes payable in connection with the sale of the Securities duly paid by the Company. The Global Notes will be made available for inspection by the Representatives not later than 1:00 P.M., New York City time, on the business day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acknowledges and agrees that each Underwriter is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any Representative or any Underwriter of the Company, the transactions contemplated hereby or other matters relating to such transactions will be performed solely for the benefit of such Representative or such Underwriter, as the case may be, and shall not be on behalf of the Company or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(it being understood that, prior to the Closing Date, all representations and warranties with respect to Qorvo and its subsidiaries are made to the knowledge of the Company) represents and warrants to each Underwriter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Preliminary Prospectus.</w:t>
      </w:r>
      <w:r>
        <w:rPr>
          <w:rFonts w:ascii="Times New Roman;Times;Serif" w:hAnsi="Times New Roman;Times;Serif"/>
          <w:b w:val="false"/>
          <w:i w:val="false"/>
          <w:caps w:val="false"/>
          <w:smallCaps w:val="false"/>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Preliminary Prospectus, the Time of Sale Information or the Prospectus, it being understood and agreed that the only such information furnished by any Underwriter consists of the information described as such in Section 7(b)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Issuer Free Writing Prospectus. </w:t>
      </w:r>
      <w:r>
        <w:rPr>
          <w:rFonts w:ascii="Times New Roman;Times;Serif" w:hAnsi="Times New Roman;Times;Serif"/>
          <w:b w:val="false"/>
          <w:i w:val="false"/>
          <w:caps w:val="false"/>
          <w:smallCaps w:val="false"/>
          <w:sz w:val="20"/>
        </w:rPr>
        <w:t>The Company (including its agents and representatives, other than the Underwriters in their capacity as such) has not prepared, made, used, authorized, approved or referred to and will not prepare, make, use, authorize, approve or refer to any “</w:t>
      </w:r>
      <w:r>
        <w:rPr>
          <w:rFonts w:ascii="Times New Roman;Times;Serif" w:hAnsi="Times New Roman;Times;Serif"/>
          <w:b w:val="false"/>
          <w:i w:val="false"/>
          <w:caps w:val="false"/>
          <w:smallCaps w:val="false"/>
          <w:sz w:val="20"/>
          <w:u w:val="single"/>
        </w:rPr>
        <w:t>written communication</w:t>
      </w:r>
      <w:r>
        <w:rPr>
          <w:rFonts w:ascii="Times New Roman;Times;Serif" w:hAnsi="Times New Roman;Times;Serif"/>
          <w:b w:val="false"/>
          <w:i w:val="false"/>
          <w:caps w:val="false"/>
          <w:smallCaps w:val="false"/>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and (iii) below) an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xml:space="preserve">”) other than (i) any document not constituting a prospectus pursuant to Section 2(a)(10)(a) of the Securities Act or Rule 134 under the Securities Act, (ii) the Preliminary Prospectus, (iii) the Prospectus, (iv) the documents listed on Annex A hereto, including a Pricing Term Sheet substantially in the form of Annex B hereto, which constitute part of the Time of Sale Information and (v) any electronic road show or other written communications, in each case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or filed prior to the first use of such Issuer Free Writing Prospectus,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 it being understood and agreed that the only such information furnished by any Underwriter consists of the information described as such in Section 7(b)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at the Closing Date will comply in all material respects with the Securities Act and the Trust Indenture Act of 1939, as amended, and the rules and regulations of the Commission thereunder (collectively, the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Incorporated Documents.</w:t>
      </w:r>
      <w:r>
        <w:rPr>
          <w:rFonts w:ascii="Times New Roman;Times;Serif" w:hAnsi="Times New Roman;Times;Serif"/>
          <w:b w:val="false"/>
          <w:i w:val="false"/>
          <w:caps w:val="false"/>
          <w:smallCaps w:val="false"/>
          <w:sz w:val="20"/>
        </w:rPr>
        <w:t xml:space="preserve"> The documents incorporated by reference in each of the Registration Statement, the Prospectus and the Time of Sale Information,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required to be stated therein or necessary in order to make the statements therein, in the light of the circumstances under which they were made, not misleading, except that the representations and warranties set forth in this paragraph do not apply to that part of the Registration Statement that constitutes the Statement of Eligibility (Form T-1) under the Trust Indenture Act,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financial statements and the related notes thereto of the Company and Qorvo included or incorporated by reference in each of the Registration Statement, the Time of Sale Information and the Prospectus comply in all material respects with the applicable requirements of the Securities Act and the Exchange Act, as applicable, and present fairly, in all material respects, the financial position of the Company or Qorvo, as applicable, and their respective subsidiaries as of the dates indicated and the results of their operations and the changes in their respective cash flows for the periods specified; such financial statements have been prepared in conformity with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throughout the periods covered thereby, and the supporting schedules included or incorporated by reference in each of the Registration Statement, the Prospectus and the Time of Sale Information present fairly, in all material respects, the information required to be stated therein; and the other financial information included or incorporated by reference in each of the Registration Statement, the Time of Sale Information and the Prospectus has been derived from the accounting records of the Company or Qorvo, as applicable, and their respective subsidiaries and presents fairly the information shown thereby. The unaudited pro forma financial statements, together with the related notes and any supporting schedules included or incorporated by reference in each of the Registration Statement, the Time of Sale Information and the Prospectus, fairly present the information shown therein and have been compiled on a basis substantially consistent with the audited financial statements of the Company included or incorporated by reference in each of the Registration Statement, the Time of Sale Information and the Prospectus; and such unaudited pro forma financial statements have been prepared, and the pro forma adjustments set forth therein have been applied, in accordance with the applicable accounting requirements of the Securities Act (including, without limitation, Regulation S-X promulgated by the Commission), the assumptions underlying such pro forma financial statements are reasonable and the pro forma adjustments have been properly applied to the historical amounts in the compilation of such statements. The interactive data in eXtensible Business Reporting Language included or incorporated by reference in the Registration Statement, the Prospectus and the Time of Sale Information fairly present the information called for in all material respects and has been prepared in accordance with the Commission’s rules and guidelines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Since the date of the most recent financial statements of the Company or Qorvo, as applicable, included or incorporated by reference in each of the Registration Statement, the Time of Sale Information and the Prospectus, (i) there has not been any change in the capital stock (other than the issuance of capital stock of the Company or Qorvo upon the exercise of stock options described as outstanding in, and the grant and/or vesting of options and awards under existing equity incentive plans described in, the Registration Statement, the Time of Sale Information and the Prospectus or the purchase of capital stock of the Company pursuant to stock repurchase programs described in the Registration Statement, the Time of Sale Information and the Prospectus) or long-term debt of the Company or Qorvo or any of their respective subsidiaries, or any dividend or distribution of any kind declared, set aside for payment, paid or made by the Company or Qorvo on any class of capital stock (other than dividends declared on capital stock of the Company or Qorvo in the ordinary course of business and consistent with past practice), or any material adverse change, or any development involving a prospective material adverse change, in or affecting the business, properties, management, financial position, results of operations or prospects of the Company and its subsidiaries (including Qorvo and its subsidiaries, assuming consummation of and giving effect to, the Mergers) taken as a whole; (ii) none of the Company, Qorvo or any of their respective subsidiaries has entered into any transaction or agreement that is material to the Company and its subsidiaries (including Qorvo and its subsidiaries, assuming consummation of and giving effect to, the Mergers) taken as a whole or incurred any liability or obligation, direct or contingent, that is material to the Company and its subsidiaries (including Qorvo and its subsidiaries, assuming consummation of and giving effect to, the Mergers) taken as a whole; and (iii) none of the Company, Qorvo or any of their respective subsidiaries has sustained any material loss or interference with its business from fire, explosion, flood or other calamity, whether or not covered by insurance, or from any labor disturbance or dispute or any action, order or decree of any court or arbitrator or governmental or regulatory authority, except in each case as otherwise disclosed in each of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xml:space="preserve"> Each of the Company and its significant subsidiaries (as such term is defined in Rule 1-02(w) of Regulation S-X under the Exchange Act (each, a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and Qorvo and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in good standing or have such power or authority would not, individually or in the aggregate, reasonably be expected to have a material adverse effect on the business, properties, management, financial position, results of operations or prospects of the Company and its subsidiaries (including Qorvo and its subsidiaries, assuming consummation of and giving effect to, the Mergers) taken as a whole or on the performance by the Company of its obligations under this Agreement and the Securities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subsidiaries listed in Schedule 2 to this Agreement are the only significant subsidiaries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The Company has the authorized capitalization as set forth in each of the Registration Statement, the Time of Sale Information and the Prospectus under the heading “Capitalization”; and all the outstanding shares of capital stock or other equity interests of each subsidiary of the Company and Qorvo have been duly and validly authorized and issued, are fully paid and non-assessable (except, in the case of any foreign subsidiary for directors’ qualifying shares and except as otherwise described in each of the Registration Statement, the Time of Sale Information and the Prospectus) and are owned directly or indirectly by the Company or Qorvo, as applicable, free and clear of any lien, charge, encumbrance, security interest, restriction on voting or transfer or any other claim of any third party, except as described in each of the Registration Statement, the Time of Sale Information and the Prospectus or as would not,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The Company has full right, power and authority to execute and deliver this Agreement, the Securities and the Indenture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to perform its obligations hereunder and thereunder; and all action required to be taken for the due and proper authorization, execution and delivery of each of the Transaction Documents by the Company and the consummation of the transactions contemplated thereby by the Company has been duly and validly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 xml:space="preserve">The Indenture. </w:t>
      </w:r>
      <w:r>
        <w:rPr>
          <w:rFonts w:ascii="Times New Roman;Times;Serif" w:hAnsi="Times New Roman;Times;Serif"/>
          <w:b w:val="false"/>
          <w:i w:val="false"/>
          <w:caps w:val="false"/>
          <w:smallCaps w:val="false"/>
          <w:sz w:val="20"/>
        </w:rPr>
        <w:t>The Indenture will have been duly authorized by the Company and on the Closing Date will be duly executed and delivered by the Company and, when duly executed and delivered in accordance with its terms by each of the parties thereto, will constitute a valid and legally binding agreement of the Company enforceable against the Company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Times;Serif" w:hAnsi="Times New Roman;Times;Serif"/>
          <w:b w:val="false"/>
          <w:i w:val="false"/>
          <w:caps w:val="false"/>
          <w:smallCaps w:val="false"/>
          <w:sz w:val="20"/>
          <w:u w:val="single"/>
        </w:rPr>
        <w:t>Enforceability Exceptions</w:t>
      </w:r>
      <w:r>
        <w:rPr>
          <w:rFonts w:ascii="Times New Roman;Times;Serif" w:hAnsi="Times New Roman;Times;Serif"/>
          <w:b w:val="false"/>
          <w:i w:val="false"/>
          <w:caps w:val="false"/>
          <w:smallCaps w:val="false"/>
          <w:sz w:val="20"/>
        </w:rPr>
        <w:t>”); and on the Closing Date the Indenture will conform in all material respects to the requirements of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The Securities</w:t>
      </w:r>
      <w:r>
        <w:rPr>
          <w:rFonts w:ascii="Times New Roman;Times;Serif" w:hAnsi="Times New Roman;Times;Serif"/>
          <w:b w:val="false"/>
          <w:i w:val="false"/>
          <w:caps w:val="false"/>
          <w:smallCaps w:val="false"/>
          <w:sz w:val="20"/>
        </w:rPr>
        <w:t>. The Securities have been duly authorized by the Company and, when duly executed, authenticated, issued 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Descriptions of the Transaction Documents</w:t>
      </w:r>
      <w:r>
        <w:rPr>
          <w:rFonts w:ascii="Times New Roman;Times;Serif" w:hAnsi="Times New Roman;Times;Serif"/>
          <w:b w:val="false"/>
          <w:i w:val="false"/>
          <w:caps w:val="false"/>
          <w:smallCaps w:val="false"/>
          <w:sz w:val="20"/>
        </w:rPr>
        <w:t>. Each Transaction Document conforms in all material respects to the description thereof contained in each of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No Violation or Default.</w:t>
      </w:r>
      <w:r>
        <w:rPr>
          <w:rFonts w:ascii="Times New Roman;Times;Serif" w:hAnsi="Times New Roman;Times;Serif"/>
          <w:b w:val="false"/>
          <w:i w:val="false"/>
          <w:caps w:val="false"/>
          <w:smallCaps w:val="false"/>
          <w:sz w:val="20"/>
        </w:rPr>
        <w:t xml:space="preserve"> None of the Company or any of its significant subsidiaries, or Qorvo 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significant subsidiaries, or Qorvo or any of its subsidiaries, is a party or by which the Company or any of its significant subsidiaries, or Qorvo or any of its subsidiaries, is bound or to which any property, right or asset of the Company or any of its significant subsidiaries, or Qorvo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 xml:space="preserve">No Conflicts. </w:t>
      </w:r>
      <w:r>
        <w:rPr>
          <w:rFonts w:ascii="Times New Roman;Times;Serif" w:hAnsi="Times New Roman;Times;Serif"/>
          <w:b w:val="false"/>
          <w:i w:val="false"/>
          <w:caps w:val="false"/>
          <w:smallCaps w:val="false"/>
          <w:sz w:val="20"/>
        </w:rPr>
        <w:t>The execution, delivery and performance by the Company of each of the Transaction Documents to which it is a party, the issuance and sale of the Securities and compliance by the Company with the terms thereof and the consummation of the transactions contemplated by the Transaction Documents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significant subsidiaries, as applicable, pursuant to, any indenture, mortgage, deed of trust, loan agreement or other agreement or instrument to which the Company or any of its significant subsidiaries is a party or by which the Company or any of its significant subsidiaries is bound or to which any property, right or asset of the Company or any of its subsidiaries is subject, (ii) result in any violation of the provisions of the charter or by-laws or similar organizational documents of the Company or any of its significant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is required for the execution, delivery and performance by the Company of each of the Transaction Documents, the issuance and sale of the Securities and compliance by the Company with the terms thereof and the consummation of the transactions contemplated by the Transaction Documents, except for (i) the registration of the Securities under the Securities Act, (ii) the qualification of the Indenture under the Trust Indenture Act and (iii) such consents, approvals, authorizations, orders and registrations or qualifications as may be required under applicable state securities laws in connection with the purchase and distribution of the Securities by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xml:space="preserve"> Except as described in each of the Registration Statement, the Time of Sale Information and the Prospectus, there are no legal, governmental or regulatory investigations or proceedings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pending to which the Company, Qorvo or any of their respective subsidiaries is a party or to which any property of the Company, Qorvo or any of their respective subsidiaries is the subject that, individually or in the aggregate, if determined adversely to the Company, Qorvo or any of their respective subsidiaries, would reasonably be expected to have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or the Prospectus that are not so described in the Registration Statement, the Time of Sale Information and the Prospectus and (ii) there are no statutes, regulations or contracts or other documents that are required under the Securities Act to be filed as exhibits to the Registration Statement or described in the Registration Statement and the Prospectus that are not so filed as exhibits to the Registration Statement or described in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xml:space="preserve"> (i) KPMG LLP (the “</w:t>
      </w:r>
      <w:r>
        <w:rPr>
          <w:rFonts w:ascii="Times New Roman;Times;Serif" w:hAnsi="Times New Roman;Times;Serif"/>
          <w:b w:val="false"/>
          <w:i w:val="false"/>
          <w:caps w:val="false"/>
          <w:smallCaps w:val="false"/>
          <w:sz w:val="20"/>
          <w:u w:val="single"/>
        </w:rPr>
        <w:t>Company Auditors</w:t>
      </w:r>
      <w:r>
        <w:rPr>
          <w:rFonts w:ascii="Times New Roman;Times;Serif" w:hAnsi="Times New Roman;Times;Serif"/>
          <w:b w:val="false"/>
          <w:i w:val="false"/>
          <w:caps w:val="false"/>
          <w:smallCaps w:val="false"/>
          <w:sz w:val="20"/>
        </w:rPr>
        <w:t>”), who have certified certain financial statements of the Company and its subsidiaries, are independent public accountants with respect to the Company and its subsidiaries within the applicable rules and regulations adopted by the Commission and the Public Company Accounting Oversight Board (United States) and as required by the Securities Act; and (ii) Ernst &amp; Young LLP (the “</w:t>
      </w:r>
      <w:r>
        <w:rPr>
          <w:rFonts w:ascii="Times New Roman;Times;Serif" w:hAnsi="Times New Roman;Times;Serif"/>
          <w:b w:val="false"/>
          <w:i w:val="false"/>
          <w:caps w:val="false"/>
          <w:smallCaps w:val="false"/>
          <w:sz w:val="20"/>
          <w:u w:val="single"/>
        </w:rPr>
        <w:t>Qorvo Auditors</w:t>
      </w:r>
      <w:r>
        <w:rPr>
          <w:rFonts w:ascii="Times New Roman;Times;Serif" w:hAnsi="Times New Roman;Times;Serif"/>
          <w:b w:val="false"/>
          <w:i w:val="false"/>
          <w:caps w:val="false"/>
          <w:smallCaps w:val="false"/>
          <w:sz w:val="20"/>
        </w:rPr>
        <w:t>”), who have certified certain financial statements of Qorvo and its subsidiaries, are independent public accountants with respect to Qorvo and its subsidiaries within the applicable rules and regulations adopted by the Commission and the Public Company Accounting Oversight Board (United States) and as required by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caps w:val="false"/>
          <w:smallCaps w:val="false"/>
          <w:sz w:val="20"/>
        </w:rPr>
        <w:t>Title to Real and Personal Property.</w:t>
      </w:r>
      <w:r>
        <w:rPr>
          <w:rFonts w:ascii="Times New Roman;Times;Serif" w:hAnsi="Times New Roman;Times;Serif"/>
          <w:b w:val="false"/>
          <w:i w:val="false"/>
          <w:caps w:val="false"/>
          <w:smallCaps w:val="false"/>
          <w:sz w:val="20"/>
        </w:rPr>
        <w:t xml:space="preserve"> The Company and its significant subsidiaries, and Qorvo and its subsidiaries, have good and marketable title in fee simple to, or have valid rights to lease or otherwise use, all items of real and personal property that are material to the respective businesses of the Company, Qorvo and their respective subsidiaries, in each case free and clear of all liens, charges, encumbrances, claims and defects and imperfections of title except those that (i) do not materially interfere with the use made and proposed to be made of such property by the Company, Qorvo and their respective subsidiaries or (ii) would not reasonably be expected, individually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Except as would not reasonably be expected, individually or in the aggregate, to have a Material Adverse Effect, (i) the Company and its significant subsidiaries, and Qorvo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used in the conduct of their respective businesses; (ii) the Company, Qorvo and their respective subsidiaries’ conduct of their respective businesses does not infringe, misappropriate or otherwise violate any Intellectual Property of any person; (iii) the Company, Qorvo and their respective subsidiaries have not received any written notice of any claim relating to Intellectual Property; and (iv) the Intellectual Property of the Company and its significant subsidiaries, and Qorvo and its subsidiaries, is not being infringed, misappropriated or otherwise violated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caps w:val="false"/>
          <w:smallCaps w:val="false"/>
          <w:sz w:val="20"/>
        </w:rPr>
        <w:t>No Undisclosed Relationships.</w:t>
      </w:r>
      <w:r>
        <w:rPr>
          <w:rFonts w:ascii="Times New Roman;Times;Serif" w:hAnsi="Times New Roman;Times;Serif"/>
          <w:b w:val="false"/>
          <w:i w:val="false"/>
          <w:caps w:val="false"/>
          <w:smallCaps w:val="false"/>
          <w:sz w:val="20"/>
        </w:rPr>
        <w:t xml:space="preserve"> No relationship, direct or indirect, exists between or among the Company, Qorvo or any of their respective subsidiaries, on the one hand, and the directors, officers, stockholders, customers, suppliers or other affiliates of the Company, Qorvo or any of their respective subsidiaries, on the other, that is required by the Securities Act to be described in each of the Registration Statement and the Prospectus and that is not so described in such documents and in the Time of Sale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xml:space="preserve"> Neither the Company nor Qorvo is, or after giving effect to the offering and sale of the Securities and the application of the proceeds thereof as described in each of the Registration Statement, the Time of Sale Information and the Prospectus, will be, an “investment company” or an entity “controlled” by an “investment company” within the meaning of the Investment Company Act of 1940, as amended, and the rules and regulations of the Commission thereunder (collectively,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Except as described in the Registration Statement, the Time of Sale Information and the Prospectus or as is being contested in good faith and for which adequate reserve or accrual has been established in accordance with GAAP, the Company, Qorvo and their respective subsidiaries have paid all federal, state, local and foreign taxes and filed all tax returns required to be paid or filed through the date hereof; and except as otherwise disclosed in each of the Registration Statement, the Time of Sale Information and the Prospectus, the Company is not aware of any material tax deficiency that has been, or would reasonably be expected to be, asserted against the Company, Qorvo or any of their respective subsidiaries or any of their respective properties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xml:space="preserve"> The Company, Qorvo and their respective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Time of Sale Information and the Prospectus, except where the failure to possess or make the same would not reasonably be expected to, individually or in the aggregate, have a Material Adverse Effect; and except as described in each of the Registration Statement, the Time of Sale Information and the Prospectus, none of the Company, Qorvo or any of their respective subsidiaries has received notice of any revocation or modification of any such license, sub-license, certificate, permit or authorization or has any reason to believe that any such license, sub-license, certificate, permit or authorization will not be renewed in the ordinary 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xml:space="preserve"> No labor disturbance by or dispute with employees of the Company, Qorvo or any of their respective subsidiaries exists or, to the knowledge of the Company, is contemplated or threatened and the Company is not aware of any existing or imminent labor disturbance by, or dispute with, the employees of any of the principal suppliers, contractors or customers of the Company, Qorvo or any of their respective subsidiaries, except as would not reasonably be expected to, individually or in the aggregate, have a Material Adverse Effect. None of the Company, Qorvo or any of their respective subsidiaries has received any notice of cancellation or termination with respect to any collective bargaining agreement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caps w:val="false"/>
          <w:smallCaps w:val="false"/>
          <w:sz w:val="20"/>
        </w:rPr>
        <w:t>Certain Environmental Matters</w:t>
      </w:r>
      <w:r>
        <w:rPr>
          <w:rFonts w:ascii="Times New Roman;Times;Serif" w:hAnsi="Times New Roman;Times;Serif"/>
          <w:b w:val="false"/>
          <w:i w:val="false"/>
          <w:caps w:val="false"/>
          <w:smallCaps w:val="false"/>
          <w:sz w:val="20"/>
        </w:rPr>
        <w:t>. (i) The Company, Qorvo and their respective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to the knowledge of the Company, there are no costs or liabilities associated with Environmental Laws of or relating to the Company, Qorvo or their respective subsidiaries, except in the case of each of (i) and (ii) above, for any such matter as would not, individually or in the aggregate, reasonably be expected to have a Material Adverse Effect; and (iii) except as described in each of the Registration Statement, the Time of Sale Information and the Prospectus, (x) there is no proceeding that is pending, or that is known to be contemplated, against the Company, Qorvo or any of their respective subsidiaries under any Environmental Laws in which a governmental entity is also a party, other than such proceeding regarding which it is reasonably believed no monetary sanctions of $100,000 or more will be imposed, (y) the Company, Qorvo and their respective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effect on the capital expenditures, earnings or competitive position of the Company, Qorvo and their respective subsidiaries, and (z) none of the Company, Qorvo or their respective subsidiaries anticipates material capital expenditures relating to any Environmental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caps w:val="false"/>
          <w:smallCaps w:val="false"/>
          <w:sz w:val="20"/>
        </w:rPr>
        <w:t>Compliance with ERISA.</w:t>
      </w:r>
      <w:r>
        <w:rPr>
          <w:rFonts w:ascii="Times New Roman;Times;Serif" w:hAnsi="Times New Roman;Times;Serif"/>
          <w:b w:val="false"/>
          <w:i w:val="false"/>
          <w:caps w:val="false"/>
          <w:smallCaps w:val="false"/>
          <w:sz w:val="20"/>
        </w:rPr>
        <w:t xml:space="preserve"> (i)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for which the Company, Qorvo or any member of their respective “Controlled Groups” (defined as any entity, whether or not incorporated, that is under common control with the Company or Qorvo, as applicable, within the meaning of Section 4001(a)(14) of ERISA or any entity that would be regarded as a single employer with the Company or Qorvo, as applicable, under Section 414(b), (c), (m)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none of the Company, Qorvo or any member of their respective Controlled Groups has incurred, 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Qorvo or their respective Controlled Group affiliates in the current fiscal year of the Company, Qorvo and their respective Controlled Group affiliates compared to the amount of such contributions made in the Company’s, Qorvo’s and their respective Controlled Group affiliates’ most recently completed fiscal year; or (B) a material increase in the Company, Qorvo and their respective subsidiaries’ “accumulated post-retirement benefit obligations” (within the meaning of Accounting Standards Codification Topic 715-60) compared to the amount of such obligations in the Company’s, Qorvo’s and their respective subsidiaries’ most recently completed fiscal year, except in each case with respect to the events or conditions set forth in (i) through (ix) hereof, as would not,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caps w:val="false"/>
          <w:smallCaps w:val="false"/>
          <w:sz w:val="20"/>
        </w:rPr>
        <w:t>Disclosure Controls</w:t>
      </w:r>
      <w:r>
        <w:rPr>
          <w:rFonts w:ascii="Times New Roman;Times;Serif" w:hAnsi="Times New Roman;Times;Serif"/>
          <w:b w:val="false"/>
          <w:i w:val="false"/>
          <w:caps w:val="false"/>
          <w:smallCaps w:val="false"/>
          <w:sz w:val="20"/>
        </w:rPr>
        <w:t>. Each of the Company, Qorvo and their respective subsidiaries maintain a system of “disclosure controls and procedures” (as defined in Rule 13a-15(e) of the Exchange Act) that complies with the requirements of the Exchange Act and that has been designed to ensure that information required to be disclosed by the Company or Qorvo, as applicable,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or Qorvo’s management, as applicable, as appropriate to allow timely decisions regarding required disclosure. Each of the Company, Qorvo and their respective subsidiaries have carried out evaluations of the effectiveness of their disclosure controls and procedures as required by Rule 13a-15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xml:space="preserve"> Each of the Company, Qorvo and their respective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Each of the Company, Qorvo and their respective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is prepared in accordance with the Commission’s rules and guidelines applicable thereto. Except as disclosed in each of the Registration Statement, the Time of Sale Information and the Prospectus, there are no material weaknesses or significant deficiencies in the Company’s or Qorvo’s internal controls,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The Company, Qorvo and their respective subsidiaries have insurance covering their respective properties, operations, personnel and businesses, including business interruption insurance, which insurance is in amounts and insures against such losses and risks as are adequate to protect the Company, Qorvo and their respective subsidiaries and their respective businesses except as would not reasonably be expected to, individually or in the aggregate, have a Material Adverse Effect; and none of the Company, Qorvo or any of their respective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in each case except as would not reasonably be expected to, individually or in the aggregate,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xml:space="preserve"> None of the Company, Qorvo or any of their respective subsidiaries, or any director, officer or employee of the Company, Qorvo or any of their respective subsidiaries or, to the knowledge of the Company, any agent, affiliate or other person acting on behalf of the Company, Qorvo or any of their respective subsidiaries has (i) used any Company or Qorvo funds for any unlawful contribution, gift, entertainment or other unlawful expense relating to political activity; (ii) offered, promised or authorized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unlawful rebate, payoff, influence payment, kickback or other unlawful or improper payment or benefit. The Company, Qorvo and their respective subsidiaries have instituted, maintain and enforce policies and procedures designed to promote and ensure compliance with all applicable anti-bribery and anti-corruption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caps w:val="false"/>
          <w:smallCaps w:val="false"/>
          <w:sz w:val="20"/>
        </w:rPr>
        <w:t>Compliance with Anti-Money Laundering Laws</w:t>
      </w:r>
      <w:r>
        <w:rPr>
          <w:rFonts w:ascii="Times New Roman;Times;Serif" w:hAnsi="Times New Roman;Times;Serif"/>
          <w:b w:val="false"/>
          <w:i w:val="false"/>
          <w:caps w:val="false"/>
          <w:smallCaps w:val="false"/>
          <w:sz w:val="20"/>
        </w:rPr>
        <w:t>. The operations of the Company, Qorvo and their respective subsidiaries are and have been conducted at all times in compliance with applicable financial recordkeeping and reporting requirements of the Currency and Foreign Transactions Reporting Act of 1970, as amended, applicable provisions of the USA PATRIOT Act of 2001, the Money Laundering Control Act of 1986, the Anti-Money Laundering Act of 2020 and the applicable money laundering statutes of all jurisdictions where the Company, Qorvo or any of their respective subsidiaries conduct business, the rules and regulations thereunder and any related or similar rules, regulations or guidelines, issued, administered or enforced by any governmental agency having jurisdiction over the Company, Qorvo and their respective subsidiaries (collectively, the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 xml:space="preserve">No Conflicts with Sanctions Laws. </w:t>
      </w:r>
      <w:r>
        <w:rPr>
          <w:rFonts w:ascii="Times New Roman;Times;Serif" w:hAnsi="Times New Roman;Times;Serif"/>
          <w:b w:val="false"/>
          <w:i w:val="false"/>
          <w:caps w:val="false"/>
          <w:smallCaps w:val="false"/>
          <w:sz w:val="20"/>
        </w:rPr>
        <w:t>None of the Company, Qorvo or any of their respective subsidiaries, directors, officers or employees, or, to the knowledge of the Company, any agent, affiliate or other person acting on behalf of the Company, Qorvo or any of their respective subsidiaries is currently the subject or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is the Company, Qorvo, or any of their respective subsidiaries located, organized or resident in a country or territory that is the subject or target of Sanctions, including, without limitation, Cuba, Iran, North Korea, Syria (with respect to Syria, only until July 1, 2025), the Crimea, the so-called Donetsk People’s Republic, the so-called Luhansk People’s Republic, the non-government controlled areas of the Zaporizhzhia and Kherson regions of Ukraine and any other Covered Region identified by Executive Order 14065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would reasonably be expected to result in a violation by any person (including any person participating in the transaction, whether as underwriter, initial purchaser, advisor, investor or otherwise) of Sanctions. Since April 24, 2019, the Company, Qorvo and their respective subsidiaries have not knowingly engaged in and are not now knowingly engaged in any dealings or transactions with any person that at the time of the dealing or transaction is or was the subject or target of Sanctions or with any Sanctioned Country, in each case in violation of any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caps w:val="false"/>
          <w:smallCaps w:val="false"/>
          <w:sz w:val="20"/>
        </w:rPr>
        <w:t>No Restrictions on Subsidiaries</w:t>
      </w:r>
      <w:r>
        <w:rPr>
          <w:rFonts w:ascii="Times New Roman;Times;Serif" w:hAnsi="Times New Roman;Times;Serif"/>
          <w:b w:val="false"/>
          <w:i w:val="false"/>
          <w:caps w:val="false"/>
          <w:smallCaps w:val="false"/>
          <w:sz w:val="20"/>
        </w:rPr>
        <w:t>. No subsidiary of the Company or Qorvo is currently prohibited, directly or indirectly, under any agreement or other instrument to which it is a party or is subject, from paying any dividends to the Company or Qorvo, as applicable, from making any other distribution on such subsidiary’s capital stock or similar ownership interest, from repaying to the Company or Qorvo, as applicable, any loans or advances to such subsidiary from the Company or Qorvo, as applicable, or from transferring any of such subsidiary’s properties or assets to the Company or Qorvo, as applicable, or any other subsidiary of the Company or Qorvo, as applicable, except for any such prohibitions or restrictions as described in each of the Registration Statement,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caps w:val="false"/>
          <w:smallCaps w:val="false"/>
          <w:sz w:val="20"/>
        </w:rPr>
        <w:t>No Broker’s Fees.</w:t>
      </w:r>
      <w:r>
        <w:rPr>
          <w:rFonts w:ascii="Times New Roman;Times;Serif" w:hAnsi="Times New Roman;Times;Serif"/>
          <w:b w:val="false"/>
          <w:i w:val="false"/>
          <w:caps w:val="false"/>
          <w:smallCaps w:val="false"/>
          <w:sz w:val="20"/>
        </w:rPr>
        <w:t xml:space="preserve"> None of the Company or any of its subsidiaries is a party to any contract, agreement or understanding with any person (other than this Agreement) that would give rise to a valid claim against any of them or any Underwriter for a brokerage commission, finder’s fee or like payment in connection with the offering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caps w:val="false"/>
          <w:smallCaps w:val="false"/>
          <w:sz w:val="20"/>
        </w:rPr>
        <w:t>No Registration Rights</w:t>
      </w:r>
      <w:r>
        <w:rPr>
          <w:rFonts w:ascii="Times New Roman;Times;Serif" w:hAnsi="Times New Roman;Times;Serif"/>
          <w:b w:val="false"/>
          <w:i w:val="false"/>
          <w:caps w:val="false"/>
          <w:smallCaps w:val="false"/>
          <w:sz w:val="20"/>
        </w:rPr>
        <w:t>. No person has the right to require the Company or any of its subsidiaries to register any securities for sale under the Securities Act by reason of the filing of the Registration Statement with the Commission or the issuance and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has not taken, directly or indirectly, any action designed to or that would reasonably be expected to cause or result in any stabilization or manipulation of the price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caps w:val="false"/>
          <w:smallCaps w:val="false"/>
          <w:sz w:val="20"/>
        </w:rPr>
        <w:t>Margin Rules</w:t>
      </w:r>
      <w:r>
        <w:rPr>
          <w:rFonts w:ascii="Times New Roman;Times;Serif" w:hAnsi="Times New Roman;Times;Serif"/>
          <w:b w:val="false"/>
          <w:i w:val="false"/>
          <w:caps w:val="false"/>
          <w:smallCaps w:val="false"/>
          <w:sz w:val="20"/>
        </w:rPr>
        <w:t>. Neither the issuance, sale and delivery of the Securities nor the application of the proceeds thereof by the Company as described in each of the Registration Statement, the Time of Sale Information and the Prospectus will violate Regulation T, U or X of the Board of Governors of the Federal Reserve System or any other regulation of such Board of Governors.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           </w:t>
      </w:r>
      <w:r>
        <w:rPr>
          <w:rFonts w:ascii="Times New Roman;Times;Serif" w:hAnsi="Times New Roman;Times;Serif"/>
          <w:b w:val="false"/>
          <w:i/>
          <w:caps w:val="false"/>
          <w:smallCaps w:val="false"/>
          <w:sz w:val="20"/>
        </w:rPr>
        <w:t>Statistical and Market Data</w:t>
      </w:r>
      <w:r>
        <w:rPr>
          <w:rFonts w:ascii="Times New Roman;Times;Serif" w:hAnsi="Times New Roman;Times;Serif"/>
          <w:b w:val="false"/>
          <w:i w:val="false"/>
          <w:caps w:val="false"/>
          <w:smallCaps w:val="false"/>
          <w:sz w:val="20"/>
        </w:rPr>
        <w:t>. Nothing has come to the attention of the Company that has caused the Company to believe that the statistical and market-related data included or incorporated by reference in each of the Registration Statement, the Time of Sale Information and the Prospectus is not based on or derived from sources that are reliable and accurate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caps w:val="false"/>
          <w:smallCaps w:val="false"/>
          <w:sz w:val="20"/>
        </w:rPr>
        <w:t xml:space="preserve">Cybersecurity; Data Protection. </w:t>
      </w:r>
      <w:r>
        <w:rPr>
          <w:rFonts w:ascii="Times New Roman;Times;Serif" w:hAnsi="Times New Roman;Times;Serif"/>
          <w:b w:val="false"/>
          <w:i w:val="false"/>
          <w:caps w:val="false"/>
          <w:smallCaps w:val="false"/>
          <w:sz w:val="20"/>
        </w:rPr>
        <w:t>Except as would not, individually or in the aggregate, reasonably be expected to result in a Material Adverse Effect, (i) the Company, Qorvo and their respective subsidiaries’ information technology assets and equipment, computers, systems, networks, hardware, software, websites, applications and databases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as required in connection with the operation of the business of the Company, Qorvo and their respective subsidiaries as currently conducted, free and clear of bugs, errors, defects, Trojan horses, time bombs, malware and other corruptants; (ii) the Company, Qorvo and their respective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used in connection with their businesses, and there have been no breaches, violations, outages or unauthorized uses of or accesses to same, except for those that have been or are expected to be remedied without material cost or liability or the duty to notify any other person, nor any incidents under internal review or investigations relating to the same; and (iii) the Company, Qorvo and their respective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(ss)             </w:t>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There is and has been no failure on the part of the Company, Qorvo or any of their respective directors or officers, in their capacities as such, to comply in all material respects with any provision of the Sarbanes-Oxley Act of 2002, as amended, and the rules and regulations promulgated in connection therewith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related to loans and Sections 302 and 906 related to certifications.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(tt)              </w:t>
      </w:r>
      <w:r>
        <w:rPr>
          <w:rFonts w:ascii="Times New Roman;Times;Serif" w:hAnsi="Times New Roman;Times;Serif"/>
          <w:b w:val="false"/>
          <w:i/>
          <w:caps w:val="false"/>
          <w:smallCaps w:val="false"/>
          <w:sz w:val="20"/>
        </w:rPr>
        <w:t>Status under the Securities Act</w:t>
      </w:r>
      <w:r>
        <w:rPr>
          <w:rFonts w:ascii="Times New Roman;Times;Serif" w:hAnsi="Times New Roman;Times;Serif"/>
          <w:b w:val="false"/>
          <w:i w:val="false"/>
          <w:caps w:val="false"/>
          <w:smallCaps w:val="false"/>
          <w:sz w:val="20"/>
        </w:rPr>
        <w:t>. The Company is not an ineligible issuer and is a well-known seasoned issuer, in each case as defined under the Securities Act, in each case at the times specified in the Securities Act in connection with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(uu)           </w:t>
      </w:r>
      <w:r>
        <w:rPr>
          <w:rFonts w:ascii="Times New Roman;Times;Serif" w:hAnsi="Times New Roman;Times;Serif"/>
          <w:b w:val="false"/>
          <w:i/>
          <w:caps w:val="false"/>
          <w:smallCaps w:val="false"/>
          <w:sz w:val="20"/>
        </w:rPr>
        <w:t>Merger Agreement</w:t>
      </w:r>
      <w:r>
        <w:rPr>
          <w:rFonts w:ascii="Times New Roman;Times;Serif" w:hAnsi="Times New Roman;Times;Serif"/>
          <w:b w:val="false"/>
          <w:i w:val="false"/>
          <w:caps w:val="false"/>
          <w:smallCaps w:val="false"/>
          <w:sz w:val="20"/>
        </w:rPr>
        <w:t>. The Merger Agreement is in full force and effect, and the Company has not received any notice of breach or termination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Agreements of the Company</w:t>
      </w:r>
      <w:r>
        <w:rPr>
          <w:rFonts w:ascii="Times New Roman;Times;Serif" w:hAnsi="Times New Roman;Times;Serif"/>
          <w:b w:val="false"/>
          <w:i w:val="false"/>
          <w:caps w:val="false"/>
          <w:smallCaps w:val="false"/>
          <w:sz w:val="20"/>
        </w:rPr>
        <w:t>. The Company covenants and agrees with each Underwriter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the final Prospectus with the Commission within the time periods specified by Rule 424(b) and Rule 430A, 430B or 430C under the Securities Act, will file any Issuer Free Writing Prospectus (including the Pricing Term Sheet referred to in Annex B hereto) to the extent required by Rule 433 under the Securities Act and will file or furnish promptly all reports and any definitive proxy or information statements required to be filed or furnished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deliver, without charge, to each Representative and to each Underwriter (i) a conformed copy of the Registration Statement as originally filed and each amendment thereto, in each case including, upon request, all exhibits and consents filed therewith and (ii)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Amendments or Supplements; Issuer Free Writing Prospectuses.</w:t>
      </w:r>
      <w:r>
        <w:rPr>
          <w:rFonts w:ascii="Times New Roman;Times;Serif" w:hAnsi="Times New Roman;Times;Serif"/>
          <w:b w:val="false"/>
          <w:i w:val="false"/>
          <w:caps w:val="false"/>
          <w:smallCaps w:val="false"/>
          <w:sz w:val="20"/>
        </w:rPr>
        <w:t xml:space="preserve"> 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without the Representatives’ consent, which consent shall not be unreasonably withheld.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Notice to the Representatives.</w:t>
      </w:r>
      <w:r>
        <w:rPr>
          <w:rFonts w:ascii="Times New Roman;Times;Serif" w:hAnsi="Times New Roman;Times;Serif"/>
          <w:b w:val="false"/>
          <w:i w:val="false"/>
          <w:caps w:val="false"/>
          <w:smallCaps w:val="false"/>
          <w:sz w:val="20"/>
        </w:rPr>
        <w:t xml:space="preserve"> The Company will advise the Representatives promptly, and confirm such advice in writing, (i) when the Registration Statement has become effective; and (ii) during the Prospectus Delivery Period (A) when any amendment to the Registration Statement has been filed or becomes effective; (B) when any supplement to the Prospectus or any Issuer Free Writing Prospectus or any amendment to the Prospectus or any Issuer Free Writing Prospectus has been filed; (C)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(D) of the issuance by the Commission or any other governmental or regulatory authority of any order suspending the effectiveness of the Registration Statement or preventing or suspending the use of any Preliminary Prospectus, the Prospectus, any Time of Sale Information or any Issuer Free Writing Prospectus or the initiation or threatening of any proceeding for that purpose or pursuant to Section 8A of the Securities Act; (E) of the occurrence of any event or development as a result of which the Prospectus, any of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(F) of the receipt by the Company of any notice of objection of the Commission to the use of the Registration Statement or any post-effective amendment thereto pursuant to Rule 401(g)(2) under the Securities Act; and (G)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Issuer Free Writing Prospectus or the Prospectus, or suspending any such qualification of the Securities and, if any such order is issued, will obtain as soon as possible the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Time of Sale Information.</w:t>
      </w:r>
      <w:r>
        <w:rPr>
          <w:rFonts w:ascii="Times New Roman;Times;Serif" w:hAnsi="Times New Roman;Times;Serif"/>
          <w:b w:val="false"/>
          <w:i w:val="false"/>
          <w:caps w:val="false"/>
          <w:smallCaps w:val="false"/>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any of the Time of Sale Information as so amended or supplemented (including such documents to be incorporated by reference therein) will not, in the light of the circumstances under which they were made, be misleading or so that any of the Time of Sale Information will comply with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If during the Prospectus Delivery Period (i) any event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existing when the Prospectus is delivered to a purchaser, be misleading or so that the Prospectus will comply with law</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or qualify to do business in any jurisdiction, (ii) file any general consent to service of process in any such jurisdiction or (iii) subject itself to taxation in any such jurisdiction if it is not otherwise so subject. The Company will promptly advise the Representatives of the receipt by the Company of any notification with respect to the suspension of the qualification of the Securities being offered in any jurisdiction or the initiation or threatening of any proceeding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 xml:space="preserve">Earning Statement. </w:t>
      </w:r>
      <w:r>
        <w:rPr>
          <w:rFonts w:ascii="Times New Roman;Times;Serif" w:hAnsi="Times New Roman;Times;Serif"/>
          <w:b w:val="false"/>
          <w:i w:val="false"/>
          <w:caps w:val="false"/>
          <w:smallCaps w:val="false"/>
          <w:sz w:val="20"/>
        </w:rPr>
        <w:t>The Company will make generally available to its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Clear Market.</w:t>
      </w:r>
      <w:r>
        <w:rPr>
          <w:rFonts w:ascii="Times New Roman;Times;Serif" w:hAnsi="Times New Roman;Times;Serif"/>
          <w:b w:val="false"/>
          <w:i w:val="false"/>
          <w:caps w:val="false"/>
          <w:smallCaps w:val="false"/>
          <w:sz w:val="20"/>
        </w:rPr>
        <w:t xml:space="preserve"> During the period from the date hereof through and including the business day following the Closing Date, the Company will not, without the prior written consent of the Representatives, offer, sell, contract to sell or otherwise dispose of any debt securities issued or guaranteed by the Company and having a tenor of more than one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Securities as described in each of the Registration Statement, the Time of Sale Information and the Prospectus under the heading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Company will assist the Underwriters in arranging for the Securities to be eligible for clearance and settlement through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The Company will not take, directly or indirectly, any action designed to or that could reasonably be expected to cause or result in any stabilization or manipulation of the price of the Securities (it being understood that the Company makes no representation as to the actions taken by or on behalf of any Underwriter in connection with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Record Retention</w:t>
      </w:r>
      <w:r>
        <w:rPr>
          <w:rFonts w:ascii="Times New Roman;Times;Serif" w:hAnsi="Times New Roman;Times;Serif"/>
          <w:b w:val="false"/>
          <w:i w:val="false"/>
          <w:caps w:val="false"/>
          <w:smallCaps w:val="false"/>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Certain Agreements of the Underwriters</w:t>
      </w:r>
      <w:r>
        <w:rPr>
          <w:rFonts w:ascii="Times New Roman;Times;Serif" w:hAnsi="Times New Roman;Times;Serif"/>
          <w:b w:val="false"/>
          <w:i w:val="false"/>
          <w:caps w:val="false"/>
          <w:smallCaps w:val="false"/>
          <w:sz w:val="20"/>
        </w:rPr>
        <w:t>. Each Underwriter hereby represents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not and will not use, authorize use of, refer to, or participate in the planning for use of, any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w:t>
      </w:r>
      <w:r>
        <w:rPr>
          <w:rFonts w:ascii="Times New Roman;Times;Serif" w:hAnsi="Times New Roman;Times;Serif"/>
          <w:b w:val="false"/>
          <w:i w:val="false"/>
          <w:caps w:val="false"/>
          <w:smallCaps w:val="false"/>
          <w:sz w:val="20"/>
          <w:u w:val="single"/>
        </w:rPr>
        <w:t>Underwriter Free Writing Prospectus</w:t>
      </w:r>
      <w:r>
        <w:rPr>
          <w:rFonts w:ascii="Times New Roman;Times;Serif" w:hAnsi="Times New Roman;Times;Serif"/>
          <w:b w:val="false"/>
          <w:i w:val="false"/>
          <w:caps w:val="false"/>
          <w:smallCaps w:val="false"/>
          <w:sz w:val="20"/>
        </w:rPr>
        <w:t>”). Notwithstanding the foregoing, the Underwriters may use the Pricing Term Sheet referred to in Annex B hereto without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not subject to any pending proceeding under Section 8A of the Securities Act with respect to the offering (and will promptly notify the Company if any such proceeding against it is initiated during the Prospectus Delivery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xml:space="preserve"> The obligation of each Underwriter to purchase Securities on the Closing Date as provided herein is subject to the performance by the Company of its covenants and other obligations hereunder and to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the Company contained herein shall be true and correct on the date hereof and on and as of the Closing Date; and the statements of the Company and its officers made in any certificates delivered pursuant to this Agreement shall be true and correct on and as of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 Downgrade.</w:t>
      </w:r>
      <w:r>
        <w:rPr>
          <w:rFonts w:ascii="Times New Roman;Times;Serif" w:hAnsi="Times New Roman;Times;Serif"/>
          <w:b w:val="false"/>
          <w:i w:val="false"/>
          <w:caps w:val="false"/>
          <w:smallCaps w:val="false"/>
          <w:sz w:val="20"/>
        </w:rPr>
        <w:t xml:space="preserve"> Subsequent to the earlier of (A) the Time of Sale and (B) the execution and delivery of this Agreement, (i) no downgrading shall have occurred in the rating accorded the Securities or any other debt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No event or condition of a type described in Section 3(g) hereof shall have occurred or shall exist, which event or condition is not described in each of the Time of Sale Information (excluding any amendment or supplement thereto)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The Representatives shall have received on and as of the Closing Date a certificate of an executive officer of the Company who has specific knowledge of the Company’s financial matters and is satisfactory to the Representatives (i) confirming that such officer has carefully reviewed the Registration Statement, the Time of Sale Information and the Prospectus and, to the knowledge of such officer,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and (iii) to the effect set forth in paragraphs (a), (c) and (d)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Comfort Letters of Company Auditors.</w:t>
      </w:r>
      <w:r>
        <w:rPr>
          <w:rFonts w:ascii="Times New Roman;Times;Serif" w:hAnsi="Times New Roman;Times;Serif"/>
          <w:b w:val="false"/>
          <w:i w:val="false"/>
          <w:caps w:val="false"/>
          <w:smallCaps w:val="false"/>
          <w:sz w:val="20"/>
        </w:rPr>
        <w:t xml:space="preserve"> On the date of this Agreement and on the Closing Date, the Company Auditors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the Company contained in or incorporated by reference in each of the Registration Statement, the Time of Sale Information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shall use a “cut-off” date no more than three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Comfort Letters of Qorvo Auditors.</w:t>
      </w:r>
      <w:r>
        <w:rPr>
          <w:rFonts w:ascii="Times New Roman;Times;Serif" w:hAnsi="Times New Roman;Times;Serif"/>
          <w:b w:val="false"/>
          <w:i w:val="false"/>
          <w:caps w:val="false"/>
          <w:smallCaps w:val="false"/>
          <w:sz w:val="20"/>
        </w:rPr>
        <w:t xml:space="preserve"> On the date of this Agreement and on the Closing Date, the Qorvo Auditors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of Qorvo contained in or incorporated by reference in each of the Registration Statement, the Time of Sale Information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shall use a “cut-off” date no more than three business days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Opinion and 10b-5 Statement of Counsel for the Company.</w:t>
      </w:r>
      <w:r>
        <w:rPr>
          <w:rFonts w:ascii="Times New Roman;Times;Serif" w:hAnsi="Times New Roman;Times;Serif"/>
          <w:b w:val="false"/>
          <w:i w:val="false"/>
          <w:caps w:val="false"/>
          <w:smallCaps w:val="false"/>
          <w:sz w:val="20"/>
        </w:rPr>
        <w:t xml:space="preserve"> Skadden, Arps, Slate, Meagher &amp; Flom LLP and Affiliates, counsel for the Company, shall have furnished to the Representatives, at the request of the Company, their written opinion, tax opinion and 10b-5 statement, dated the Closing Date and addressed to the Underwriters, in form and substance reasonably satisfactory to the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Opinion and 10b-5 Statement of Counsel for the Underwriters.</w:t>
      </w:r>
      <w:r>
        <w:rPr>
          <w:rFonts w:ascii="Times New Roman;Times;Serif" w:hAnsi="Times New Roman;Times;Serif"/>
          <w:b w:val="false"/>
          <w:i w:val="false"/>
          <w:caps w:val="false"/>
          <w:smallCaps w:val="false"/>
          <w:sz w:val="20"/>
        </w:rPr>
        <w:t xml:space="preserve"> The Representatives shall have received on and as of the Closing Date an opinion and 10b-5 statement, addressed to the Underwriters, of Cravath, Swaine &amp; Moore LLP, counsel for the Underwriters, with respect to such matters as the Representatives may reasonably request, and such counsel shall have received such documents and information as they may reasonably request to enable them to pass upon such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No Legal Impediment to Issuance.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and no injunction or order of any federal, state or foreign court shall have been issued that would, as of the Closing Date, prevent the issuance or sale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Representatives shall have received on and as of the Closing Date satisfactory evidence of the good standing of the Company in its jurisdiction of organization and in such other jurisdictions as the Representatives may reasonably request, in each case in writing or by any standard form of telecommunication, from the appropriate governmental authorities of such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DTC</w:t>
      </w:r>
      <w:r>
        <w:rPr>
          <w:rFonts w:ascii="Times New Roman;Times;Serif" w:hAnsi="Times New Roman;Times;Serif"/>
          <w:b w:val="false"/>
          <w:i w:val="false"/>
          <w:caps w:val="false"/>
          <w:smallCaps w:val="false"/>
          <w:sz w:val="20"/>
        </w:rPr>
        <w:t>. The Securities shall be eligible for clearance and settlement through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Indenture and Securities</w:t>
      </w:r>
      <w:r>
        <w:rPr>
          <w:rFonts w:ascii="Times New Roman;Times;Serif" w:hAnsi="Times New Roman;Times;Serif"/>
          <w:b w:val="false"/>
          <w:i w:val="false"/>
          <w:caps w:val="false"/>
          <w:smallCaps w:val="false"/>
          <w:sz w:val="20"/>
        </w:rPr>
        <w:t>. The Indenture shall have been duly executed and delivered by a duly authorized officer of the Company and the Trustee, and the Securities shall have been duly executed and delivered by a duly authorized officer of the Company and duly authenticated by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the Company shall have furnished to the Representatives such further certificates and documents as the Representatives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51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Indemnification of the Underwriters.</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 under the Securities Act) not constituting an Issuer Free Writing Prospectus or any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of this Section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Indemnification of the Company.</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and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Issuer Free Writing Prospectus or any Time of Sale Information, it being understood and agreed that the only such information consists of the following paragraphs in the Preliminary Prospectus and the Prospectus: the third paragraph, the third sentence of the seventh paragraph and the eighth paragraph under the caption “Underwriting”.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shall promptly notify the person against whom such indemnification may be sought (the “</w:t>
      </w:r>
      <w:r>
        <w:rPr>
          <w:rFonts w:ascii="Times New Roman;Times;Serif" w:hAnsi="Times New Roman;Times;Serif"/>
          <w:b w:val="false"/>
          <w:i w:val="false"/>
          <w:caps w:val="false"/>
          <w:smallCaps w:val="false"/>
          <w:sz w:val="20"/>
          <w:u w:val="single"/>
        </w:rPr>
        <w:t>Indemnifying Person</w:t>
      </w:r>
      <w:r>
        <w:rPr>
          <w:rFonts w:ascii="Times New Roman;Times;Serif" w:hAnsi="Times New Roman;Times;Serif"/>
          <w:b w:val="false"/>
          <w:i w:val="false"/>
          <w:caps w:val="false"/>
          <w:smallCaps w:val="false"/>
          <w:sz w:val="20"/>
        </w:rPr>
        <w:t xml:space="preserve">”)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paragraph (a) or (b) above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of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the Representatives and any such separate firm for the Company, its directors and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 Indemnifying Person shall, without the prior written consent of the Indemnified Person, settle or compromise or consent to the entry of any judgment with respect to any pending or threatened claim, action, suit or proceeding in respect of which any Indemnified Person is or could have been a party and indemnification or contribution could have been sought hereunder by such Indemnified Person, unless such settlement, compromise or consent (x) includes an unconditional release of such Indemnified Person, in form and substance reasonably satisfactory to such Indemnified Person, from all liability arising out of such claim, action, suit or proceeding and (y) does not include any statement as to or any admission of fault, culpability or a failure to act by or on behalf of any Indemnified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If the indemnification provided for in paragraph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and the Underwriters agree that it would not be just and equitable if contribution pursuant to this Section 7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this Section 7 are not exclusive and shall not limit any rights or remedies that may otherwise be available to any Indemnified Person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as of the date first written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in the absolute discretion of the Representatives, by notice to the Company, if after the execution and delivery of this Agreement and on or prior to the Closing Date (i) trading generally shall have been suspended or materially limited on the Nasdaq Global Select Market, the New York Stock Exchange or the over-the-counter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Defaulting Underwriter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any Underwriter defaults on its obligation to purchase the Securities that it has agreed to purchase hereunder,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the Time of Sale Information and the Prospectus or in any other document or arrangement, and the Company agrees to promptly prepare any amendment or supplement to the Registration Statement, the Time of Sale Information and the Prospectus that effects any such changes. As used in this Agreement, the term “</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Underwriter to purchase the principal amount of Securities that such Underwriter agreed to purchase hereunder plus such Underwriter’s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share (based on the principal amount of Securities that such Underwriter agreed to purchase hereunder) of the Securities of such defaulting Underwriter or Underwriters for which such arrangements have not been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Securities of a defaulting Underwriter or Underwriters by the non-defaulting Underwriters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or any non-defaulting Underwriter for damages caused by its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agrees to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the offering by, the Financial Industry Regulatory Authority, and the approval of the Securities for book-entry transfer by DTC; and (ix) all expenses incurred by the Company in connection with any “road show” presentation to potential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this Agreement is terminated pursuant to Section 9, (ii) the Company for any reason fails to tender the Securities for delivery to the Underwriters or (iii) the Underwriters decline to purchase the Securities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405 under the Securities Act; (b)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day on which banks are permitted or required to be closed in New York City; (c)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has the meaning set forth in Rule 405 under the Securities Act; and (d) the term “</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 of Regulation S-X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Authority of the Representatives.</w:t>
      </w:r>
      <w:r>
        <w:rPr>
          <w:rFonts w:ascii="Times New Roman;Times;Serif" w:hAnsi="Times New Roman;Times;Serif"/>
          <w:b w:val="false"/>
          <w:i w:val="false"/>
          <w:caps w:val="false"/>
          <w:smallCaps w:val="false"/>
          <w:sz w:val="20"/>
        </w:rPr>
        <w:t xml:space="preserve"> Any action by the Underwriters hereunder may be taken by the Representatives, on behalf of the Underwriters, and any such action taken by the Representatives shall be binding upon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All notices and other communications hereunder shall be in writing and shall be deemed to have been duly given if mailed or transmitted and confirmed by any standard form of telecommunication. Notices to the Underwriters shall be given to the Representatives c/o Goldman Sachs &amp; Co. LLC, 200 West Street, New York, NY 10282, Attention: Registration Department; c/o BofA Securities, Inc., 114 West 47th Street, NY8-114-07-01, New York, NY 10036, Attention: High Grade Transaction Management/Legal, Facsimile: (212) 901-7881; c/o J.P. Morgan Securities LLC, 270 Park Ave, New York, NY 10017, Attention: Investment Grade Syndicate Desk, Facsimile: (212) 834-6081; c/o Wells Fargo Securities, LLC, 550 South Tryon Street,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Charlotte, NC 28202, Attention: Transaction Management, Email: tmgcapitalmarkets@wellsfargo.com. Notices to the Company shall be given to it at Skyworks Solutions, Inc. (fax: (949) 725-1772); Attention: General Counsel; with a copy to: Skadden, Arps, Slate, Meagher &amp; Flom LLP, 2000 Avenue of the Stars, Los Angeles, California, Attention: Michelle Gasaway (Michelle.Gasaway@skadden.com).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claim, controversy or dispute arising under or related to this Agreement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the Company is subject by a suit upon such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hereby waives any right to trial by jury in any suit or proceeding arising out of or relating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630"/>
        <w:jc w:val="both"/>
        <w:rPr>
          <w:caps w:val="false"/>
          <w:smallCaps w:val="false"/>
        </w:rPr>
      </w:pPr>
      <w:r>
        <w:rPr>
          <w:caps w:val="false"/>
          <w:smallCaps w:val="false"/>
        </w:rPr>
        <w:t> </w:t>
      </w:r>
    </w:p>
    <w:p>
      <w:pPr>
        <w:pStyle w:val="TextBody"/>
        <w:bidi w:val="0"/>
        <w:spacing w:before="0" w:after="0"/>
        <w:ind w:left="72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720" w:right="0" w:firstLine="5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16(f):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Recognition of Financial Services and Markets (Resolution of Financial Institutions) Regulations 2024.</w:t>
      </w:r>
      <w:r>
        <w:rPr>
          <w:rFonts w:ascii="Times New Roman;Times;Serif" w:hAnsi="Times New Roman;Times;Serif"/>
          <w:b w:val="false"/>
          <w:i w:val="false"/>
          <w:caps w:val="false"/>
          <w:smallCaps w:val="false"/>
          <w:sz w:val="20"/>
        </w:rPr>
        <w:t xml:space="preserve"> Notwithstanding anything to the contrary in, and to the exclusion of any other term or condition of, this Agreement or any other agreement, arrangement, or understanding, each party to this Agreement agrees, in accordance with regulation 33 of the FSM Regulations, to be bound by: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584"/>
        <w:gridCol w:w="9501"/>
      </w:tblGrid>
      <w:tr>
        <w:trPr/>
        <w:tc>
          <w:tcPr>
            <w:tcW w:w="12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01" w:type="dxa"/>
            <w:tcBorders/>
            <w:vAlign w:val="center"/>
          </w:tcPr>
          <w:p>
            <w:pPr>
              <w:pStyle w:val="TableContents"/>
              <w:bidi w:val="0"/>
              <w:spacing w:before="0" w:after="283"/>
              <w:jc w:val="both"/>
              <w:rPr/>
            </w:pPr>
            <w:r>
              <w:rPr/>
              <w:t>section 92 of the FSM Act;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any suspension of the exercise of any termination right in this Agreement made by the MAS under section 93 of the FSM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5"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qualifying pertinent financial institution or its subsidiary relating to this Agreement to the extent required by and in accordance with the FSM Regulations.</w:t>
      </w:r>
    </w:p>
    <w:p>
      <w:pPr>
        <w:pStyle w:val="TextBody"/>
        <w:bidi w:val="0"/>
        <w:spacing w:before="0" w:after="0"/>
        <w:ind w:left="725"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16(g) shall be interpreted in accordance with the FSM Regulations and the FSM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16(g):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FSM Act</w:t>
      </w:r>
      <w:r>
        <w:rPr>
          <w:rFonts w:ascii="Times New Roman;Times;Serif" w:hAnsi="Times New Roman;Times;Serif"/>
          <w:b w:val="false"/>
          <w:i w:val="false"/>
          <w:caps w:val="false"/>
          <w:smallCaps w:val="false"/>
          <w:sz w:val="20"/>
        </w:rPr>
        <w:t>” shall mean the Financial Services and Markets Act 2022 of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FSM Regulations</w:t>
      </w:r>
      <w:r>
        <w:rPr>
          <w:rFonts w:ascii="Times New Roman;Times;Serif" w:hAnsi="Times New Roman;Times;Serif"/>
          <w:b w:val="false"/>
          <w:i w:val="false"/>
          <w:caps w:val="false"/>
          <w:smallCaps w:val="false"/>
          <w:sz w:val="20"/>
        </w:rPr>
        <w:t>” shall mean the Financial Services and Markets (Resolution of Financial Institutions) Regulations 2024 of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u w:val="single"/>
        </w:rPr>
        <w:t>“</w:t>
      </w:r>
      <w:r>
        <w:rPr>
          <w:rFonts w:ascii="Times New Roman;Times;Serif" w:hAnsi="Times New Roman;Times;Serif"/>
          <w:b w:val="false"/>
          <w:i w:val="false"/>
          <w:caps w:val="false"/>
          <w:smallCaps w:val="false"/>
          <w:sz w:val="20"/>
          <w:u w:val="single"/>
        </w:rPr>
        <w:t>MAS</w:t>
      </w:r>
      <w:r>
        <w:rPr>
          <w:rFonts w:ascii="Times New Roman;Times;Serif" w:hAnsi="Times New Roman;Times;Serif"/>
          <w:b w:val="false"/>
          <w:i w:val="false"/>
          <w:caps w:val="false"/>
          <w:smallCaps w:val="false"/>
          <w:sz w:val="20"/>
        </w:rPr>
        <w:t>” shall mean the Monetary Authority of Singapore.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pertinent financial institution</w:t>
      </w:r>
      <w:r>
        <w:rPr>
          <w:rFonts w:ascii="Times New Roman;Times;Serif" w:hAnsi="Times New Roman;Times;Serif"/>
          <w:b w:val="false"/>
          <w:i w:val="false"/>
          <w:caps w:val="false"/>
          <w:smallCaps w:val="false"/>
          <w:sz w:val="20"/>
        </w:rPr>
        <w:t>” means a bank that is incorporated in Singapore and to which a direction is issued under section 52(1) of the FSM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right</w:t>
      </w:r>
      <w:r>
        <w:rPr>
          <w:rFonts w:ascii="Times New Roman;Times;Serif" w:hAnsi="Times New Roman;Times;Serif"/>
          <w:b w:val="false"/>
          <w:i w:val="false"/>
          <w:caps w:val="false"/>
          <w:smallCaps w:val="false"/>
          <w:sz w:val="20"/>
        </w:rPr>
        <w:t>” shall have the meaning set out in section 91 of the FSM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signed in counterparts (which may include counterparts delivered by any standard form of telecommunication), each of which shall be an original and all of which together shall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xml:space="preserve">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xml:space="preserve"> The headings herein are included for convenience of reference only and are not intended to be part of, or to affect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Electronic Signatures</w:t>
      </w:r>
      <w:r>
        <w:rPr>
          <w:rFonts w:ascii="Times New Roman;Times;Serif" w:hAnsi="Times New Roman;Times;Serif"/>
          <w:b w:val="false"/>
          <w:i w:val="false"/>
          <w:caps w:val="false"/>
          <w:smallCaps w:val="false"/>
          <w:sz w:val="20"/>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firstLine="720"/>
        <w:jc w:val="both"/>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80"/>
        <w:gridCol w:w="365"/>
        <w:gridCol w:w="590"/>
        <w:gridCol w:w="4025"/>
      </w:tblGrid>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SKYWORKS SOLUTIONS, INC.</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both"/>
              <w:rPr/>
            </w:pPr>
            <w:r>
              <w:rPr/>
              <w:t> </w:t>
            </w:r>
          </w:p>
        </w:tc>
        <w:tc>
          <w:tcPr>
            <w:tcW w:w="4980" w:type="dxa"/>
            <w:gridSpan w:val="3"/>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615" w:type="dxa"/>
            <w:gridSpan w:val="2"/>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Philip Carter</w:t>
            </w:r>
          </w:p>
        </w:tc>
      </w:tr>
      <w:tr>
        <w:trPr/>
        <w:tc>
          <w:tcPr>
            <w:tcW w:w="8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Philip Carter</w:t>
            </w:r>
          </w:p>
        </w:tc>
      </w:tr>
      <w:tr>
        <w:trPr/>
        <w:tc>
          <w:tcPr>
            <w:tcW w:w="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on behalf of the several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listed in Schedule 1 hereto.</w:t>
      </w:r>
    </w:p>
    <w:p>
      <w:pPr>
        <w:pStyle w:val="TextBody"/>
        <w:bidi w:val="0"/>
        <w:spacing w:before="0" w:after="0"/>
        <w:ind w:left="0" w:right="0" w:hanging="0"/>
        <w:jc w:val="both"/>
        <w:rPr>
          <w:caps w:val="false"/>
          <w:smallCaps w:val="false"/>
        </w:rPr>
      </w:pPr>
      <w:r>
        <w:rPr>
          <w:caps w:val="false"/>
          <w:smallCaps w:val="false"/>
        </w:rPr>
        <w:t> </w:t>
      </w:r>
    </w:p>
    <w:tbl>
      <w:tblPr>
        <w:tblW w:w="2724" w:type="dxa"/>
        <w:jc w:val="left"/>
        <w:tblInd w:w="0" w:type="dxa"/>
        <w:tblLayout w:type="fixed"/>
        <w:tblCellMar>
          <w:top w:w="0" w:type="dxa"/>
          <w:left w:w="0" w:type="dxa"/>
          <w:bottom w:w="0" w:type="dxa"/>
          <w:right w:w="0" w:type="dxa"/>
        </w:tblCellMar>
      </w:tblPr>
      <w:tblGrid>
        <w:gridCol w:w="362"/>
        <w:gridCol w:w="589"/>
        <w:gridCol w:w="1693"/>
        <w:gridCol w:w="80"/>
      </w:tblGrid>
      <w:tr>
        <w:trPr/>
        <w:tc>
          <w:tcPr>
            <w:tcW w:w="2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r>
          </w:p>
        </w:tc>
        <w:tc>
          <w:tcPr>
            <w:tcW w:w="80" w:type="dxa"/>
            <w:tcBorders/>
            <w:vAlign w:val="center"/>
          </w:tcPr>
          <w:p>
            <w:pPr>
              <w:pStyle w:val="TableContents"/>
              <w:bidi w:val="0"/>
              <w:spacing w:before="0" w:after="283"/>
              <w:jc w:val="left"/>
              <w:rPr/>
            </w:pPr>
            <w:r>
              <w:rPr/>
              <w:t> </w:t>
            </w:r>
          </w:p>
        </w:tc>
      </w:tr>
      <w:tr>
        <w:trPr/>
        <w:tc>
          <w:tcPr>
            <w:tcW w:w="2644"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Zwart</w:t>
            </w:r>
          </w:p>
        </w:tc>
        <w:tc>
          <w:tcPr>
            <w:tcW w:w="80" w:type="dxa"/>
            <w:tcBorders/>
            <w:vAlign w:val="center"/>
          </w:tcPr>
          <w:p>
            <w:pPr>
              <w:pStyle w:val="TableContents"/>
              <w:bidi w:val="0"/>
              <w:spacing w:before="0" w:after="283"/>
              <w:jc w:val="left"/>
              <w:rPr/>
            </w:pPr>
            <w:r>
              <w:rPr/>
              <w:t> </w:t>
            </w:r>
          </w:p>
        </w:tc>
      </w:tr>
      <w:tr>
        <w:trPr/>
        <w:tc>
          <w:tcPr>
            <w:tcW w:w="362"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Zwart</w:t>
            </w:r>
          </w:p>
        </w:tc>
        <w:tc>
          <w:tcPr>
            <w:tcW w:w="80" w:type="dxa"/>
            <w:tcBorders/>
            <w:vAlign w:val="center"/>
          </w:tcPr>
          <w:p>
            <w:pPr>
              <w:pStyle w:val="TableContents"/>
              <w:bidi w:val="0"/>
              <w:spacing w:before="0" w:after="283"/>
              <w:jc w:val="left"/>
              <w:rPr/>
            </w:pPr>
            <w:r>
              <w:rPr/>
              <w:t> </w:t>
            </w:r>
          </w:p>
        </w:tc>
      </w:tr>
      <w:tr>
        <w:trPr/>
        <w:tc>
          <w:tcPr>
            <w:tcW w:w="362"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335"/>
        <w:gridCol w:w="545"/>
        <w:gridCol w:w="1565"/>
        <w:gridCol w:w="80"/>
      </w:tblGrid>
      <w:tr>
        <w:trPr/>
        <w:tc>
          <w:tcPr>
            <w:tcW w:w="2445"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 xml:space="preserve">BofA Securities, Inc. </w:t>
            </w:r>
          </w:p>
        </w:tc>
        <w:tc>
          <w:tcPr>
            <w:tcW w:w="80" w:type="dxa"/>
            <w:tcBorders/>
            <w:vAlign w:val="center"/>
          </w:tcPr>
          <w:p>
            <w:pPr>
              <w:pStyle w:val="TableContents"/>
              <w:bidi w:val="0"/>
              <w:spacing w:before="0" w:after="283"/>
              <w:jc w:val="left"/>
              <w:rPr/>
            </w:pPr>
            <w:r>
              <w:rPr/>
              <w:t> </w:t>
            </w:r>
          </w:p>
        </w:tc>
      </w:tr>
      <w:tr>
        <w:trPr/>
        <w:tc>
          <w:tcPr>
            <w:tcW w:w="2445"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Cody Kiechle</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Cody Kiechle</w:t>
            </w:r>
          </w:p>
        </w:tc>
        <w:tc>
          <w:tcPr>
            <w:tcW w:w="8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43" w:type="dxa"/>
        <w:jc w:val="left"/>
        <w:tblInd w:w="0" w:type="dxa"/>
        <w:tblLayout w:type="fixed"/>
        <w:tblCellMar>
          <w:top w:w="0" w:type="dxa"/>
          <w:left w:w="0" w:type="dxa"/>
          <w:bottom w:w="0" w:type="dxa"/>
          <w:right w:w="0" w:type="dxa"/>
        </w:tblCellMar>
      </w:tblPr>
      <w:tblGrid>
        <w:gridCol w:w="371"/>
        <w:gridCol w:w="605"/>
        <w:gridCol w:w="1787"/>
        <w:gridCol w:w="80"/>
      </w:tblGrid>
      <w:tr>
        <w:trPr/>
        <w:tc>
          <w:tcPr>
            <w:tcW w:w="2763"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J.P. Morgan Securities LLC</w:t>
            </w:r>
          </w:p>
        </w:tc>
        <w:tc>
          <w:tcPr>
            <w:tcW w:w="80" w:type="dxa"/>
            <w:tcBorders/>
            <w:vAlign w:val="center"/>
          </w:tcPr>
          <w:p>
            <w:pPr>
              <w:pStyle w:val="TableContents"/>
              <w:bidi w:val="0"/>
              <w:spacing w:before="0" w:after="283"/>
              <w:jc w:val="left"/>
              <w:rPr/>
            </w:pPr>
            <w:r>
              <w:rPr/>
              <w:t> </w:t>
            </w:r>
          </w:p>
        </w:tc>
      </w:tr>
      <w:tr>
        <w:trPr/>
        <w:tc>
          <w:tcPr>
            <w:tcW w:w="2763"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92"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Som Bhattacharyya</w:t>
            </w:r>
          </w:p>
        </w:tc>
        <w:tc>
          <w:tcPr>
            <w:tcW w:w="80"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Som Bhattacharyya</w:t>
            </w:r>
          </w:p>
        </w:tc>
        <w:tc>
          <w:tcPr>
            <w:tcW w:w="80"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7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54" w:type="dxa"/>
        <w:jc w:val="left"/>
        <w:tblInd w:w="0" w:type="dxa"/>
        <w:tblLayout w:type="fixed"/>
        <w:tblCellMar>
          <w:top w:w="0" w:type="dxa"/>
          <w:left w:w="0" w:type="dxa"/>
          <w:bottom w:w="0" w:type="dxa"/>
          <w:right w:w="0" w:type="dxa"/>
        </w:tblCellMar>
      </w:tblPr>
      <w:tblGrid>
        <w:gridCol w:w="410"/>
        <w:gridCol w:w="667"/>
        <w:gridCol w:w="1897"/>
        <w:gridCol w:w="80"/>
      </w:tblGrid>
      <w:tr>
        <w:trPr/>
        <w:tc>
          <w:tcPr>
            <w:tcW w:w="2974"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Wells Fargo Securities, LLC</w:t>
            </w:r>
          </w:p>
        </w:tc>
        <w:tc>
          <w:tcPr>
            <w:tcW w:w="80" w:type="dxa"/>
            <w:tcBorders/>
            <w:vAlign w:val="center"/>
          </w:tcPr>
          <w:p>
            <w:pPr>
              <w:pStyle w:val="TableContents"/>
              <w:bidi w:val="0"/>
              <w:spacing w:before="0" w:after="283"/>
              <w:jc w:val="left"/>
              <w:rPr/>
            </w:pPr>
            <w:r>
              <w:rPr/>
              <w:t> </w:t>
            </w:r>
          </w:p>
        </w:tc>
      </w:tr>
      <w:tr>
        <w:trPr/>
        <w:tc>
          <w:tcPr>
            <w:tcW w:w="2974" w:type="dxa"/>
            <w:gridSpan w:val="3"/>
            <w:tcBorders/>
            <w:vAlign w:val="center"/>
          </w:tcPr>
          <w:p>
            <w:pPr>
              <w:pStyle w:val="TableContents"/>
              <w:bidi w:val="0"/>
              <w:spacing w:before="0" w:after="283"/>
              <w:ind w:left="0" w:right="0" w:hanging="0"/>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6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Liz Wilson</w:t>
            </w:r>
          </w:p>
        </w:tc>
        <w:tc>
          <w:tcPr>
            <w:tcW w:w="8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Liz Wilson</w:t>
            </w:r>
          </w:p>
        </w:tc>
        <w:tc>
          <w:tcPr>
            <w:tcW w:w="80" w:type="dxa"/>
            <w:tcBorders/>
            <w:vAlign w:val="center"/>
          </w:tcPr>
          <w:p>
            <w:pPr>
              <w:pStyle w:val="TableContents"/>
              <w:bidi w:val="0"/>
              <w:spacing w:before="0" w:after="283"/>
              <w:jc w:val="left"/>
              <w:rPr/>
            </w:pPr>
            <w:r>
              <w:rPr/>
              <w:t> </w:t>
            </w:r>
          </w:p>
        </w:tc>
      </w:tr>
      <w:tr>
        <w:trPr/>
        <w:tc>
          <w:tcPr>
            <w:tcW w:w="410"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both"/>
        <w:rPr>
          <w:caps w:val="false"/>
          <w:smallCaps w:val="false"/>
        </w:rPr>
      </w:pPr>
      <w:r>
        <w:rPr>
          <w:caps w:val="false"/>
          <w:smallCaps w:val="false"/>
        </w:rPr>
        <w:t> </w:t>
      </w:r>
    </w:p>
    <w:tbl>
      <w:tblPr>
        <w:tblW w:w="7820" w:type="dxa"/>
        <w:jc w:val="left"/>
        <w:tblInd w:w="0" w:type="dxa"/>
        <w:tblLayout w:type="fixed"/>
        <w:tblCellMar>
          <w:top w:w="0" w:type="dxa"/>
          <w:left w:w="0" w:type="dxa"/>
          <w:bottom w:w="28" w:type="dxa"/>
          <w:right w:w="0" w:type="dxa"/>
        </w:tblCellMar>
      </w:tblPr>
      <w:tblGrid>
        <w:gridCol w:w="3875"/>
        <w:gridCol w:w="65"/>
        <w:gridCol w:w="125"/>
        <w:gridCol w:w="1055"/>
        <w:gridCol w:w="65"/>
        <w:gridCol w:w="65"/>
        <w:gridCol w:w="125"/>
        <w:gridCol w:w="1055"/>
        <w:gridCol w:w="65"/>
        <w:gridCol w:w="65"/>
        <w:gridCol w:w="125"/>
        <w:gridCol w:w="1055"/>
        <w:gridCol w:w="80"/>
      </w:tblGrid>
      <w:tr>
        <w:trPr/>
        <w:tc>
          <w:tcPr>
            <w:tcW w:w="3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 xml:space="preserve">Amount of </w:t>
              <w:br/>
              <w:t>2028 Notes to</w:t>
              <w:br/>
              <w:t>be Purchased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Amount of</w:t>
              <w:br/>
              <w:t>2032 Notes to</w:t>
              <w:br/>
              <w:t>be Purchased</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br/>
              <w:t xml:space="preserve">Amount of </w:t>
              <w:br/>
              <w:t>2036 Notes to</w:t>
              <w:br/>
              <w:t>be Purchased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Academy Securities, Inc. </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Oversea-Chinese Banking Corporation Limited</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China (Europe) S.A.</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HSBC Securities (USA) Inc. </w:t>
              <w:tab/>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tab/>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Subsidiaries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7"/>
        <w:gridCol w:w="9626"/>
      </w:tblGrid>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1.</w:t>
            </w:r>
          </w:p>
        </w:tc>
        <w:tc>
          <w:tcPr>
            <w:tcW w:w="9626" w:type="dxa"/>
            <w:tcBorders/>
            <w:vAlign w:val="center"/>
          </w:tcPr>
          <w:p>
            <w:pPr>
              <w:pStyle w:val="TableContents"/>
              <w:bidi w:val="0"/>
              <w:spacing w:before="0" w:after="283"/>
              <w:jc w:val="left"/>
              <w:rPr/>
            </w:pPr>
            <w:r>
              <w:rPr/>
              <w:t>Skyworks Filter Solutions Japan Co. Ltd.</w:t>
            </w:r>
          </w:p>
        </w:tc>
      </w:tr>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2.</w:t>
            </w:r>
          </w:p>
        </w:tc>
        <w:tc>
          <w:tcPr>
            <w:tcW w:w="9626" w:type="dxa"/>
            <w:tcBorders/>
            <w:vAlign w:val="center"/>
          </w:tcPr>
          <w:p>
            <w:pPr>
              <w:pStyle w:val="TableContents"/>
              <w:bidi w:val="0"/>
              <w:spacing w:before="0" w:after="283"/>
              <w:jc w:val="left"/>
              <w:rPr/>
            </w:pPr>
            <w:r>
              <w:rPr/>
              <w:t>Skyworks Global Pte. Ltd.</w:t>
            </w:r>
          </w:p>
        </w:tc>
      </w:tr>
      <w:tr>
        <w:trPr/>
        <w:tc>
          <w:tcPr>
            <w:tcW w:w="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3.</w:t>
            </w:r>
          </w:p>
        </w:tc>
        <w:tc>
          <w:tcPr>
            <w:tcW w:w="9626" w:type="dxa"/>
            <w:tcBorders/>
            <w:vAlign w:val="center"/>
          </w:tcPr>
          <w:p>
            <w:pPr>
              <w:pStyle w:val="TableContents"/>
              <w:bidi w:val="0"/>
              <w:spacing w:before="0" w:after="283"/>
              <w:jc w:val="left"/>
              <w:rPr/>
            </w:pPr>
            <w:r>
              <w:rPr/>
              <w:t>Skyworks Luxembourg S.a.r.l.</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Information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Pricing Term Sheet, dated August 4, 2026, substantially in the form of Annex B.</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w:t>
        <w:br/>
        <w:t>Dated August 4, 2026</w:t>
        <w:br/>
        <w:t>Filed pursuant to Rule 433</w:t>
        <w:br/>
        <w:t>Registration No. 333-297918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$800,000,000 5.000% Senior Notes due 2028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5.750% Senior Notes due 2032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6.250%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 Sheet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5"/>
        <w:gridCol w:w="65"/>
        <w:gridCol w:w="2363"/>
        <w:gridCol w:w="65"/>
        <w:gridCol w:w="2976"/>
        <w:gridCol w:w="65"/>
        <w:gridCol w:w="3046"/>
      </w:tblGrid>
      <w:tr>
        <w:trPr/>
        <w:tc>
          <w:tcPr>
            <w:tcW w:w="162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5.000% Senior Notes due 2028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5.750% Senior Notes due 2032</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6.250% Senior Notes due 2036</w:t>
            </w:r>
          </w:p>
        </w:tc>
      </w:tr>
      <w:tr>
        <w:trPr/>
        <w:tc>
          <w:tcPr>
            <w:tcW w:w="162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“2028 Notes”)</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“2032 Notes”)</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“2036 Notes” and, together with the 2028 Notes and the 2032 Notes, the “notes”)</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$800,000,000</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5.750%</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6.250%</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Format:</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10, 2032</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2036</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99.722% of the principal amount</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99.932% of the principal amount</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98.680% of the principal amount</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5.766%</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6.431%</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Benchmark Spread to Treasury: </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 basis points</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 basis points</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180 basis points</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Issue: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4.250% due July 31, 2028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July 31, 2031</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May 15, 2036</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100-03 &amp;frac18;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100-05+</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98-00 </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Yield:</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4.198%</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4.336%</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4.631%</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10 and August 10, commencing February 10, 2027</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10 and July 10, commencing January 10, 2027</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10 and August 10, commencing February 10, 2027</w:t>
            </w:r>
          </w:p>
        </w:tc>
      </w:tr>
      <w:tr>
        <w:trPr/>
        <w:tc>
          <w:tcPr>
            <w:tcW w:w="16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65" w:type="dxa"/>
            <w:tcBorders/>
            <w:vAlign w:val="center"/>
          </w:tcPr>
          <w:p>
            <w:pPr>
              <w:pStyle w:val="TableContents"/>
              <w:bidi w:val="0"/>
              <w:spacing w:before="0" w:after="283"/>
              <w:jc w:val="left"/>
              <w:rPr/>
            </w:pPr>
            <w:r>
              <w:rPr/>
              <w:t> </w:t>
            </w:r>
          </w:p>
        </w:tc>
        <w:tc>
          <w:tcPr>
            <w:tcW w:w="23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None.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T+15 basis points.</w:t>
            </w:r>
          </w:p>
          <w:p>
            <w:pPr>
              <w:pStyle w:val="TableContents"/>
              <w:bidi w:val="0"/>
              <w:spacing w:before="0" w:after="0"/>
              <w:ind w:left="0" w:right="0" w:hanging="0"/>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297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on or after December 10, 2031 (the date that is one month prior to maturity).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T+25 basis points.</w:t>
            </w:r>
          </w:p>
        </w:tc>
        <w:tc>
          <w:tcPr>
            <w:tcW w:w="65" w:type="dxa"/>
            <w:tcBorders/>
            <w:vAlign w:val="center"/>
          </w:tcPr>
          <w:p>
            <w:pPr>
              <w:pStyle w:val="TableContents"/>
              <w:bidi w:val="0"/>
              <w:spacing w:before="0" w:after="283"/>
              <w:jc w:val="left"/>
              <w:rPr/>
            </w:pPr>
            <w:r>
              <w:rPr/>
              <w:t> </w:t>
            </w:r>
          </w:p>
        </w:tc>
        <w:tc>
          <w:tcPr>
            <w:tcW w:w="304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on or after May 10, 2036 (the date that is three months prior to maturity).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T+30 basis points.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85"/>
        <w:gridCol w:w="65"/>
        <w:gridCol w:w="4357"/>
        <w:gridCol w:w="65"/>
        <w:gridCol w:w="1770"/>
        <w:gridCol w:w="65"/>
        <w:gridCol w:w="2498"/>
      </w:tblGrid>
      <w:tr>
        <w:trPr/>
        <w:tc>
          <w:tcPr>
            <w:tcW w:w="138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5.000% Senior Notes due 2028</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5.750% Senior Notes due 2032</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6.250% Senior Notes due 2036</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Mandatory Redemption:</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Mandatorily redeemable at 101% of the principal amount of the 2028 Notes then outstanding plus accrued and unpaid interest to, but not including, the date of the special mandatory redemption if (i) the consummation of the Mergers (as defined in the prospectus supplement) does not occur on or before 11:59 p.m. Pacific Time on November 3, 2027, (ii) the Issuer notifies the trustee and the holders of the 2028 Notes that the Issuer will not pursue the consummation of the Mergers or (iii) the Merger Agreement (as defined in the prospectus supplement) has been terminated without the consummation of the Mergers (any event described in clause (i), (ii) or (iii), a “Special Mandatory Redemption Trigger”).</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Mandatorily redeemable at 101% of the principal amount of the 2036 Notes then outstanding plus accrued and unpaid interest to, but not including, the date of the special mandatory redemption upon the occurrence of a Special Mandatory Redemption Trigger.</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 Repurchase Event Put:</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pPr>
            <w:r>
              <w:rPr>
                <w:rFonts w:ascii="Times New Roman;Times;Serif" w:hAnsi="Times New Roman;Times;Serif"/>
                <w:sz w:val="20"/>
              </w:rPr>
              <w:t>101% of t</w:t>
            </w:r>
            <w:r>
              <w:rPr/>
              <w:t xml:space="preserve">he </w:t>
            </w:r>
            <w:r>
              <w:rPr>
                <w:rFonts w:ascii="Times New Roman;Times;Serif" w:hAnsi="Times New Roman;Times;Serif"/>
                <w:sz w:val="20"/>
              </w:rPr>
              <w:t>principal amount plus accrued interest to, but not including, the repurchase date.</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pPr>
            <w:r>
              <w:rPr>
                <w:rFonts w:ascii="Times New Roman;Times;Serif" w:hAnsi="Times New Roman;Times;Serif"/>
                <w:sz w:val="20"/>
              </w:rPr>
              <w:t>101% of t</w:t>
            </w:r>
            <w:r>
              <w:rPr/>
              <w:t xml:space="preserve">he </w:t>
            </w:r>
            <w:r>
              <w:rPr>
                <w:rFonts w:ascii="Times New Roman;Times;Serif" w:hAnsi="Times New Roman;Times;Serif"/>
                <w:sz w:val="20"/>
              </w:rPr>
              <w:t>principal amount plus accrued interest to, but not including, the repurchase date.</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pPr>
            <w:r>
              <w:rPr>
                <w:rFonts w:ascii="Times New Roman;Times;Serif" w:hAnsi="Times New Roman;Times;Serif"/>
                <w:sz w:val="20"/>
              </w:rPr>
              <w:t>101% of t</w:t>
            </w:r>
            <w:r>
              <w:rPr/>
              <w:t xml:space="preserve">he </w:t>
            </w:r>
            <w:r>
              <w:rPr>
                <w:rFonts w:ascii="Times New Roman;Times;Serif" w:hAnsi="Times New Roman;Times;Serif"/>
                <w:sz w:val="20"/>
              </w:rPr>
              <w:t>principal amount plus accrued interest to, but not including, the repurchase date.</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83088MAP7</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83088MAQ5</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83088MAR3</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ISIN:</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US83088MAP77</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US83088MAQ50</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US83088MAR34</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Ratings*: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Minimum Denomination:</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$2,000 and integral multiples of $1,000 in excess thereof </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$2,000 and integral multiples of $1,000 in excess thereof </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 and integral multiples of $1,000 in excess thereof</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BofA Securities, Inc.</w:t>
              <w:br/>
              <w:t>Citigroup Global Markets Inc.</w:t>
              <w:br/>
              <w:t>J.P. Morgan Securities LLC</w:t>
              <w:br/>
              <w:t>Wells Fargo Securities, LLC</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 xml:space="preserve">BofA Securities, Inc. </w:t>
              <w:br/>
              <w:t>Citigroup Global Markets Inc.</w:t>
              <w:br/>
              <w:t>J.P. Morgan Securities LLC</w:t>
              <w:br/>
              <w:t>Wells Fargo Securities, LLC</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 xml:space="preserve">BofA Securities, Inc. </w:t>
              <w:br/>
              <w:t>Citigroup Global Markets Inc.</w:t>
              <w:br/>
              <w:t>J.P. Morgan Securities LLC</w:t>
              <w:br/>
              <w:t>Wells Fargo Securities, LLC</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Senior Co-Managers: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r>
      <w:tr>
        <w:trPr/>
        <w:tc>
          <w:tcPr>
            <w:tcW w:w="13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65" w:type="dxa"/>
            <w:tcBorders/>
            <w:vAlign w:val="center"/>
          </w:tcPr>
          <w:p>
            <w:pPr>
              <w:pStyle w:val="TableContents"/>
              <w:bidi w:val="0"/>
              <w:spacing w:before="0" w:after="283"/>
              <w:jc w:val="left"/>
              <w:rPr/>
            </w:pPr>
            <w:r>
              <w:rPr/>
              <w:t> </w:t>
            </w:r>
          </w:p>
        </w:tc>
        <w:tc>
          <w:tcPr>
            <w:tcW w:w="4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c>
          <w:tcPr>
            <w:tcW w:w="65" w:type="dxa"/>
            <w:tcBorders/>
            <w:vAlign w:val="center"/>
          </w:tcPr>
          <w:p>
            <w:pPr>
              <w:pStyle w:val="TableContents"/>
              <w:bidi w:val="0"/>
              <w:spacing w:before="0" w:after="283"/>
              <w:jc w:val="left"/>
              <w:rPr/>
            </w:pPr>
            <w:r>
              <w:rPr/>
              <w:t> </w:t>
            </w:r>
          </w:p>
        </w:tc>
        <w:tc>
          <w:tcPr>
            <w:tcW w:w="1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c>
          <w:tcPr>
            <w:tcW w:w="65" w:type="dxa"/>
            <w:tcBorders/>
            <w:vAlign w:val="center"/>
          </w:tcPr>
          <w:p>
            <w:pPr>
              <w:pStyle w:val="TableContents"/>
              <w:bidi w:val="0"/>
              <w:spacing w:before="0" w:after="283"/>
              <w:jc w:val="left"/>
              <w:rPr/>
            </w:pPr>
            <w:r>
              <w:rPr/>
              <w:t> </w:t>
            </w:r>
          </w:p>
        </w:tc>
        <w:tc>
          <w:tcPr>
            <w:tcW w:w="2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expects that delivery of the notes will be made against payment therefor on or about August 10, 2026, which will be the fourth business day following the date of pricing of the notes (such settlement cycle being herein referred to as “T+4”). Under Rule 15c6-1 of the Exchange Act, trades in the secondary market generally are required to settle in one business day, unless the parties to any such trade expressly agree otherwise. Accordingly, purchasers who wish to trade notes prior to the first business day before settlement will be required, by virtue of the fact that the notes initially will settle T+4, to specify an alternate settlement cycle at the time of any such trade to prevent a failed settlement. Purchasers of notes who wish to trade notes prior to the first business day before settlement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revised or withdrawn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**Oversea-Chinese Banking Corporation Limited (“OCBC”) is restricted in its securities dealings in the United States and will not underwrite, subscribe, agree to purchase or procure purchasers to purchase notes that are offered or sold in the United States.  Accordingly, OCBC shall not be obligated to, and shall not, underwrite, subscribe, agree to purchase or procure purchasers to purchase notes that may be offered or sold by other underwriters in the United States.  OCBC shall offer and sell the notes constituting part of its allotment solely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Bancorp Investments, Inc., is an affiliate of the trustee under the indenture governing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an automatic shelf registration statement on Form S-3ASR, including a prospectus dated August 3, 2026 (File No. 333-297918) and a preliminary prospectus supplement dated August 3, 2026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SEC’s website at www.sec.gov. Alternatively, the Issuer, any underwriter or any dealer participating in this offering will arrange to send you the prospectus if you request it by calling Goldman Sachs &amp; Co. LLC toll-free at 1-866-471-2526, BofA Securities, Inc. toll-free at 1-800-294-1322, J.P. Morgan Securities LLC collect at 1-212-834-4533 or Wells Fargo Securities, LLC toll-free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 w:name="tm2622643d2_ex4-1.htm"/>
      <w:bookmarkStart w:id="5" w:name="kstm2622643d2_ex4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(as Issuer)</w:t>
        <w:br/>
        <w:t>and</w:t>
        <w:br/>
        <w:t>U.S. BANK TRUST COMPANY, NATIONAL ASSOCIATION</w:t>
        <w:br/>
        <w:t>(as Trustee)</w:t>
        <w:br/>
        <w:t>Indenture</w:t>
        <w:br/>
        <w:t>Dated as of August 10, 2026</w:t>
        <w:b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RECONCILIATION AND TIE BETWEEN TRUST INDENTURE ACT OF 1939</w:t>
        <w:br/>
        <w:t>AND INDENTURE, DATED AS OF AUGUST 10, 2026</w:t>
      </w:r>
    </w:p>
    <w:p>
      <w:pPr>
        <w:pStyle w:val="TextBody"/>
        <w:bidi w:val="0"/>
        <w:spacing w:before="0" w:after="0"/>
        <w:ind w:left="0" w:right="0" w:hanging="0"/>
        <w:jc w:val="center"/>
        <w:rPr>
          <w:caps w:val="false"/>
          <w:smallCaps w:val="false"/>
        </w:rPr>
      </w:pPr>
      <w:r>
        <w:rPr>
          <w:caps w:val="false"/>
          <w:smallCaps w:val="false"/>
        </w:rPr>
        <w:t> </w:t>
      </w:r>
    </w:p>
    <w:tbl>
      <w:tblPr>
        <w:tblW w:w="5965" w:type="dxa"/>
        <w:jc w:val="center"/>
        <w:tblInd w:w="0" w:type="dxa"/>
        <w:tblLayout w:type="fixed"/>
        <w:tblCellMar>
          <w:top w:w="0" w:type="dxa"/>
          <w:left w:w="0" w:type="dxa"/>
          <w:bottom w:w="28" w:type="dxa"/>
          <w:right w:w="0" w:type="dxa"/>
        </w:tblCellMar>
      </w:tblPr>
      <w:tblGrid>
        <w:gridCol w:w="3710"/>
        <w:gridCol w:w="60"/>
        <w:gridCol w:w="2195"/>
      </w:tblGrid>
      <w:tr>
        <w:trPr/>
        <w:tc>
          <w:tcPr>
            <w:tcW w:w="3710" w:type="dxa"/>
            <w:tcBorders>
              <w:bottom w:val="single" w:sz="8" w:space="0" w:color="000000"/>
            </w:tcBorders>
            <w:vAlign w:val="center"/>
          </w:tcPr>
          <w:p>
            <w:pPr>
              <w:pStyle w:val="TableContents"/>
              <w:bidi w:val="0"/>
              <w:spacing w:before="0" w:after="283"/>
              <w:jc w:val="left"/>
              <w:rPr/>
            </w:pPr>
            <w:r>
              <w:rPr/>
              <w:t>Section of Trust Indenture Act of 1939</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8" w:space="0" w:color="000000"/>
            </w:tcBorders>
            <w:vAlign w:val="center"/>
          </w:tcPr>
          <w:p>
            <w:pPr>
              <w:pStyle w:val="TableContents"/>
              <w:bidi w:val="0"/>
              <w:spacing w:before="0" w:after="283"/>
              <w:jc w:val="left"/>
              <w:rPr/>
            </w:pPr>
            <w:r>
              <w:rPr/>
              <w:t>Section(s) of Indenture</w:t>
            </w:r>
          </w:p>
        </w:tc>
      </w:tr>
      <w:tr>
        <w:trPr/>
        <w:tc>
          <w:tcPr>
            <w:tcW w:w="3710" w:type="dxa"/>
            <w:tcBorders/>
            <w:tcMar>
              <w:bottom w:w="0" w:type="dxa"/>
            </w:tcMar>
            <w:vAlign w:val="center"/>
          </w:tcPr>
          <w:p>
            <w:pPr>
              <w:pStyle w:val="TableContents"/>
              <w:bidi w:val="0"/>
              <w:spacing w:before="0" w:after="283"/>
              <w:jc w:val="left"/>
              <w:rPr/>
            </w:pPr>
            <w:r>
              <w:rPr/>
              <w:t>Section 310(a)(1)</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5.09</w:t>
            </w:r>
          </w:p>
        </w:tc>
      </w:tr>
      <w:tr>
        <w:trPr/>
        <w:tc>
          <w:tcPr>
            <w:tcW w:w="3710" w:type="dxa"/>
            <w:tcBorders/>
            <w:tcMar>
              <w:bottom w:w="0" w:type="dxa"/>
            </w:tcMar>
            <w:vAlign w:val="center"/>
          </w:tcPr>
          <w:p>
            <w:pPr>
              <w:pStyle w:val="TableContents"/>
              <w:bidi w:val="0"/>
              <w:spacing w:before="0" w:after="283"/>
              <w:jc w:val="left"/>
              <w:rPr/>
            </w:pPr>
            <w:r>
              <w:rPr/>
              <w:t>(a)(2)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5.09</w:t>
            </w:r>
          </w:p>
        </w:tc>
      </w:tr>
      <w:tr>
        <w:trPr/>
        <w:tc>
          <w:tcPr>
            <w:tcW w:w="3710" w:type="dxa"/>
            <w:tcBorders/>
            <w:tcMar>
              <w:bottom w:w="0" w:type="dxa"/>
            </w:tcMar>
            <w:vAlign w:val="center"/>
          </w:tcPr>
          <w:p>
            <w:pPr>
              <w:pStyle w:val="TableContents"/>
              <w:bidi w:val="0"/>
              <w:spacing w:before="0" w:after="283"/>
              <w:jc w:val="left"/>
              <w:rPr/>
            </w:pPr>
            <w:r>
              <w:rPr/>
              <w:t>(a)(3)</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(a)(4)</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(a)(5)</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5.09</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5.08</w:t>
            </w:r>
          </w:p>
        </w:tc>
      </w:tr>
      <w:tr>
        <w:trPr/>
        <w:tc>
          <w:tcPr>
            <w:tcW w:w="3710" w:type="dxa"/>
            <w:tcBorders/>
            <w:tcMar>
              <w:bottom w:w="0" w:type="dxa"/>
            </w:tcMar>
            <w:vAlign w:val="center"/>
          </w:tcPr>
          <w:p>
            <w:pPr>
              <w:pStyle w:val="TableContents"/>
              <w:bidi w:val="0"/>
              <w:spacing w:before="0" w:after="283"/>
              <w:jc w:val="left"/>
              <w:rPr/>
            </w:pPr>
            <w:r>
              <w:rPr/>
              <w:t>Section 311(a)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5.13</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5.13</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Section 312(a)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6.01</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6.02</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6.02</w:t>
            </w:r>
          </w:p>
        </w:tc>
      </w:tr>
      <w:tr>
        <w:trPr/>
        <w:tc>
          <w:tcPr>
            <w:tcW w:w="3710" w:type="dxa"/>
            <w:tcBorders/>
            <w:tcMar>
              <w:bottom w:w="0" w:type="dxa"/>
            </w:tcMar>
            <w:vAlign w:val="center"/>
          </w:tcPr>
          <w:p>
            <w:pPr>
              <w:pStyle w:val="TableContents"/>
              <w:bidi w:val="0"/>
              <w:spacing w:before="0" w:after="283"/>
              <w:jc w:val="left"/>
              <w:rPr/>
            </w:pPr>
            <w:r>
              <w:rPr/>
              <w:t>Section 313(a)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(d)</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6.03</w:t>
            </w:r>
          </w:p>
        </w:tc>
      </w:tr>
      <w:tr>
        <w:trPr/>
        <w:tc>
          <w:tcPr>
            <w:tcW w:w="3710" w:type="dxa"/>
            <w:tcBorders/>
            <w:tcMar>
              <w:bottom w:w="0" w:type="dxa"/>
            </w:tcMar>
            <w:vAlign w:val="center"/>
          </w:tcPr>
          <w:p>
            <w:pPr>
              <w:pStyle w:val="TableContents"/>
              <w:bidi w:val="0"/>
              <w:spacing w:before="0" w:after="283"/>
              <w:jc w:val="left"/>
              <w:rPr/>
            </w:pPr>
            <w:r>
              <w:rPr/>
              <w:t>Section 314(a)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6.04</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6.05</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(c)(1)</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1.02</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6.04</w:t>
            </w:r>
          </w:p>
        </w:tc>
      </w:tr>
      <w:tr>
        <w:trPr/>
        <w:tc>
          <w:tcPr>
            <w:tcW w:w="3710" w:type="dxa"/>
            <w:tcBorders/>
            <w:tcMar>
              <w:bottom w:w="0" w:type="dxa"/>
            </w:tcMar>
            <w:vAlign w:val="center"/>
          </w:tcPr>
          <w:p>
            <w:pPr>
              <w:pStyle w:val="TableContents"/>
              <w:bidi w:val="0"/>
              <w:spacing w:before="0" w:after="283"/>
              <w:jc w:val="left"/>
              <w:rPr/>
            </w:pPr>
            <w:r>
              <w:rPr/>
              <w:t>(c)(2)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1.02</w:t>
            </w:r>
          </w:p>
        </w:tc>
      </w:tr>
      <w:tr>
        <w:trPr/>
        <w:tc>
          <w:tcPr>
            <w:tcW w:w="3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6.04</w:t>
            </w:r>
          </w:p>
        </w:tc>
      </w:tr>
      <w:tr>
        <w:trPr/>
        <w:tc>
          <w:tcPr>
            <w:tcW w:w="3710" w:type="dxa"/>
            <w:tcBorders/>
            <w:tcMar>
              <w:bottom w:w="0" w:type="dxa"/>
            </w:tcMar>
            <w:vAlign w:val="center"/>
          </w:tcPr>
          <w:p>
            <w:pPr>
              <w:pStyle w:val="TableContents"/>
              <w:bidi w:val="0"/>
              <w:spacing w:before="0" w:after="283"/>
              <w:jc w:val="left"/>
              <w:rPr/>
            </w:pPr>
            <w:r>
              <w:rPr/>
              <w:t>(c)(3)</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(d)</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(e)</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1.02</w:t>
            </w:r>
          </w:p>
        </w:tc>
      </w:tr>
      <w:tr>
        <w:trPr/>
        <w:tc>
          <w:tcPr>
            <w:tcW w:w="3710" w:type="dxa"/>
            <w:tcBorders/>
            <w:tcMar>
              <w:bottom w:w="0" w:type="dxa"/>
            </w:tcMar>
            <w:vAlign w:val="center"/>
          </w:tcPr>
          <w:p>
            <w:pPr>
              <w:pStyle w:val="TableContents"/>
              <w:bidi w:val="0"/>
              <w:spacing w:before="0" w:after="283"/>
              <w:jc w:val="left"/>
              <w:rPr/>
            </w:pPr>
            <w:r>
              <w:rPr/>
              <w:t>Section 315(a)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5.01</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5.02</w:t>
            </w:r>
          </w:p>
        </w:tc>
      </w:tr>
      <w:tr>
        <w:trPr/>
        <w:tc>
          <w:tcPr>
            <w:tcW w:w="3710" w:type="dxa"/>
            <w:tcBorders/>
            <w:tcMar>
              <w:bottom w:w="0" w:type="dxa"/>
            </w:tcMar>
            <w:vAlign w:val="center"/>
          </w:tcPr>
          <w:p>
            <w:pPr>
              <w:pStyle w:val="TableContents"/>
              <w:bidi w:val="0"/>
              <w:spacing w:before="0" w:after="283"/>
              <w:jc w:val="left"/>
              <w:rPr/>
            </w:pPr>
            <w:r>
              <w:rPr/>
              <w:t>(c)</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5.01</w:t>
            </w:r>
          </w:p>
        </w:tc>
      </w:tr>
      <w:tr>
        <w:trPr/>
        <w:tc>
          <w:tcPr>
            <w:tcW w:w="3710" w:type="dxa"/>
            <w:tcBorders/>
            <w:tcMar>
              <w:bottom w:w="0" w:type="dxa"/>
            </w:tcMar>
            <w:vAlign w:val="center"/>
          </w:tcPr>
          <w:p>
            <w:pPr>
              <w:pStyle w:val="TableContents"/>
              <w:bidi w:val="0"/>
              <w:spacing w:before="0" w:after="283"/>
              <w:jc w:val="left"/>
              <w:rPr/>
            </w:pPr>
            <w:r>
              <w:rPr/>
              <w:t>(d)</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5.01</w:t>
            </w:r>
          </w:p>
        </w:tc>
      </w:tr>
      <w:tr>
        <w:trPr/>
        <w:tc>
          <w:tcPr>
            <w:tcW w:w="3710" w:type="dxa"/>
            <w:tcBorders/>
            <w:tcMar>
              <w:bottom w:w="0" w:type="dxa"/>
            </w:tcMar>
            <w:vAlign w:val="center"/>
          </w:tcPr>
          <w:p>
            <w:pPr>
              <w:pStyle w:val="TableContents"/>
              <w:bidi w:val="0"/>
              <w:spacing w:before="0" w:after="283"/>
              <w:jc w:val="left"/>
              <w:rPr/>
            </w:pPr>
            <w:r>
              <w:rPr/>
              <w:t>(e)</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4.14</w:t>
            </w:r>
          </w:p>
        </w:tc>
      </w:tr>
      <w:tr>
        <w:trPr/>
        <w:tc>
          <w:tcPr>
            <w:tcW w:w="3710" w:type="dxa"/>
            <w:tcBorders/>
            <w:tcMar>
              <w:bottom w:w="0" w:type="dxa"/>
            </w:tcMar>
            <w:vAlign w:val="center"/>
          </w:tcPr>
          <w:p>
            <w:pPr>
              <w:pStyle w:val="TableContents"/>
              <w:bidi w:val="0"/>
              <w:spacing w:before="0" w:after="283"/>
              <w:jc w:val="left"/>
              <w:rPr/>
            </w:pPr>
            <w:r>
              <w:rPr/>
              <w:t>Section 316(a)(1)(A)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4.12</w:t>
            </w:r>
          </w:p>
        </w:tc>
      </w:tr>
      <w:tr>
        <w:trPr/>
        <w:tc>
          <w:tcPr>
            <w:tcW w:w="3710" w:type="dxa"/>
            <w:tcBorders/>
            <w:tcMar>
              <w:bottom w:w="0" w:type="dxa"/>
            </w:tcMar>
            <w:vAlign w:val="center"/>
          </w:tcPr>
          <w:p>
            <w:pPr>
              <w:pStyle w:val="TableContents"/>
              <w:bidi w:val="0"/>
              <w:spacing w:before="0" w:after="283"/>
              <w:jc w:val="left"/>
              <w:rPr/>
            </w:pPr>
            <w:r>
              <w:rPr/>
              <w:t>(a)(1)(B)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4.13</w:t>
            </w:r>
          </w:p>
        </w:tc>
      </w:tr>
      <w:tr>
        <w:trPr/>
        <w:tc>
          <w:tcPr>
            <w:tcW w:w="3710" w:type="dxa"/>
            <w:tcBorders/>
            <w:tcMar>
              <w:bottom w:w="0" w:type="dxa"/>
            </w:tcMar>
            <w:vAlign w:val="center"/>
          </w:tcPr>
          <w:p>
            <w:pPr>
              <w:pStyle w:val="TableContents"/>
              <w:bidi w:val="0"/>
              <w:spacing w:before="0" w:after="283"/>
              <w:jc w:val="left"/>
              <w:rPr/>
            </w:pPr>
            <w:r>
              <w:rPr/>
              <w:t>(a)(2)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Not Applicable</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4.08</w:t>
            </w:r>
          </w:p>
        </w:tc>
      </w:tr>
      <w:tr>
        <w:trPr/>
        <w:tc>
          <w:tcPr>
            <w:tcW w:w="3710" w:type="dxa"/>
            <w:tcBorders/>
            <w:tcMar>
              <w:bottom w:w="0" w:type="dxa"/>
            </w:tcMar>
            <w:vAlign w:val="center"/>
          </w:tcPr>
          <w:p>
            <w:pPr>
              <w:pStyle w:val="TableContents"/>
              <w:bidi w:val="0"/>
              <w:spacing w:before="0" w:after="283"/>
              <w:jc w:val="left"/>
              <w:rPr/>
            </w:pPr>
            <w:r>
              <w:rPr/>
              <w:t>Section 317(a)(1)</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4.03</w:t>
            </w:r>
          </w:p>
        </w:tc>
      </w:tr>
      <w:tr>
        <w:trPr/>
        <w:tc>
          <w:tcPr>
            <w:tcW w:w="3710" w:type="dxa"/>
            <w:tcBorders/>
            <w:tcMar>
              <w:bottom w:w="0" w:type="dxa"/>
            </w:tcMar>
            <w:vAlign w:val="center"/>
          </w:tcPr>
          <w:p>
            <w:pPr>
              <w:pStyle w:val="TableContents"/>
              <w:bidi w:val="0"/>
              <w:spacing w:before="0" w:after="283"/>
              <w:jc w:val="left"/>
              <w:rPr/>
            </w:pPr>
            <w:r>
              <w:rPr/>
              <w:t>(a)(2)</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4.04</w:t>
            </w:r>
          </w:p>
        </w:tc>
      </w:tr>
      <w:tr>
        <w:trPr/>
        <w:tc>
          <w:tcPr>
            <w:tcW w:w="3710" w:type="dxa"/>
            <w:tcBorders/>
            <w:tcMar>
              <w:bottom w:w="0" w:type="dxa"/>
            </w:tcMar>
            <w:vAlign w:val="center"/>
          </w:tcPr>
          <w:p>
            <w:pPr>
              <w:pStyle w:val="TableContents"/>
              <w:bidi w:val="0"/>
              <w:spacing w:before="0" w:after="283"/>
              <w:jc w:val="left"/>
              <w:rPr/>
            </w:pPr>
            <w:r>
              <w:rPr/>
              <w:t>(b)</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9.03</w:t>
            </w:r>
          </w:p>
        </w:tc>
      </w:tr>
      <w:tr>
        <w:trPr/>
        <w:tc>
          <w:tcPr>
            <w:tcW w:w="3710" w:type="dxa"/>
            <w:tcBorders/>
            <w:tcMar>
              <w:bottom w:w="0" w:type="dxa"/>
            </w:tcMar>
            <w:vAlign w:val="center"/>
          </w:tcPr>
          <w:p>
            <w:pPr>
              <w:pStyle w:val="TableContents"/>
              <w:bidi w:val="0"/>
              <w:spacing w:before="0" w:after="283"/>
              <w:jc w:val="left"/>
              <w:rPr/>
            </w:pPr>
            <w:r>
              <w:rPr/>
              <w:t>Section 318(a)</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Section 1.07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a part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1745"/>
        <w:gridCol w:w="6275"/>
        <w:gridCol w:w="275"/>
      </w:tblGrid>
      <w:tr>
        <w:trPr/>
        <w:tc>
          <w:tcPr>
            <w:tcW w:w="8295" w:type="dxa"/>
            <w:gridSpan w:val="3"/>
            <w:tcBorders/>
            <w:vAlign w:val="center"/>
          </w:tcPr>
          <w:p>
            <w:pPr>
              <w:pStyle w:val="TableContents"/>
              <w:bidi w:val="0"/>
              <w:spacing w:before="0" w:after="283"/>
              <w:jc w:val="center"/>
              <w:rPr/>
            </w:pPr>
            <w:r>
              <w:rPr/>
              <w:t xml:space="preserve">Article I </w:t>
              <w:br/>
              <w:t>DEFINITIONS AND OTHER PROVISIONS OF GENERAL APPLICATION</w:t>
            </w:r>
          </w:p>
        </w:tc>
      </w:tr>
      <w:tr>
        <w:trPr/>
        <w:tc>
          <w:tcPr>
            <w:tcW w:w="1745" w:type="dxa"/>
            <w:tcBorders/>
            <w:vAlign w:val="center"/>
          </w:tcPr>
          <w:p>
            <w:pPr>
              <w:pStyle w:val="TableContents"/>
              <w:bidi w:val="0"/>
              <w:spacing w:before="0" w:after="283"/>
              <w:jc w:val="left"/>
              <w:rPr>
                <w:caps/>
              </w:rPr>
            </w:pPr>
            <w:r>
              <w:rPr>
                <w:caps/>
              </w:rPr>
              <w:t>Section 1.01.   </w:t>
            </w:r>
          </w:p>
        </w:tc>
        <w:tc>
          <w:tcPr>
            <w:tcW w:w="6275" w:type="dxa"/>
            <w:tcBorders/>
            <w:vAlign w:val="center"/>
          </w:tcPr>
          <w:p>
            <w:pPr>
              <w:pStyle w:val="TableContents"/>
              <w:bidi w:val="0"/>
              <w:spacing w:before="0" w:after="283"/>
              <w:jc w:val="left"/>
              <w:rPr/>
            </w:pPr>
            <w:r>
              <w:rPr/>
              <w:t>Definitions</w:t>
            </w:r>
          </w:p>
        </w:tc>
        <w:tc>
          <w:tcPr>
            <w:tcW w:w="275" w:type="dxa"/>
            <w:tcBorders/>
            <w:vAlign w:val="center"/>
          </w:tcPr>
          <w:p>
            <w:pPr>
              <w:pStyle w:val="TableContents"/>
              <w:bidi w:val="0"/>
              <w:spacing w:before="0" w:after="283"/>
              <w:jc w:val="right"/>
              <w:rPr/>
            </w:pPr>
            <w:r>
              <w:rPr/>
              <w:t>5</w:t>
            </w:r>
          </w:p>
        </w:tc>
      </w:tr>
      <w:tr>
        <w:trPr/>
        <w:tc>
          <w:tcPr>
            <w:tcW w:w="1745" w:type="dxa"/>
            <w:tcBorders/>
            <w:vAlign w:val="center"/>
          </w:tcPr>
          <w:p>
            <w:pPr>
              <w:pStyle w:val="TableContents"/>
              <w:bidi w:val="0"/>
              <w:spacing w:before="0" w:after="283"/>
              <w:jc w:val="left"/>
              <w:rPr>
                <w:caps/>
              </w:rPr>
            </w:pPr>
            <w:r>
              <w:rPr>
                <w:caps/>
              </w:rPr>
              <w:t>Section 1.02.   </w:t>
            </w:r>
          </w:p>
        </w:tc>
        <w:tc>
          <w:tcPr>
            <w:tcW w:w="6275" w:type="dxa"/>
            <w:tcBorders/>
            <w:vAlign w:val="center"/>
          </w:tcPr>
          <w:p>
            <w:pPr>
              <w:pStyle w:val="TableContents"/>
              <w:bidi w:val="0"/>
              <w:spacing w:before="0" w:after="283"/>
              <w:jc w:val="left"/>
              <w:rPr/>
            </w:pPr>
            <w:r>
              <w:rPr/>
              <w:t>Officer’s Certificates and Opinions</w:t>
            </w:r>
          </w:p>
        </w:tc>
        <w:tc>
          <w:tcPr>
            <w:tcW w:w="275" w:type="dxa"/>
            <w:tcBorders/>
            <w:vAlign w:val="center"/>
          </w:tcPr>
          <w:p>
            <w:pPr>
              <w:pStyle w:val="TableContents"/>
              <w:bidi w:val="0"/>
              <w:spacing w:before="0" w:after="283"/>
              <w:jc w:val="right"/>
              <w:rPr/>
            </w:pPr>
            <w:r>
              <w:rPr/>
              <w:t>12</w:t>
            </w:r>
          </w:p>
        </w:tc>
      </w:tr>
      <w:tr>
        <w:trPr/>
        <w:tc>
          <w:tcPr>
            <w:tcW w:w="1745" w:type="dxa"/>
            <w:tcBorders/>
            <w:vAlign w:val="center"/>
          </w:tcPr>
          <w:p>
            <w:pPr>
              <w:pStyle w:val="TableContents"/>
              <w:bidi w:val="0"/>
              <w:spacing w:before="0" w:after="283"/>
              <w:jc w:val="left"/>
              <w:rPr>
                <w:caps/>
              </w:rPr>
            </w:pPr>
            <w:r>
              <w:rPr>
                <w:caps/>
              </w:rPr>
              <w:t>Section 1.03.   </w:t>
            </w:r>
          </w:p>
        </w:tc>
        <w:tc>
          <w:tcPr>
            <w:tcW w:w="6275" w:type="dxa"/>
            <w:tcBorders/>
            <w:vAlign w:val="center"/>
          </w:tcPr>
          <w:p>
            <w:pPr>
              <w:pStyle w:val="TableContents"/>
              <w:bidi w:val="0"/>
              <w:spacing w:before="0" w:after="283"/>
              <w:jc w:val="left"/>
              <w:rPr/>
            </w:pPr>
            <w:r>
              <w:rPr/>
              <w:t>Form of Documents Delivered to Trustee</w:t>
            </w:r>
          </w:p>
        </w:tc>
        <w:tc>
          <w:tcPr>
            <w:tcW w:w="275" w:type="dxa"/>
            <w:tcBorders/>
            <w:vAlign w:val="center"/>
          </w:tcPr>
          <w:p>
            <w:pPr>
              <w:pStyle w:val="TableContents"/>
              <w:bidi w:val="0"/>
              <w:spacing w:before="0" w:after="283"/>
              <w:jc w:val="right"/>
              <w:rPr/>
            </w:pPr>
            <w:r>
              <w:rPr/>
              <w:t>13</w:t>
            </w:r>
          </w:p>
        </w:tc>
      </w:tr>
      <w:tr>
        <w:trPr/>
        <w:tc>
          <w:tcPr>
            <w:tcW w:w="1745" w:type="dxa"/>
            <w:tcBorders/>
            <w:vAlign w:val="center"/>
          </w:tcPr>
          <w:p>
            <w:pPr>
              <w:pStyle w:val="TableContents"/>
              <w:bidi w:val="0"/>
              <w:spacing w:before="0" w:after="283"/>
              <w:jc w:val="left"/>
              <w:rPr>
                <w:caps/>
              </w:rPr>
            </w:pPr>
            <w:r>
              <w:rPr>
                <w:caps/>
              </w:rPr>
              <w:t>Section 1.04.   </w:t>
            </w:r>
          </w:p>
        </w:tc>
        <w:tc>
          <w:tcPr>
            <w:tcW w:w="6275" w:type="dxa"/>
            <w:tcBorders/>
            <w:vAlign w:val="center"/>
          </w:tcPr>
          <w:p>
            <w:pPr>
              <w:pStyle w:val="TableContents"/>
              <w:bidi w:val="0"/>
              <w:spacing w:before="0" w:after="283"/>
              <w:jc w:val="left"/>
              <w:rPr/>
            </w:pPr>
            <w:r>
              <w:rPr/>
              <w:t>Acts of Holders</w:t>
            </w:r>
          </w:p>
        </w:tc>
        <w:tc>
          <w:tcPr>
            <w:tcW w:w="275" w:type="dxa"/>
            <w:tcBorders/>
            <w:vAlign w:val="center"/>
          </w:tcPr>
          <w:p>
            <w:pPr>
              <w:pStyle w:val="TableContents"/>
              <w:bidi w:val="0"/>
              <w:spacing w:before="0" w:after="283"/>
              <w:jc w:val="right"/>
              <w:rPr/>
            </w:pPr>
            <w:r>
              <w:rPr/>
              <w:t>13</w:t>
            </w:r>
          </w:p>
        </w:tc>
      </w:tr>
      <w:tr>
        <w:trPr/>
        <w:tc>
          <w:tcPr>
            <w:tcW w:w="1745" w:type="dxa"/>
            <w:tcBorders/>
            <w:vAlign w:val="center"/>
          </w:tcPr>
          <w:p>
            <w:pPr>
              <w:pStyle w:val="TableContents"/>
              <w:bidi w:val="0"/>
              <w:spacing w:before="0" w:after="283"/>
              <w:jc w:val="left"/>
              <w:rPr>
                <w:caps/>
              </w:rPr>
            </w:pPr>
            <w:r>
              <w:rPr>
                <w:caps/>
              </w:rPr>
              <w:t>Section 1.05.   </w:t>
            </w:r>
          </w:p>
        </w:tc>
        <w:tc>
          <w:tcPr>
            <w:tcW w:w="6275" w:type="dxa"/>
            <w:tcBorders/>
            <w:vAlign w:val="center"/>
          </w:tcPr>
          <w:p>
            <w:pPr>
              <w:pStyle w:val="TableContents"/>
              <w:bidi w:val="0"/>
              <w:spacing w:before="0" w:after="283"/>
              <w:jc w:val="left"/>
              <w:rPr/>
            </w:pPr>
            <w:r>
              <w:rPr/>
              <w:t>Notices, Etc., to Trustee and Issuer</w:t>
            </w:r>
          </w:p>
        </w:tc>
        <w:tc>
          <w:tcPr>
            <w:tcW w:w="275" w:type="dxa"/>
            <w:tcBorders/>
            <w:vAlign w:val="center"/>
          </w:tcPr>
          <w:p>
            <w:pPr>
              <w:pStyle w:val="TableContents"/>
              <w:bidi w:val="0"/>
              <w:spacing w:before="0" w:after="283"/>
              <w:jc w:val="right"/>
              <w:rPr/>
            </w:pPr>
            <w:r>
              <w:rPr/>
              <w:t>14</w:t>
            </w:r>
          </w:p>
        </w:tc>
      </w:tr>
      <w:tr>
        <w:trPr/>
        <w:tc>
          <w:tcPr>
            <w:tcW w:w="1745" w:type="dxa"/>
            <w:tcBorders/>
            <w:vAlign w:val="center"/>
          </w:tcPr>
          <w:p>
            <w:pPr>
              <w:pStyle w:val="TableContents"/>
              <w:bidi w:val="0"/>
              <w:spacing w:before="0" w:after="283"/>
              <w:jc w:val="left"/>
              <w:rPr>
                <w:caps/>
              </w:rPr>
            </w:pPr>
            <w:r>
              <w:rPr>
                <w:caps/>
              </w:rPr>
              <w:t>Section 1.06.   </w:t>
            </w:r>
          </w:p>
        </w:tc>
        <w:tc>
          <w:tcPr>
            <w:tcW w:w="6275" w:type="dxa"/>
            <w:tcBorders/>
            <w:vAlign w:val="center"/>
          </w:tcPr>
          <w:p>
            <w:pPr>
              <w:pStyle w:val="TableContents"/>
              <w:bidi w:val="0"/>
              <w:spacing w:before="0" w:after="283"/>
              <w:jc w:val="left"/>
              <w:rPr/>
            </w:pPr>
            <w:r>
              <w:rPr/>
              <w:t>Notice to Holders; Waiver</w:t>
            </w:r>
          </w:p>
        </w:tc>
        <w:tc>
          <w:tcPr>
            <w:tcW w:w="275" w:type="dxa"/>
            <w:tcBorders/>
            <w:vAlign w:val="center"/>
          </w:tcPr>
          <w:p>
            <w:pPr>
              <w:pStyle w:val="TableContents"/>
              <w:bidi w:val="0"/>
              <w:spacing w:before="0" w:after="283"/>
              <w:jc w:val="right"/>
              <w:rPr/>
            </w:pPr>
            <w:r>
              <w:rPr/>
              <w:t>14</w:t>
            </w:r>
          </w:p>
        </w:tc>
      </w:tr>
      <w:tr>
        <w:trPr/>
        <w:tc>
          <w:tcPr>
            <w:tcW w:w="1745" w:type="dxa"/>
            <w:tcBorders/>
            <w:vAlign w:val="center"/>
          </w:tcPr>
          <w:p>
            <w:pPr>
              <w:pStyle w:val="TableContents"/>
              <w:bidi w:val="0"/>
              <w:spacing w:before="0" w:after="283"/>
              <w:jc w:val="left"/>
              <w:rPr>
                <w:caps/>
              </w:rPr>
            </w:pPr>
            <w:r>
              <w:rPr>
                <w:caps/>
              </w:rPr>
              <w:t>Section 1.07.   </w:t>
            </w:r>
          </w:p>
        </w:tc>
        <w:tc>
          <w:tcPr>
            <w:tcW w:w="6275" w:type="dxa"/>
            <w:tcBorders/>
            <w:vAlign w:val="center"/>
          </w:tcPr>
          <w:p>
            <w:pPr>
              <w:pStyle w:val="TableContents"/>
              <w:bidi w:val="0"/>
              <w:spacing w:before="0" w:after="283"/>
              <w:jc w:val="left"/>
              <w:rPr/>
            </w:pPr>
            <w:r>
              <w:rPr/>
              <w:t>Conflict with Trust Indenture Act</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1.08.   </w:t>
            </w:r>
          </w:p>
        </w:tc>
        <w:tc>
          <w:tcPr>
            <w:tcW w:w="6275" w:type="dxa"/>
            <w:tcBorders/>
            <w:vAlign w:val="center"/>
          </w:tcPr>
          <w:p>
            <w:pPr>
              <w:pStyle w:val="TableContents"/>
              <w:bidi w:val="0"/>
              <w:spacing w:before="0" w:after="283"/>
              <w:jc w:val="left"/>
              <w:rPr/>
            </w:pPr>
            <w:r>
              <w:rPr/>
              <w:t>Effect of Headings and Table of Contents</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1.09.   </w:t>
            </w:r>
          </w:p>
        </w:tc>
        <w:tc>
          <w:tcPr>
            <w:tcW w:w="6275" w:type="dxa"/>
            <w:tcBorders/>
            <w:vAlign w:val="center"/>
          </w:tcPr>
          <w:p>
            <w:pPr>
              <w:pStyle w:val="TableContents"/>
              <w:bidi w:val="0"/>
              <w:spacing w:before="0" w:after="283"/>
              <w:jc w:val="left"/>
              <w:rPr/>
            </w:pPr>
            <w:r>
              <w:rPr/>
              <w:t>Successors and Assigns</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1.10.   </w:t>
            </w:r>
          </w:p>
        </w:tc>
        <w:tc>
          <w:tcPr>
            <w:tcW w:w="6275" w:type="dxa"/>
            <w:tcBorders/>
            <w:vAlign w:val="center"/>
          </w:tcPr>
          <w:p>
            <w:pPr>
              <w:pStyle w:val="TableContents"/>
              <w:bidi w:val="0"/>
              <w:spacing w:before="0" w:after="283"/>
              <w:jc w:val="left"/>
              <w:rPr/>
            </w:pPr>
            <w:r>
              <w:rPr/>
              <w:t>Separability Clause</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1.11.   </w:t>
            </w:r>
          </w:p>
        </w:tc>
        <w:tc>
          <w:tcPr>
            <w:tcW w:w="6275" w:type="dxa"/>
            <w:tcBorders/>
            <w:vAlign w:val="center"/>
          </w:tcPr>
          <w:p>
            <w:pPr>
              <w:pStyle w:val="TableContents"/>
              <w:bidi w:val="0"/>
              <w:spacing w:before="0" w:after="283"/>
              <w:jc w:val="left"/>
              <w:rPr/>
            </w:pPr>
            <w:r>
              <w:rPr/>
              <w:t>Benefits of Indenture</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1.12.   </w:t>
            </w:r>
          </w:p>
        </w:tc>
        <w:tc>
          <w:tcPr>
            <w:tcW w:w="6275" w:type="dxa"/>
            <w:tcBorders/>
            <w:vAlign w:val="center"/>
          </w:tcPr>
          <w:p>
            <w:pPr>
              <w:pStyle w:val="TableContents"/>
              <w:bidi w:val="0"/>
              <w:spacing w:before="0" w:after="283"/>
              <w:jc w:val="left"/>
              <w:rPr/>
            </w:pPr>
            <w:r>
              <w:rPr/>
              <w:t>Governing Law</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1.13.   </w:t>
            </w:r>
          </w:p>
        </w:tc>
        <w:tc>
          <w:tcPr>
            <w:tcW w:w="6275"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jc w:val="right"/>
              <w:rPr/>
            </w:pPr>
            <w:r>
              <w:rPr/>
              <w:t>15</w:t>
            </w:r>
          </w:p>
        </w:tc>
      </w:tr>
      <w:tr>
        <w:trPr/>
        <w:tc>
          <w:tcPr>
            <w:tcW w:w="1745" w:type="dxa"/>
            <w:tcBorders/>
            <w:vAlign w:val="center"/>
          </w:tcPr>
          <w:p>
            <w:pPr>
              <w:pStyle w:val="TableContents"/>
              <w:bidi w:val="0"/>
              <w:spacing w:before="0" w:after="283"/>
              <w:jc w:val="left"/>
              <w:rPr>
                <w:caps/>
              </w:rPr>
            </w:pPr>
            <w:r>
              <w:rPr>
                <w:caps/>
              </w:rPr>
              <w:t>Section 1.14.   </w:t>
            </w:r>
          </w:p>
        </w:tc>
        <w:tc>
          <w:tcPr>
            <w:tcW w:w="6275" w:type="dxa"/>
            <w:tcBorders/>
            <w:vAlign w:val="center"/>
          </w:tcPr>
          <w:p>
            <w:pPr>
              <w:pStyle w:val="TableContents"/>
              <w:bidi w:val="0"/>
              <w:spacing w:before="0" w:after="283"/>
              <w:jc w:val="left"/>
              <w:rPr/>
            </w:pPr>
            <w:r>
              <w:rPr/>
              <w:t>Legal Holidays</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1.15.   </w:t>
            </w:r>
          </w:p>
        </w:tc>
        <w:tc>
          <w:tcPr>
            <w:tcW w:w="6275" w:type="dxa"/>
            <w:tcBorders/>
            <w:vAlign w:val="center"/>
          </w:tcPr>
          <w:p>
            <w:pPr>
              <w:pStyle w:val="TableContents"/>
              <w:bidi w:val="0"/>
              <w:spacing w:before="0" w:after="283"/>
              <w:jc w:val="left"/>
              <w:rPr/>
            </w:pPr>
            <w:r>
              <w:rPr/>
              <w:t>Waiver of Jury Trial</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1.16.   </w:t>
            </w:r>
          </w:p>
        </w:tc>
        <w:tc>
          <w:tcPr>
            <w:tcW w:w="6275" w:type="dxa"/>
            <w:tcBorders/>
            <w:vAlign w:val="center"/>
          </w:tcPr>
          <w:p>
            <w:pPr>
              <w:pStyle w:val="TableContents"/>
              <w:bidi w:val="0"/>
              <w:spacing w:before="0" w:after="283"/>
              <w:jc w:val="left"/>
              <w:rPr/>
            </w:pPr>
            <w:r>
              <w:rPr/>
              <w:t>USA PATRIOT Act</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1.17.   </w:t>
            </w:r>
          </w:p>
        </w:tc>
        <w:tc>
          <w:tcPr>
            <w:tcW w:w="6275" w:type="dxa"/>
            <w:tcBorders/>
            <w:vAlign w:val="center"/>
          </w:tcPr>
          <w:p>
            <w:pPr>
              <w:pStyle w:val="TableContents"/>
              <w:bidi w:val="0"/>
              <w:spacing w:before="0" w:after="283"/>
              <w:jc w:val="left"/>
              <w:rPr/>
            </w:pPr>
            <w:r>
              <w:rPr/>
              <w:t>Acceptance of Trust</w:t>
            </w:r>
          </w:p>
        </w:tc>
        <w:tc>
          <w:tcPr>
            <w:tcW w:w="275" w:type="dxa"/>
            <w:tcBorders/>
            <w:vAlign w:val="center"/>
          </w:tcPr>
          <w:p>
            <w:pPr>
              <w:pStyle w:val="TableContents"/>
              <w:bidi w:val="0"/>
              <w:spacing w:before="0" w:after="283"/>
              <w:jc w:val="right"/>
              <w:rPr/>
            </w:pPr>
            <w:r>
              <w:rPr/>
              <w:t>16</w:t>
            </w:r>
          </w:p>
        </w:tc>
      </w:tr>
      <w:tr>
        <w:trPr/>
        <w:tc>
          <w:tcPr>
            <w:tcW w:w="8295" w:type="dxa"/>
            <w:gridSpan w:val="3"/>
            <w:tcBorders/>
            <w:vAlign w:val="center"/>
          </w:tcPr>
          <w:p>
            <w:pPr>
              <w:pStyle w:val="TableContents"/>
              <w:bidi w:val="0"/>
              <w:spacing w:before="0" w:after="283"/>
              <w:jc w:val="center"/>
              <w:rPr/>
            </w:pPr>
            <w:r>
              <w:rPr/>
              <w:t>Article II</w:t>
              <w:br/>
              <w:t>THE NOTES</w:t>
            </w:r>
          </w:p>
        </w:tc>
      </w:tr>
      <w:tr>
        <w:trPr/>
        <w:tc>
          <w:tcPr>
            <w:tcW w:w="1745" w:type="dxa"/>
            <w:tcBorders/>
            <w:vAlign w:val="center"/>
          </w:tcPr>
          <w:p>
            <w:pPr>
              <w:pStyle w:val="TableContents"/>
              <w:bidi w:val="0"/>
              <w:spacing w:before="0" w:after="283"/>
              <w:jc w:val="left"/>
              <w:rPr>
                <w:caps/>
              </w:rPr>
            </w:pPr>
            <w:r>
              <w:rPr>
                <w:caps/>
              </w:rPr>
              <w:t>Section 2.01.   </w:t>
            </w:r>
          </w:p>
        </w:tc>
        <w:tc>
          <w:tcPr>
            <w:tcW w:w="6275" w:type="dxa"/>
            <w:tcBorders/>
            <w:vAlign w:val="center"/>
          </w:tcPr>
          <w:p>
            <w:pPr>
              <w:pStyle w:val="TableContents"/>
              <w:bidi w:val="0"/>
              <w:spacing w:before="0" w:after="283"/>
              <w:jc w:val="left"/>
              <w:rPr/>
            </w:pPr>
            <w:r>
              <w:rPr/>
              <w:t>Form and Dating</w:t>
            </w:r>
          </w:p>
        </w:tc>
        <w:tc>
          <w:tcPr>
            <w:tcW w:w="275" w:type="dxa"/>
            <w:tcBorders/>
            <w:vAlign w:val="center"/>
          </w:tcPr>
          <w:p>
            <w:pPr>
              <w:pStyle w:val="TableContents"/>
              <w:bidi w:val="0"/>
              <w:spacing w:before="0" w:after="283"/>
              <w:jc w:val="right"/>
              <w:rPr/>
            </w:pPr>
            <w:r>
              <w:rPr/>
              <w:t>16</w:t>
            </w:r>
          </w:p>
        </w:tc>
      </w:tr>
      <w:tr>
        <w:trPr/>
        <w:tc>
          <w:tcPr>
            <w:tcW w:w="1745" w:type="dxa"/>
            <w:tcBorders/>
            <w:vAlign w:val="center"/>
          </w:tcPr>
          <w:p>
            <w:pPr>
              <w:pStyle w:val="TableContents"/>
              <w:bidi w:val="0"/>
              <w:spacing w:before="0" w:after="283"/>
              <w:jc w:val="left"/>
              <w:rPr>
                <w:caps/>
              </w:rPr>
            </w:pPr>
            <w:r>
              <w:rPr>
                <w:caps/>
              </w:rPr>
              <w:t>Section 2.02.   </w:t>
            </w:r>
          </w:p>
        </w:tc>
        <w:tc>
          <w:tcPr>
            <w:tcW w:w="6275" w:type="dxa"/>
            <w:tcBorders/>
            <w:vAlign w:val="center"/>
          </w:tcPr>
          <w:p>
            <w:pPr>
              <w:pStyle w:val="TableContents"/>
              <w:bidi w:val="0"/>
              <w:spacing w:before="0" w:after="283"/>
              <w:jc w:val="left"/>
              <w:rPr/>
            </w:pPr>
            <w:r>
              <w:rPr/>
              <w:t>Execution and Authentication</w:t>
            </w:r>
          </w:p>
        </w:tc>
        <w:tc>
          <w:tcPr>
            <w:tcW w:w="275" w:type="dxa"/>
            <w:tcBorders/>
            <w:vAlign w:val="center"/>
          </w:tcPr>
          <w:p>
            <w:pPr>
              <w:pStyle w:val="TableContents"/>
              <w:bidi w:val="0"/>
              <w:spacing w:before="0" w:after="283"/>
              <w:jc w:val="right"/>
              <w:rPr/>
            </w:pPr>
            <w:r>
              <w:rPr/>
              <w:t>20</w:t>
            </w:r>
          </w:p>
        </w:tc>
      </w:tr>
      <w:tr>
        <w:trPr/>
        <w:tc>
          <w:tcPr>
            <w:tcW w:w="1745" w:type="dxa"/>
            <w:tcBorders/>
            <w:vAlign w:val="center"/>
          </w:tcPr>
          <w:p>
            <w:pPr>
              <w:pStyle w:val="TableContents"/>
              <w:bidi w:val="0"/>
              <w:spacing w:before="0" w:after="283"/>
              <w:jc w:val="left"/>
              <w:rPr>
                <w:caps/>
              </w:rPr>
            </w:pPr>
            <w:r>
              <w:rPr>
                <w:caps/>
              </w:rPr>
              <w:t>Section 2.03.   </w:t>
            </w:r>
          </w:p>
        </w:tc>
        <w:tc>
          <w:tcPr>
            <w:tcW w:w="6275" w:type="dxa"/>
            <w:tcBorders/>
            <w:vAlign w:val="center"/>
          </w:tcPr>
          <w:p>
            <w:pPr>
              <w:pStyle w:val="TableContents"/>
              <w:bidi w:val="0"/>
              <w:spacing w:before="0" w:after="283"/>
              <w:jc w:val="left"/>
              <w:rPr/>
            </w:pPr>
            <w:r>
              <w:rPr/>
              <w:t>Temporary Notes</w:t>
            </w:r>
          </w:p>
        </w:tc>
        <w:tc>
          <w:tcPr>
            <w:tcW w:w="275" w:type="dxa"/>
            <w:tcBorders/>
            <w:vAlign w:val="center"/>
          </w:tcPr>
          <w:p>
            <w:pPr>
              <w:pStyle w:val="TableContents"/>
              <w:bidi w:val="0"/>
              <w:spacing w:before="0" w:after="283"/>
              <w:jc w:val="right"/>
              <w:rPr/>
            </w:pPr>
            <w:r>
              <w:rPr/>
              <w:t>21</w:t>
            </w:r>
          </w:p>
        </w:tc>
      </w:tr>
      <w:tr>
        <w:trPr/>
        <w:tc>
          <w:tcPr>
            <w:tcW w:w="1745" w:type="dxa"/>
            <w:tcBorders/>
            <w:vAlign w:val="center"/>
          </w:tcPr>
          <w:p>
            <w:pPr>
              <w:pStyle w:val="TableContents"/>
              <w:bidi w:val="0"/>
              <w:spacing w:before="0" w:after="283"/>
              <w:jc w:val="left"/>
              <w:rPr>
                <w:caps/>
              </w:rPr>
            </w:pPr>
            <w:r>
              <w:rPr>
                <w:caps/>
              </w:rPr>
              <w:t>Section 2.04.   </w:t>
            </w:r>
          </w:p>
        </w:tc>
        <w:tc>
          <w:tcPr>
            <w:tcW w:w="6275" w:type="dxa"/>
            <w:tcBorders/>
            <w:vAlign w:val="center"/>
          </w:tcPr>
          <w:p>
            <w:pPr>
              <w:pStyle w:val="TableContents"/>
              <w:bidi w:val="0"/>
              <w:spacing w:before="0" w:after="283"/>
              <w:jc w:val="left"/>
              <w:rPr/>
            </w:pPr>
            <w:r>
              <w:rPr/>
              <w:t>Registration, Transfer and Exchange</w:t>
            </w:r>
          </w:p>
        </w:tc>
        <w:tc>
          <w:tcPr>
            <w:tcW w:w="275" w:type="dxa"/>
            <w:tcBorders/>
            <w:vAlign w:val="center"/>
          </w:tcPr>
          <w:p>
            <w:pPr>
              <w:pStyle w:val="TableContents"/>
              <w:bidi w:val="0"/>
              <w:spacing w:before="0" w:after="283"/>
              <w:jc w:val="right"/>
              <w:rPr/>
            </w:pPr>
            <w:r>
              <w:rPr/>
              <w:t>21</w:t>
            </w:r>
          </w:p>
        </w:tc>
      </w:tr>
      <w:tr>
        <w:trPr/>
        <w:tc>
          <w:tcPr>
            <w:tcW w:w="1745" w:type="dxa"/>
            <w:tcBorders/>
            <w:vAlign w:val="center"/>
          </w:tcPr>
          <w:p>
            <w:pPr>
              <w:pStyle w:val="TableContents"/>
              <w:bidi w:val="0"/>
              <w:spacing w:before="0" w:after="283"/>
              <w:jc w:val="left"/>
              <w:rPr>
                <w:caps/>
              </w:rPr>
            </w:pPr>
            <w:r>
              <w:rPr>
                <w:caps/>
              </w:rPr>
              <w:t>Section 2.05.   </w:t>
            </w:r>
          </w:p>
        </w:tc>
        <w:tc>
          <w:tcPr>
            <w:tcW w:w="6275" w:type="dxa"/>
            <w:tcBorders/>
            <w:vAlign w:val="center"/>
          </w:tcPr>
          <w:p>
            <w:pPr>
              <w:pStyle w:val="TableContents"/>
              <w:bidi w:val="0"/>
              <w:spacing w:before="0" w:after="283"/>
              <w:jc w:val="left"/>
              <w:rPr/>
            </w:pPr>
            <w:r>
              <w:rPr/>
              <w:t>Mutilated, Destroyed, Lost and Stolen Notes</w:t>
            </w:r>
          </w:p>
        </w:tc>
        <w:tc>
          <w:tcPr>
            <w:tcW w:w="275" w:type="dxa"/>
            <w:tcBorders/>
            <w:vAlign w:val="center"/>
          </w:tcPr>
          <w:p>
            <w:pPr>
              <w:pStyle w:val="TableContents"/>
              <w:bidi w:val="0"/>
              <w:spacing w:before="0" w:after="283"/>
              <w:jc w:val="right"/>
              <w:rPr/>
            </w:pPr>
            <w:r>
              <w:rPr/>
              <w:t>24</w:t>
            </w:r>
          </w:p>
        </w:tc>
      </w:tr>
      <w:tr>
        <w:trPr/>
        <w:tc>
          <w:tcPr>
            <w:tcW w:w="1745" w:type="dxa"/>
            <w:tcBorders/>
            <w:vAlign w:val="center"/>
          </w:tcPr>
          <w:p>
            <w:pPr>
              <w:pStyle w:val="TableContents"/>
              <w:bidi w:val="0"/>
              <w:spacing w:before="0" w:after="283"/>
              <w:jc w:val="left"/>
              <w:rPr>
                <w:caps/>
              </w:rPr>
            </w:pPr>
            <w:r>
              <w:rPr>
                <w:caps/>
              </w:rPr>
              <w:t>Section 2.06.   </w:t>
            </w:r>
          </w:p>
        </w:tc>
        <w:tc>
          <w:tcPr>
            <w:tcW w:w="6275" w:type="dxa"/>
            <w:tcBorders/>
            <w:vAlign w:val="center"/>
          </w:tcPr>
          <w:p>
            <w:pPr>
              <w:pStyle w:val="TableContents"/>
              <w:bidi w:val="0"/>
              <w:spacing w:before="0" w:after="283"/>
              <w:jc w:val="left"/>
              <w:rPr/>
            </w:pPr>
            <w:r>
              <w:rPr/>
              <w:t>Payment of Interest; Interest Rights Preserved</w:t>
            </w:r>
          </w:p>
        </w:tc>
        <w:tc>
          <w:tcPr>
            <w:tcW w:w="275" w:type="dxa"/>
            <w:tcBorders/>
            <w:vAlign w:val="center"/>
          </w:tcPr>
          <w:p>
            <w:pPr>
              <w:pStyle w:val="TableContents"/>
              <w:bidi w:val="0"/>
              <w:spacing w:before="0" w:after="283"/>
              <w:jc w:val="right"/>
              <w:rPr/>
            </w:pPr>
            <w:r>
              <w:rPr/>
              <w:t>25</w:t>
            </w:r>
          </w:p>
        </w:tc>
      </w:tr>
      <w:tr>
        <w:trPr/>
        <w:tc>
          <w:tcPr>
            <w:tcW w:w="1745" w:type="dxa"/>
            <w:tcBorders/>
            <w:vAlign w:val="center"/>
          </w:tcPr>
          <w:p>
            <w:pPr>
              <w:pStyle w:val="TableContents"/>
              <w:bidi w:val="0"/>
              <w:spacing w:before="0" w:after="283"/>
              <w:jc w:val="left"/>
              <w:rPr>
                <w:caps/>
              </w:rPr>
            </w:pPr>
            <w:r>
              <w:rPr>
                <w:caps/>
              </w:rPr>
              <w:t>Section 2.07.   </w:t>
            </w:r>
          </w:p>
        </w:tc>
        <w:tc>
          <w:tcPr>
            <w:tcW w:w="6275" w:type="dxa"/>
            <w:tcBorders/>
            <w:vAlign w:val="center"/>
          </w:tcPr>
          <w:p>
            <w:pPr>
              <w:pStyle w:val="TableContents"/>
              <w:bidi w:val="0"/>
              <w:spacing w:before="0" w:after="283"/>
              <w:jc w:val="left"/>
              <w:rPr/>
            </w:pPr>
            <w:r>
              <w:rPr/>
              <w:t>Persons Deemed Owners</w:t>
            </w:r>
          </w:p>
        </w:tc>
        <w:tc>
          <w:tcPr>
            <w:tcW w:w="275" w:type="dxa"/>
            <w:tcBorders/>
            <w:vAlign w:val="center"/>
          </w:tcPr>
          <w:p>
            <w:pPr>
              <w:pStyle w:val="TableContents"/>
              <w:bidi w:val="0"/>
              <w:spacing w:before="0" w:after="283"/>
              <w:jc w:val="right"/>
              <w:rPr/>
            </w:pPr>
            <w:r>
              <w:rPr/>
              <w:t>26</w:t>
            </w:r>
          </w:p>
        </w:tc>
      </w:tr>
      <w:tr>
        <w:trPr/>
        <w:tc>
          <w:tcPr>
            <w:tcW w:w="1745" w:type="dxa"/>
            <w:tcBorders/>
            <w:vAlign w:val="center"/>
          </w:tcPr>
          <w:p>
            <w:pPr>
              <w:pStyle w:val="TableContents"/>
              <w:bidi w:val="0"/>
              <w:spacing w:before="0" w:after="283"/>
              <w:jc w:val="left"/>
              <w:rPr>
                <w:caps/>
              </w:rPr>
            </w:pPr>
            <w:r>
              <w:rPr>
                <w:caps/>
              </w:rPr>
              <w:t>Section 2.08.   </w:t>
            </w:r>
          </w:p>
        </w:tc>
        <w:tc>
          <w:tcPr>
            <w:tcW w:w="6275" w:type="dxa"/>
            <w:tcBorders/>
            <w:vAlign w:val="center"/>
          </w:tcPr>
          <w:p>
            <w:pPr>
              <w:pStyle w:val="TableContents"/>
              <w:bidi w:val="0"/>
              <w:spacing w:before="0" w:after="283"/>
              <w:jc w:val="left"/>
              <w:rPr/>
            </w:pPr>
            <w:r>
              <w:rPr/>
              <w:t>Cancellation</w:t>
            </w:r>
          </w:p>
        </w:tc>
        <w:tc>
          <w:tcPr>
            <w:tcW w:w="275" w:type="dxa"/>
            <w:tcBorders/>
            <w:vAlign w:val="center"/>
          </w:tcPr>
          <w:p>
            <w:pPr>
              <w:pStyle w:val="TableContents"/>
              <w:bidi w:val="0"/>
              <w:spacing w:before="0" w:after="283"/>
              <w:jc w:val="right"/>
              <w:rPr/>
            </w:pPr>
            <w:r>
              <w:rPr/>
              <w:t>26</w:t>
            </w:r>
          </w:p>
        </w:tc>
      </w:tr>
      <w:tr>
        <w:trPr/>
        <w:tc>
          <w:tcPr>
            <w:tcW w:w="1745" w:type="dxa"/>
            <w:tcBorders/>
            <w:vAlign w:val="center"/>
          </w:tcPr>
          <w:p>
            <w:pPr>
              <w:pStyle w:val="TableContents"/>
              <w:bidi w:val="0"/>
              <w:spacing w:before="0" w:after="283"/>
              <w:jc w:val="left"/>
              <w:rPr>
                <w:caps/>
              </w:rPr>
            </w:pPr>
            <w:r>
              <w:rPr>
                <w:caps/>
              </w:rPr>
              <w:t>Section 2.09.   </w:t>
            </w:r>
          </w:p>
        </w:tc>
        <w:tc>
          <w:tcPr>
            <w:tcW w:w="6275" w:type="dxa"/>
            <w:tcBorders/>
            <w:vAlign w:val="center"/>
          </w:tcPr>
          <w:p>
            <w:pPr>
              <w:pStyle w:val="TableContents"/>
              <w:bidi w:val="0"/>
              <w:spacing w:before="0" w:after="283"/>
              <w:jc w:val="left"/>
              <w:rPr/>
            </w:pPr>
            <w:r>
              <w:rPr/>
              <w:t>Computation of Interest</w:t>
            </w:r>
          </w:p>
        </w:tc>
        <w:tc>
          <w:tcPr>
            <w:tcW w:w="275" w:type="dxa"/>
            <w:tcBorders/>
            <w:vAlign w:val="center"/>
          </w:tcPr>
          <w:p>
            <w:pPr>
              <w:pStyle w:val="TableContents"/>
              <w:bidi w:val="0"/>
              <w:spacing w:before="0" w:after="283"/>
              <w:jc w:val="right"/>
              <w:rPr/>
            </w:pPr>
            <w:r>
              <w:rPr/>
              <w:t>27</w:t>
            </w:r>
          </w:p>
        </w:tc>
      </w:tr>
      <w:tr>
        <w:trPr/>
        <w:tc>
          <w:tcPr>
            <w:tcW w:w="1745" w:type="dxa"/>
            <w:tcBorders/>
            <w:vAlign w:val="center"/>
          </w:tcPr>
          <w:p>
            <w:pPr>
              <w:pStyle w:val="TableContents"/>
              <w:bidi w:val="0"/>
              <w:spacing w:before="0" w:after="283"/>
              <w:jc w:val="left"/>
              <w:rPr>
                <w:caps/>
              </w:rPr>
            </w:pPr>
            <w:r>
              <w:rPr>
                <w:caps/>
              </w:rPr>
              <w:t>Section 2.10.   </w:t>
            </w:r>
          </w:p>
        </w:tc>
        <w:tc>
          <w:tcPr>
            <w:tcW w:w="6275" w:type="dxa"/>
            <w:tcBorders/>
            <w:vAlign w:val="center"/>
          </w:tcPr>
          <w:p>
            <w:pPr>
              <w:pStyle w:val="TableContents"/>
              <w:bidi w:val="0"/>
              <w:spacing w:before="0" w:after="283"/>
              <w:jc w:val="left"/>
              <w:rPr/>
            </w:pPr>
            <w:r>
              <w:rPr/>
              <w:t>CUSIP Numbers</w:t>
            </w:r>
          </w:p>
        </w:tc>
        <w:tc>
          <w:tcPr>
            <w:tcW w:w="275" w:type="dxa"/>
            <w:tcBorders/>
            <w:vAlign w:val="center"/>
          </w:tcPr>
          <w:p>
            <w:pPr>
              <w:pStyle w:val="TableContents"/>
              <w:bidi w:val="0"/>
              <w:spacing w:before="0" w:after="283"/>
              <w:jc w:val="right"/>
              <w:rPr/>
            </w:pPr>
            <w:r>
              <w:rPr/>
              <w:t>27</w:t>
            </w:r>
          </w:p>
        </w:tc>
      </w:tr>
      <w:tr>
        <w:trPr/>
        <w:tc>
          <w:tcPr>
            <w:tcW w:w="8295" w:type="dxa"/>
            <w:gridSpan w:val="3"/>
            <w:tcBorders/>
            <w:vAlign w:val="center"/>
          </w:tcPr>
          <w:p>
            <w:pPr>
              <w:pStyle w:val="TableContents"/>
              <w:bidi w:val="0"/>
              <w:spacing w:before="0" w:after="283"/>
              <w:jc w:val="center"/>
              <w:rPr/>
            </w:pPr>
            <w:r>
              <w:rPr/>
              <w:t>Article III</w:t>
              <w:br/>
              <w:t>DISCHARGE OF INDENTURE</w:t>
            </w:r>
          </w:p>
        </w:tc>
      </w:tr>
      <w:tr>
        <w:trPr/>
        <w:tc>
          <w:tcPr>
            <w:tcW w:w="1745" w:type="dxa"/>
            <w:tcBorders/>
            <w:vAlign w:val="center"/>
          </w:tcPr>
          <w:p>
            <w:pPr>
              <w:pStyle w:val="TableContents"/>
              <w:bidi w:val="0"/>
              <w:spacing w:before="0" w:after="283"/>
              <w:jc w:val="left"/>
              <w:rPr>
                <w:caps/>
              </w:rPr>
            </w:pPr>
            <w:r>
              <w:rPr>
                <w:caps/>
              </w:rPr>
              <w:t>Section 3.01.   </w:t>
            </w:r>
          </w:p>
        </w:tc>
        <w:tc>
          <w:tcPr>
            <w:tcW w:w="6275" w:type="dxa"/>
            <w:tcBorders/>
            <w:vAlign w:val="center"/>
          </w:tcPr>
          <w:p>
            <w:pPr>
              <w:pStyle w:val="TableContents"/>
              <w:bidi w:val="0"/>
              <w:spacing w:before="0" w:after="283"/>
              <w:jc w:val="left"/>
              <w:rPr/>
            </w:pPr>
            <w:r>
              <w:rPr/>
              <w:t>Discharge of Indenture</w:t>
            </w:r>
          </w:p>
        </w:tc>
        <w:tc>
          <w:tcPr>
            <w:tcW w:w="275" w:type="dxa"/>
            <w:tcBorders/>
            <w:vAlign w:val="center"/>
          </w:tcPr>
          <w:p>
            <w:pPr>
              <w:pStyle w:val="TableContents"/>
              <w:bidi w:val="0"/>
              <w:spacing w:before="0" w:after="283"/>
              <w:jc w:val="right"/>
              <w:rPr/>
            </w:pPr>
            <w:r>
              <w:rPr/>
              <w:t>27</w:t>
            </w:r>
          </w:p>
        </w:tc>
      </w:tr>
      <w:tr>
        <w:trPr/>
        <w:tc>
          <w:tcPr>
            <w:tcW w:w="1745" w:type="dxa"/>
            <w:tcBorders/>
            <w:vAlign w:val="center"/>
          </w:tcPr>
          <w:p>
            <w:pPr>
              <w:pStyle w:val="TableContents"/>
              <w:bidi w:val="0"/>
              <w:spacing w:before="0" w:after="283"/>
              <w:jc w:val="left"/>
              <w:rPr>
                <w:caps/>
              </w:rPr>
            </w:pPr>
            <w:r>
              <w:rPr>
                <w:caps/>
              </w:rPr>
              <w:t>Section 3.02.   </w:t>
            </w:r>
          </w:p>
        </w:tc>
        <w:tc>
          <w:tcPr>
            <w:tcW w:w="6275" w:type="dxa"/>
            <w:tcBorders/>
            <w:vAlign w:val="center"/>
          </w:tcPr>
          <w:p>
            <w:pPr>
              <w:pStyle w:val="TableContents"/>
              <w:bidi w:val="0"/>
              <w:spacing w:before="0" w:after="283"/>
              <w:jc w:val="left"/>
              <w:rPr/>
            </w:pPr>
            <w:r>
              <w:rPr/>
              <w:t>Defeasance and Discharge of Covenants upon Deposit of Moneys</w:t>
            </w:r>
          </w:p>
        </w:tc>
        <w:tc>
          <w:tcPr>
            <w:tcW w:w="275" w:type="dxa"/>
            <w:tcBorders/>
            <w:vAlign w:val="center"/>
          </w:tcPr>
          <w:p>
            <w:pPr>
              <w:pStyle w:val="TableContents"/>
              <w:bidi w:val="0"/>
              <w:spacing w:before="0" w:after="283"/>
              <w:jc w:val="right"/>
              <w:rPr/>
            </w:pPr>
            <w:r>
              <w:rPr/>
              <w:t>28</w:t>
            </w:r>
          </w:p>
        </w:tc>
      </w:tr>
      <w:tr>
        <w:trPr/>
        <w:tc>
          <w:tcPr>
            <w:tcW w:w="1745" w:type="dxa"/>
            <w:tcBorders/>
            <w:vAlign w:val="center"/>
          </w:tcPr>
          <w:p>
            <w:pPr>
              <w:pStyle w:val="TableContents"/>
              <w:bidi w:val="0"/>
              <w:spacing w:before="0" w:after="283"/>
              <w:jc w:val="left"/>
              <w:rPr>
                <w:caps/>
              </w:rPr>
            </w:pPr>
            <w:r>
              <w:rPr>
                <w:caps/>
              </w:rPr>
              <w:t>Section 3.03.   </w:t>
            </w:r>
          </w:p>
        </w:tc>
        <w:tc>
          <w:tcPr>
            <w:tcW w:w="6275" w:type="dxa"/>
            <w:tcBorders/>
            <w:vAlign w:val="center"/>
          </w:tcPr>
          <w:p>
            <w:pPr>
              <w:pStyle w:val="TableContents"/>
              <w:bidi w:val="0"/>
              <w:spacing w:before="0" w:after="283"/>
              <w:jc w:val="left"/>
              <w:rPr/>
            </w:pPr>
            <w:r>
              <w:rPr/>
              <w:t>Application of Trust Money</w:t>
            </w:r>
          </w:p>
        </w:tc>
        <w:tc>
          <w:tcPr>
            <w:tcW w:w="275" w:type="dxa"/>
            <w:tcBorders/>
            <w:vAlign w:val="center"/>
          </w:tcPr>
          <w:p>
            <w:pPr>
              <w:pStyle w:val="TableContents"/>
              <w:bidi w:val="0"/>
              <w:spacing w:before="0" w:after="283"/>
              <w:jc w:val="right"/>
              <w:rPr/>
            </w:pPr>
            <w:r>
              <w:rPr/>
              <w:t>30</w:t>
            </w:r>
          </w:p>
        </w:tc>
      </w:tr>
      <w:tr>
        <w:trPr/>
        <w:tc>
          <w:tcPr>
            <w:tcW w:w="1745" w:type="dxa"/>
            <w:tcBorders/>
            <w:vAlign w:val="center"/>
          </w:tcPr>
          <w:p>
            <w:pPr>
              <w:pStyle w:val="TableContents"/>
              <w:bidi w:val="0"/>
              <w:spacing w:before="0" w:after="283"/>
              <w:jc w:val="left"/>
              <w:rPr>
                <w:caps/>
              </w:rPr>
            </w:pPr>
            <w:r>
              <w:rPr>
                <w:caps/>
              </w:rPr>
              <w:t>Section 3.04.   </w:t>
            </w:r>
          </w:p>
        </w:tc>
        <w:tc>
          <w:tcPr>
            <w:tcW w:w="6275" w:type="dxa"/>
            <w:tcBorders/>
            <w:vAlign w:val="center"/>
          </w:tcPr>
          <w:p>
            <w:pPr>
              <w:pStyle w:val="TableContents"/>
              <w:bidi w:val="0"/>
              <w:spacing w:before="0" w:after="283"/>
              <w:jc w:val="left"/>
              <w:rPr/>
            </w:pPr>
            <w:r>
              <w:rPr/>
              <w:t>Paying Agent to Repay Moneys Held</w:t>
            </w:r>
          </w:p>
        </w:tc>
        <w:tc>
          <w:tcPr>
            <w:tcW w:w="275" w:type="dxa"/>
            <w:tcBorders/>
            <w:vAlign w:val="center"/>
          </w:tcPr>
          <w:p>
            <w:pPr>
              <w:pStyle w:val="TableContents"/>
              <w:bidi w:val="0"/>
              <w:spacing w:before="0" w:after="283"/>
              <w:jc w:val="right"/>
              <w:rPr/>
            </w:pPr>
            <w:r>
              <w:rPr/>
              <w:t>30</w:t>
            </w:r>
          </w:p>
        </w:tc>
      </w:tr>
      <w:tr>
        <w:trPr/>
        <w:tc>
          <w:tcPr>
            <w:tcW w:w="1745" w:type="dxa"/>
            <w:tcBorders/>
            <w:vAlign w:val="center"/>
          </w:tcPr>
          <w:p>
            <w:pPr>
              <w:pStyle w:val="TableContents"/>
              <w:bidi w:val="0"/>
              <w:spacing w:before="0" w:after="283"/>
              <w:jc w:val="left"/>
              <w:rPr>
                <w:caps/>
              </w:rPr>
            </w:pPr>
            <w:r>
              <w:rPr>
                <w:caps/>
              </w:rPr>
              <w:t>Section 3.05.  </w:t>
            </w:r>
          </w:p>
        </w:tc>
        <w:tc>
          <w:tcPr>
            <w:tcW w:w="6275" w:type="dxa"/>
            <w:tcBorders/>
            <w:vAlign w:val="center"/>
          </w:tcPr>
          <w:p>
            <w:pPr>
              <w:pStyle w:val="TableContents"/>
              <w:bidi w:val="0"/>
              <w:spacing w:before="0" w:after="283"/>
              <w:jc w:val="left"/>
              <w:rPr/>
            </w:pPr>
            <w:r>
              <w:rPr/>
              <w:t>Return of Unclaimed Amounts</w:t>
            </w:r>
          </w:p>
        </w:tc>
        <w:tc>
          <w:tcPr>
            <w:tcW w:w="275" w:type="dxa"/>
            <w:tcBorders/>
            <w:vAlign w:val="center"/>
          </w:tcPr>
          <w:p>
            <w:pPr>
              <w:pStyle w:val="TableContents"/>
              <w:bidi w:val="0"/>
              <w:spacing w:before="0" w:after="283"/>
              <w:jc w:val="right"/>
              <w:rPr/>
            </w:pPr>
            <w:r>
              <w:rPr/>
              <w:t>30</w:t>
            </w:r>
          </w:p>
        </w:tc>
      </w:tr>
      <w:tr>
        <w:trPr/>
        <w:tc>
          <w:tcPr>
            <w:tcW w:w="1745" w:type="dxa"/>
            <w:tcBorders/>
            <w:vAlign w:val="center"/>
          </w:tcPr>
          <w:p>
            <w:pPr>
              <w:pStyle w:val="TableContents"/>
              <w:bidi w:val="0"/>
              <w:spacing w:before="0" w:after="283"/>
              <w:jc w:val="left"/>
              <w:rPr>
                <w:caps/>
              </w:rPr>
            </w:pPr>
            <w:r>
              <w:rPr>
                <w:caps/>
              </w:rPr>
              <w:t>Section 3.06.   </w:t>
            </w:r>
          </w:p>
        </w:tc>
        <w:tc>
          <w:tcPr>
            <w:tcW w:w="6275" w:type="dxa"/>
            <w:tcBorders/>
            <w:vAlign w:val="center"/>
          </w:tcPr>
          <w:p>
            <w:pPr>
              <w:pStyle w:val="TableContents"/>
              <w:bidi w:val="0"/>
              <w:spacing w:before="0" w:after="283"/>
              <w:jc w:val="left"/>
              <w:rPr/>
            </w:pPr>
            <w:r>
              <w:rPr/>
              <w:t>Reinstatement</w:t>
            </w:r>
          </w:p>
        </w:tc>
        <w:tc>
          <w:tcPr>
            <w:tcW w:w="275" w:type="dxa"/>
            <w:tcBorders/>
            <w:vAlign w:val="center"/>
          </w:tcPr>
          <w:p>
            <w:pPr>
              <w:pStyle w:val="TableContents"/>
              <w:bidi w:val="0"/>
              <w:spacing w:before="0" w:after="283"/>
              <w:jc w:val="right"/>
              <w:rPr/>
            </w:pPr>
            <w:r>
              <w:rPr/>
              <w:t>31</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t xml:space="preserve">ARTICLE IV </w:t>
        <w:br/>
        <w:t>REMEDIES</w:t>
      </w:r>
    </w:p>
    <w:p>
      <w:pPr>
        <w:pStyle w:val="TextBody"/>
        <w:bidi w:val="0"/>
        <w:spacing w:before="0" w:after="283"/>
        <w:jc w:val="left"/>
        <w:rPr/>
      </w:pPr>
      <w:r>
        <w:rPr/>
        <w:t> </w:t>
      </w:r>
    </w:p>
    <w:tbl>
      <w:tblPr>
        <w:tblW w:w="6660" w:type="dxa"/>
        <w:jc w:val="left"/>
        <w:tblInd w:w="0" w:type="dxa"/>
        <w:tblLayout w:type="fixed"/>
        <w:tblCellMar>
          <w:top w:w="0" w:type="dxa"/>
          <w:left w:w="0" w:type="dxa"/>
          <w:bottom w:w="0" w:type="dxa"/>
          <w:right w:w="0" w:type="dxa"/>
        </w:tblCellMar>
      </w:tblPr>
      <w:tblGrid>
        <w:gridCol w:w="1385"/>
        <w:gridCol w:w="5030"/>
        <w:gridCol w:w="245"/>
      </w:tblGrid>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File Proofs of Claim</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May Enforce Claims Without Possession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4.06.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 Collected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4.07.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4.08.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Right of Holders to Receive Payment of Principal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4.09.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Restoration of Rights and Remedies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4.10.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Past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for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4.15.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Stay or Extension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6660" w:type="dxa"/>
            <w:gridSpan w:val="3"/>
            <w:tcBorders/>
            <w:vAlign w:val="center"/>
          </w:tcPr>
          <w:p>
            <w:pPr>
              <w:pStyle w:val="TableContents"/>
              <w:bidi w:val="0"/>
              <w:spacing w:before="0" w:after="283"/>
              <w:jc w:val="center"/>
              <w:rPr/>
            </w:pPr>
            <w:r>
              <w:rPr/>
              <w:t> </w:t>
            </w:r>
          </w:p>
        </w:tc>
      </w:tr>
      <w:tr>
        <w:trPr/>
        <w:tc>
          <w:tcPr>
            <w:tcW w:w="66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V </w:t>
              <w:br/>
              <w:t>THE TRUSTEE</w:t>
            </w:r>
          </w:p>
        </w:tc>
      </w:tr>
      <w:tr>
        <w:trPr/>
        <w:tc>
          <w:tcPr>
            <w:tcW w:w="6660" w:type="dxa"/>
            <w:gridSpan w:val="3"/>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Responsible for Recitals or Issuance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5.06.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5.07.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5.08.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5.09.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5.10.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Consolidation or Succession to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5.14.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6660" w:type="dxa"/>
            <w:gridSpan w:val="3"/>
            <w:tcBorders/>
            <w:vAlign w:val="center"/>
          </w:tcPr>
          <w:p>
            <w:pPr>
              <w:pStyle w:val="TableContents"/>
              <w:bidi w:val="0"/>
              <w:spacing w:before="0" w:after="283"/>
              <w:jc w:val="center"/>
              <w:rPr/>
            </w:pPr>
            <w:r>
              <w:rPr/>
              <w:t> </w:t>
            </w:r>
          </w:p>
        </w:tc>
      </w:tr>
      <w:tr>
        <w:trPr/>
        <w:tc>
          <w:tcPr>
            <w:tcW w:w="666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VI </w:t>
              <w:br/>
              <w:t>HOLDERS’ LISTS AND REPORTS BY TRUSTEE AND ISSUER</w:t>
            </w:r>
          </w:p>
        </w:tc>
      </w:tr>
      <w:tr>
        <w:trPr/>
        <w:tc>
          <w:tcPr>
            <w:tcW w:w="6660" w:type="dxa"/>
            <w:gridSpan w:val="3"/>
            <w:tcBorders/>
            <w:vAlign w:val="center"/>
          </w:tcPr>
          <w:p>
            <w:pPr>
              <w:pStyle w:val="TableContents"/>
              <w:bidi w:val="0"/>
              <w:spacing w:before="0" w:after="283"/>
              <w:jc w:val="center"/>
              <w:rPr/>
            </w:pPr>
            <w:r>
              <w:rPr/>
              <w:t> </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6.01.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Issuer to Furnish Trustee Names and Addresses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6.02.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to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6.03.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6.04.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Issuer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38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6.05.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CONSOLIDATION, MERGER OR TRANSFER</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1490"/>
        <w:gridCol w:w="4685"/>
        <w:gridCol w:w="245"/>
      </w:tblGrid>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Issuer May Merge or Transfer Assets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7.02.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90" w:type="dxa"/>
            <w:tcBorders/>
            <w:vAlign w:val="center"/>
          </w:tcPr>
          <w:p>
            <w:pPr>
              <w:pStyle w:val="TableContents"/>
              <w:bidi w:val="0"/>
              <w:spacing w:before="0" w:after="283"/>
              <w:jc w:val="left"/>
              <w:rPr>
                <w:caps/>
              </w:rPr>
            </w:pPr>
            <w:r>
              <w:rPr>
                <w:caps/>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VIII </w:t>
              <w:br/>
              <w:t>SUPPLEMENTAL INDENTURES</w:t>
            </w:r>
          </w:p>
        </w:tc>
      </w:tr>
      <w:tr>
        <w:trPr/>
        <w:tc>
          <w:tcPr>
            <w:tcW w:w="6420" w:type="dxa"/>
            <w:gridSpan w:val="3"/>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8.03.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8.04.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8.05.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Conformity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8.06.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Documents to Be Given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8.07.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Notes in Respect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caps/>
              </w:rPr>
            </w:pPr>
            <w:r>
              <w:rPr>
                <w:caps/>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IX </w:t>
              <w:br/>
              <w:t>COVENANTS</w:t>
            </w:r>
          </w:p>
        </w:tc>
      </w:tr>
      <w:tr>
        <w:trPr/>
        <w:tc>
          <w:tcPr>
            <w:tcW w:w="6420" w:type="dxa"/>
            <w:gridSpan w:val="3"/>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Premium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9.03.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 for Note Payments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9.04.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9.05.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9.06.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liens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9.07.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Sale-Leaseback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90" w:type="dxa"/>
            <w:tcBorders/>
            <w:vAlign w:val="center"/>
          </w:tcPr>
          <w:p>
            <w:pPr>
              <w:pStyle w:val="TableContents"/>
              <w:bidi w:val="0"/>
              <w:spacing w:before="0" w:after="283"/>
              <w:jc w:val="left"/>
              <w:rPr>
                <w:caps/>
              </w:rPr>
            </w:pPr>
            <w:r>
              <w:rPr>
                <w:caps/>
              </w:rPr>
              <w:t> </w:t>
            </w:r>
          </w:p>
        </w:tc>
        <w:tc>
          <w:tcPr>
            <w:tcW w:w="46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6420" w:type="dxa"/>
            <w:gridSpan w:val="3"/>
            <w:tcBorders/>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 xml:space="preserve">Article X </w:t>
              <w:br/>
              <w:t>REDEMPTION OF NOTES</w:t>
            </w:r>
          </w:p>
        </w:tc>
      </w:tr>
      <w:tr>
        <w:trPr/>
        <w:tc>
          <w:tcPr>
            <w:tcW w:w="6420" w:type="dxa"/>
            <w:gridSpan w:val="3"/>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10.01.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49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10.02.   </w:t>
            </w:r>
          </w:p>
        </w:tc>
        <w:tc>
          <w:tcPr>
            <w:tcW w:w="4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issuance from time to time of its debt securities in one or more series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the Issuer, in accordance with its terms, have been done.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Notes by the Holders (as hereinafter defined) thereof, the Issuer and the Trustee mutually covenant and agree for the equal and proportionate benefit of the respective Holders from time to time of the Notes or any series thereof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DEFINITIONS AND OTHER PROVISIONS OF GENERAL APPLICATION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all purposes of this Indenture, and of any indenture supplemental hereto,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Article have the meanings assigned to them in this Article, and include the plural as well as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other terms used herein which are defined in the Trust Indenture Act (as hereinafter defined), either directly or by reference therein, have the meanings assigned to them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accounting terms not otherwise defined herein have the meanings assigned to them in accordance with GAAP;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xml:space="preserve">” when used with respect to any Holder, has the meaning specified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xml:space="preserve">” means any Person authorized by the Trustee to authenticate Notes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U.S. Code, as amended, or any similar state or federal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(i) the Board of Directors of the Issuer, (ii) any committee of such Board of Directors, (iii) any committee of officers of the Issuer or (iv) any officer of the Issuer, in the cases of clauses (ii)-(iv), authorized with respect to any matter to exercise the powers of the Board of Directors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Issuer to have been duly adopted by the Board of Directors and to be in full force and effect on the date of such certification,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in New York City or the place of payment are authorized or required by law, regulation or executive order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 Obligations</w:t>
      </w:r>
      <w:r>
        <w:rPr>
          <w:rFonts w:ascii="Times New Roman;Times;Serif" w:hAnsi="Times New Roman;Times;Serif"/>
          <w:b w:val="false"/>
          <w:i w:val="false"/>
          <w:caps w:val="false"/>
          <w:smallCaps w:val="false"/>
          <w:sz w:val="20"/>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Request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 Order</w:t>
      </w:r>
      <w:r>
        <w:rPr>
          <w:rFonts w:ascii="Times New Roman;Times;Serif" w:hAnsi="Times New Roman;Times;Serif"/>
          <w:b w:val="false"/>
          <w:i w:val="false"/>
          <w:caps w:val="false"/>
          <w:smallCaps w:val="false"/>
          <w:sz w:val="20"/>
        </w:rPr>
        <w:t>” means, respectively, a written request or order, as the case may be, signed in the name of the Issuer by any Officer thereof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Tangible Assets</w:t>
      </w:r>
      <w:r>
        <w:rPr>
          <w:rFonts w:ascii="Times New Roman;Times;Serif" w:hAnsi="Times New Roman;Times;Serif"/>
          <w:b w:val="false"/>
          <w:i w:val="false"/>
          <w:caps w:val="false"/>
          <w:smallCaps w:val="false"/>
          <w:sz w:val="20"/>
        </w:rPr>
        <w:t>” means, as of the time of determination, (a) the total assets of the Issuer and its subsidiaries determined on a consolidated basis in accordance with GAAP minus (b) the sum of (i) current liabilities of the Issuer and its subsidiaries, except for current maturities of long-term Indebtedness and Capital Lease Obligations, and (ii) goodwill and other intangible assets of the Issuer and its subsidiaries, in each case determined on a consolidated basis in accordance with GAAP, all as reflected in the most recent consolidated balance sheet prepared by the Issuer in accordance with GAAP contained in an annual report on Form 10-K or a quarterly report on Form 10-Q (or comparable semiannual report) timely filed or any amendment thereto (and not subsequently disclaimed as not being reliable by the Issuer) prior to the time as of which “Consolidated Net Tangible Assets” is being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the Person appointed by the Issuer to act as custodian for the Depositary, which Person shall be the Trustee unless and until a successor Person is appointed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2.06(2)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Defeasance</w:t>
      </w:r>
      <w:r>
        <w:rPr>
          <w:rFonts w:ascii="Times New Roman;Times;Serif" w:hAnsi="Times New Roman;Times;Serif"/>
          <w:b w:val="false"/>
          <w:i w:val="false"/>
          <w:caps w:val="false"/>
          <w:smallCaps w:val="false"/>
          <w:sz w:val="20"/>
        </w:rPr>
        <w:t>” means Legal Defeasance or Covenant Defeasance.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w:t>
      </w:r>
      <w:r>
        <w:rPr>
          <w:rFonts w:ascii="Times New Roman;Times;Serif" w:hAnsi="Times New Roman;Times;Serif"/>
          <w:b w:val="false"/>
          <w:i w:val="false"/>
          <w:caps w:val="false"/>
          <w:smallCaps w:val="false"/>
          <w:sz w:val="20"/>
        </w:rPr>
        <w:t>” means a certificated Note registered in the name of the Holder thereof and issued in accordance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means with respect to the Notes of any series issuable or issued in whole or in part in global form, (i) DTC or (ii) the Person otherwise designated as Depositary for such series by the Issuer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unless and until a successor Depositary for such series shall have become such pursuant to the applicable provisions of this Indenture, and thereafter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with respect to the Notes of a series shall mean or include each Person who is then a Depositary hereunder with respect to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 or any successor thereto, in each case as amended from time to time, and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 of America in effect on the date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w:t>
      </w:r>
      <w:r>
        <w:rPr>
          <w:rFonts w:ascii="Times New Roman;Times;Serif" w:hAnsi="Times New Roman;Times;Serif"/>
          <w:b w:val="false"/>
          <w:i w:val="false"/>
          <w:caps w:val="false"/>
          <w:smallCaps w:val="false"/>
          <w:sz w:val="20"/>
        </w:rPr>
        <w:t>” means each note in global form issued in accordance with this Indenture and bearing the Global Note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 xml:space="preserve">” means the legend set forth in </w:t>
      </w:r>
      <w:r>
        <w:rPr>
          <w:rFonts w:ascii="Times New Roman;Times;Serif" w:hAnsi="Times New Roman;Times;Serif"/>
          <w:b w:val="false"/>
          <w:i w:val="false"/>
          <w:caps w:val="false"/>
          <w:smallCaps w:val="false"/>
          <w:sz w:val="20"/>
          <w:u w:val="single"/>
        </w:rPr>
        <w:t>Section 2.01(2)</w:t>
      </w:r>
      <w:r>
        <w:rPr>
          <w:rFonts w:ascii="Times New Roman;Times;Serif" w:hAnsi="Times New Roman;Times;Serif"/>
          <w:b w:val="false"/>
          <w:i w:val="false"/>
          <w:caps w:val="false"/>
          <w:smallCaps w:val="false"/>
          <w:sz w:val="20"/>
        </w:rPr>
        <w:t>, which is required to be placed on all Global Notes issued pursuant to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Holder of Notes</w:t>
      </w:r>
      <w:r>
        <w:rPr>
          <w:rFonts w:ascii="Times New Roman;Times;Serif" w:hAnsi="Times New Roman;Times;Serif"/>
          <w:b w:val="false"/>
          <w:i w:val="false"/>
          <w:caps w:val="false"/>
          <w:smallCaps w:val="false"/>
          <w:sz w:val="20"/>
        </w:rPr>
        <w:t>” means a Person in whose name a Note is registered in the Security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means issue, assume, guarantee or otherwise become liable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obligations (other than Non-recourse Obligations) of such Person for borrowed money (including, without limitation, indebtedness for borrowed money evidenced by notes, bonds, debentures or similar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this Indenture</w:t>
      </w:r>
      <w:r>
        <w:rPr>
          <w:rFonts w:ascii="Times New Roman;Times;Serif" w:hAnsi="Times New Roman;Times;Serif"/>
          <w:b w:val="false"/>
          <w:i w:val="false"/>
          <w:caps w:val="false"/>
          <w:smallCaps w:val="false"/>
          <w:sz w:val="20"/>
        </w:rPr>
        <w:t>” means this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when used with respect to any Note, means the date specified in such Note on which an installment of interest on such Note is scheduled to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any Note (or portion thereof) means the earlier of (a) the date of such Note or (b) the date of any Note (or portion thereof) for which such Note was issued (directly or indirectly) on registration of transfer, exchange or substitution.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when used with respect to any Note, means the date on which all or a portion of the principal amount outstanding under such Note becomes due and payable, whether on the Maturity Date or by declaration of acceleration, call for redemption,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when used with respect to any Note or any installment of principal thereof, means the date specified in such Note as the fixed date on which the principal of such Note or such installment of principal becomes due and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Non-recourse Obligation</w:t>
      </w:r>
      <w:r>
        <w:rPr>
          <w:rFonts w:ascii="Times New Roman;Times;Serif" w:hAnsi="Times New Roman;Times;Serif"/>
          <w:b w:val="false"/>
          <w:i w:val="false"/>
          <w:caps w:val="false"/>
          <w:smallCaps w:val="false"/>
          <w:sz w:val="20"/>
        </w:rPr>
        <w:t>” means Indebtedness or other obligations substantially related to the financing of a project involving the development or expansion of properties of the Issuer or any direct or indirect subsidiaries of the Issuer, as to which the obligee with respect to such indebtedness or obligation has no recourse to the Issuer or any direct or indirect subsidiary of the Issuer or such subsidiary’s assets other than the assets which were acquired with the proceeds of such transaction or the project financed with the proceeds of such transaction (and the proceeds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has the meaning specified in the Recitals of the Issuer on the first page of this Indenture, including any replacement Notes issued therefor in accordance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means Skyworks Solutions, Inc., a Delaware corporation, unless and until a successor entity or assign shall have assumed the obligations of the Issuer under this Indenture and the Notes and thereafter “Issuer” shall mean such successor entity or assign.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the Chairman of the Board, the Chief Executive Officer, the President, the Chief Operating Officer, the Chief Financial Officer, the Treasurer, any Assistant Treasurer, the Controller, the Secretary, the Assistant Secretary or any Vice-President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a certificate signed by any Officer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with respect to the Issuer or the Trustee, a written opinion of counsel to the Issuer or the Trustee, as the case may be, which counsel may be an employee of the Issuer or the Trustee who is reasonably satisfactory to the Trustee, as the case may be. Such opinion may include customary qualifications and assumptions.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the Notes or any series of Notes, means, as of the date of determination, all Notes or all Notes of such series, as the case may be, theretofore authenticated and delivered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Notes or such Notes of such series, as the case may be, theretofore cancelled by the Trustee or delivered to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Notes or such Notes of such series, as the case may be, or portions thereof, for whose payment, redemption, discharge or defeasance (including Discharge or Defeasance pursuant to Section 3.01 or Section 3.02 of this Indenture) money in the necessary amount has been theretofore deposited in trust with the Trustee or with any Paying Agent other than the Issuer, or, if the Issuer shall act as its own Paying Agent, has been set aside and segregated in trust by the Issuer; provided, in any case, that if such Notes or such Notes of such series, as the case may be, are to be redeemed prior to their Maturity Date, notice of such redemption has been duly given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 or provision therefor satisfactory to the Trustee has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such Notes or such Notes of such series, as the case may be, in exchange for or in lieu of which other Notes or other Notes of such series, as the case may be, have been authenticated and delivered pursuant to this Indenture, or which shall have been paid, in each case, pursuant to the terms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(except with respect to any such Note or any such Note of such series, as the case may be, as to which proof satisfactory to the Trustee is presented that such Note or such Note of such series, as the case may be, is held by a person in whose hands such Notes or such Notes of such series, as the case may be, is a legal, valid, and binding obligation of the Issuer);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solely to the extent provided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Notes or Notes of such series, as the case may be, which are subject to Legal Defeasance or Covenant Defeasance as provided in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such Notes or Notes of such series, as the case may be, Outstanding have given a direction concerning the time, method and place of conducting any proceeding for any remedy available to the Trustee, or concerning the exercise of any trust or power conferred upon the Trustee under this Indenture, or concerning a consent on behalf of the Holders of the Notes or the Holders of the Notes of such series, as the case may be, to the waiver of any past default and its consequences, Notes or the Notes of such series, as the case may be, owned by the Issuer, any other obligor upon the Notes or Notes of such series, as the case may be, or any Affiliate of the Issuer or such other obligor shall be disregarded and deemed not to be Outstanding. In determining whether the Trustee shall be protected in relying upon any request, demand, authorization, direction, notice, consent, or waiver hereunder, only Notes or Notes of such series, as the case may be, which a Responsible Officer assigned to the corporate trust department of the Trustee knows to be owned by the Issuer or any other obligor upon the Notes or the Notes of such series, as the case may be, or any Affiliate of the Issuer or such other obligor shall be so disregarded. Notes or Notes of such series, as the case may be, so owned which have been pledged in good faith may be regarded as Outstanding if the pledgee establishes to the satisfaction of the Trustee the pledgee’s right to act as owner with respect to such Notes or Notes of such series, as the case may be, and that the pledgee is not the Issuer or any other obligor upon the Notes or the Notes of such series, as the case may be, or any Affiliate of the Issuer or such other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any Person appointed by the Issuer to distribute amounts payable by the Issuer on the Notes. The Issuer may act as its own Paying Agent. As of the date of this Indenture, the Issuer has appointed the Trustee as Paying Agent with respect to all Notes issuable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political subdivision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xml:space="preserve">” means the place specified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Notes</w:t>
      </w:r>
      <w:r>
        <w:rPr>
          <w:rFonts w:ascii="Times New Roman;Times;Serif" w:hAnsi="Times New Roman;Times;Serif"/>
          <w:b w:val="false"/>
          <w:i w:val="false"/>
          <w:caps w:val="false"/>
          <w:smallCaps w:val="false"/>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lieu of a lost, destroyed, mutilated, or stolen Note shall be deemed to evidence the same debt as the lost, destroyed, mutilated, or stolen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Note of any series will be determined for any purpose described herein, such determination to be made as of the close of business on such date by reference to the Security Register, and in relation to a determination of a payment of an installment of interest on the Notes of any series, shall have the meaning specified in such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xml:space="preserve">” when used with respect to any Notes to be redeemed, means the date fixed for such redemption in any notice of redemption issued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xml:space="preserve">” when used with respect to any Notes to be redeemed, means the price specified in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means the Person who maintains the Security Register, which Person shall be the Trustee unless and until a successor Registrar is appointed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when used with respect to the Trustee, means any officer of the Trustee having direct responsibility for the administration of this Indenture and also means, with respect to a particular corporate trust matter relating to this Indenture, any other officer to whom such matter is referred because of his or her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Agreement</w:t>
      </w:r>
      <w:r>
        <w:rPr>
          <w:rFonts w:ascii="Times New Roman;Times;Serif" w:hAnsi="Times New Roman;Times;Serif"/>
          <w:b w:val="false"/>
          <w:i w:val="false"/>
          <w:caps w:val="false"/>
          <w:smallCaps w:val="false"/>
          <w:sz w:val="20"/>
        </w:rPr>
        <w:t>” means the Revolving Credit Agreement, dated as of May 21, 2021, among the Issuer,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or any successor thereto, in each case as amended from time to time, and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has the meaning set forth in Rule 1-02(w) of Regulation S-X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xml:space="preserve">” for the payment of any Defaulted Interest means a date fixed by the Trustee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means the Trust Indenture Act of 1939, as amended, as in force as of the date hereof; provided that, with respect to every supplemental indenture executed pursuant to this Indenture, “</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shall mean the Trust Indenture Act of 1939,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in the first paragraph of this instrument until a successor Trustee shall have become such pursuant to the applicable provisions of this Indenture, and thereafter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mean, or include each Person who is then a Trustee hereunder, and if at any time there is more than one such Person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used with respect to the Notes of any series shall mean the Trustee with respect to the Notes of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means (a) securities that are direct obligations of the United States of America, the payment of which is unconditionally guaranteed by the full faith and credit of the United States of America and (b) securities that are obligations of a Person controlled or supervised by and acting as an agency or instrumentality of the United States of America, the payment of which is unconditionally guaranteed by the full faith and credit of the United States of America, and also includes depository receipts issued by a bank or trust company as custodian with respect to any of the securities described in the preceding clauses (a) and (b), and any payment of interest or principal payable under any of the securities described in the preceding clauses (a) and (b) that is held by such custodian for the account of the holder of a depository receipt, provided that (except as required by law) such custodian is not authorized to make any deduction from the amount payable to the holder of such depository receipt, or from any amount received by the custodian in respect of such securities, or from any specific payment of interest or principal payable under the securities evidenced by such depository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1.02.                    </w:t>
      </w:r>
      <w:r>
        <w:rPr>
          <w:rFonts w:ascii="Times New Roman;Times;Serif" w:hAnsi="Times New Roman;Times;Serif"/>
          <w:b w:val="false"/>
          <w:i w:val="false"/>
          <w:caps w:val="false"/>
          <w:smallCaps w:val="false"/>
          <w:sz w:val="20"/>
          <w:u w:val="single"/>
        </w:rPr>
        <w:t>Officer’s Certificates and Opinions</w:t>
      </w:r>
      <w:r>
        <w:rPr>
          <w:rFonts w:ascii="Times New Roman;Times;Serif" w:hAnsi="Times New Roman;Times;Serif"/>
          <w:b w:val="false"/>
          <w:i w:val="false"/>
          <w:caps w:val="false"/>
          <w:smallCaps w:val="false"/>
          <w:sz w:val="20"/>
        </w:rPr>
        <w:t>. Every Officer’s Certificate, Opinion of Counsel and other certificate or opinion to be delivered to the Trustee under this Indenture with respect to any action to be taken by the Trustee shall include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statement that each individual signing such certificate or opinion has read all covenants and conditions of this Indenture relating to such proposed action, including the definitions of all applicable capitalized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statement as to whether, in the opinion of each such individual, such condition or covenant has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1.03.                    </w:t>
      </w:r>
      <w:r>
        <w:rPr>
          <w:rFonts w:ascii="Times New Roman;Times;Serif" w:hAnsi="Times New Roman;Times;Serif"/>
          <w:b w:val="false"/>
          <w:i w:val="false"/>
          <w:caps w:val="false"/>
          <w:smallCaps w:val="false"/>
          <w:sz w:val="20"/>
          <w:u w:val="single"/>
        </w:rPr>
        <w:t>Form of Documents Delivered to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the other matters, and any such Person may certify or give an opinion as to such matters in one or several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certificate or opinion of an officer of the Issuer may be based, insofar as it relates to legal matters, upon a certificate or opinion of, or representations by, legal counsel, unless such officer knows that any such certificate, opinion, or representation is erroneous. Any opinion of counsel for the Issuer may be based, insofar as it relates to factual matters, upon a certificate or opinion of, or representations by, an officer or officers of the Issuer, unless such counsel knows that any such certificate, opinion, or representation is erroneous.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Where any Person is required to make, give, or execute two or more applications, requests, consents, certificates, statements, opinions, or other instruments under this Indenture, such instruments may, but need not, be consolidated and form a single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(if expressly required by the applicable terms of this Indenture)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conclusive in favor of the Trustee and the Issuer, if made in the manner provided in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ownership of Notes shall for all purposes be determined by reference to the Security Register, as such register shall exist as of the applicable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Issuer shall solicit from the Holders any request, demand, authorization, direction, notice, consent, waiver or other action, the Issuer may, at its option, by Board Resolution, fix in advance a Record Date for the determination of Holders entitled to give such request, demand, authorization, direction, notice, consent, waiver or other action, but the Issuer shall have no obligation to do so. If such Record Date is fixed, such request, demand, authorization, direction, notice, consent, waiver or other action may be given before or after such Record Date, but only the Holders of record at the close of business on such Record Date shall be deemed to be Holders for the purpose of determining whether Holders of the requisite proportion of Notes Outstanding have authorized or agreed or consented to such request, demand, authorization, direction, notice, consent, waiver or other action, and for that purpose the Notes Outstanding shall be computed as of such Record Date, provided that no such authorization, agreement or consent by the Holders on such Record Date shall be deemed effective unless it shall become effective pursuant to the provisions of this Indenture not later than six months after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request, demand, authorization, direction, notice, consent, waiver or other action by the Holder of any Note shall bind each subsequent Holder of such Note, and each Holder of any Note issued upon the registration of transfer thereof or in exchange therefor or in lieu thereof, with respect to anything done or suffered to be done by the Trustee or the Issuer in reliance upon such action, whether or not notation of such action is made upon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1.05.                    </w:t>
      </w:r>
      <w:r>
        <w:rPr>
          <w:rFonts w:ascii="Times New Roman;Times;Serif" w:hAnsi="Times New Roman;Times;Serif"/>
          <w:b w:val="false"/>
          <w:i w:val="false"/>
          <w:caps w:val="false"/>
          <w:smallCaps w:val="false"/>
          <w:sz w:val="20"/>
          <w:u w:val="single"/>
        </w:rPr>
        <w:t>Notices, Etc., to Trustee and Issuer</w:t>
      </w:r>
      <w:r>
        <w:rPr>
          <w:rFonts w:ascii="Times New Roman;Times;Serif" w:hAnsi="Times New Roman;Times;Serif"/>
          <w:b w:val="false"/>
          <w:i w:val="false"/>
          <w:caps w:val="false"/>
          <w:smallCaps w:val="false"/>
          <w:sz w:val="20"/>
        </w:rPr>
        <w:t>. Any request, order, authorization, direction, consent, waiver or other action to be taken by the Trustee, the Issuer or the Holders hereunder (including any Authentication Order), and any notice to be given to the Trustee or the Issuer with respect to any action taken or to be taken by the Trustee, the Issuer or the Holders hereunder, shall be sufficient if made in writing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to be furnished or delivered to or filed with the Trustee by the Issuer or any Holder, delivered to the Trustee at its Corporate Trust Office, including without limitation, by means of electronic delivery, including, without limitation, email and electronic facsimile or other electronic delivery,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if to be furnished or delivered to the Issuer by the Trustee or any Holder, and except as otherwise provided in </w:t>
      </w:r>
      <w:r>
        <w:rPr>
          <w:rFonts w:ascii="Times New Roman;Times;Serif" w:hAnsi="Times New Roman;Times;Serif"/>
          <w:b w:val="false"/>
          <w:i w:val="false"/>
          <w:caps w:val="false"/>
          <w:smallCaps w:val="false"/>
          <w:sz w:val="20"/>
          <w:u w:val="single"/>
        </w:rPr>
        <w:t>Section 4.01(3)</w:t>
      </w:r>
      <w:r>
        <w:rPr>
          <w:rFonts w:ascii="Times New Roman;Times;Serif" w:hAnsi="Times New Roman;Times;Serif"/>
          <w:b w:val="false"/>
          <w:i w:val="false"/>
          <w:caps w:val="false"/>
          <w:smallCaps w:val="false"/>
          <w:sz w:val="20"/>
        </w:rPr>
        <w:t>, mailed to the Issuer, first-class postage prepaid, at the following address: c/o Skyworks Solutions, Inc., 5260 California Avenue, Irvine, California 92617 Attention: Contracts and General Counsel, Facsimile No.: (949) 725-1772, Telephone No.: (949) 231-3000 or at any other address hereafter furnished in writing by the Issuer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1.06.                    </w:t>
      </w:r>
      <w:r>
        <w:rPr>
          <w:rFonts w:ascii="Times New Roman;Times;Serif" w:hAnsi="Times New Roman;Times;Serif"/>
          <w:b w:val="false"/>
          <w:i w:val="false"/>
          <w:caps w:val="false"/>
          <w:smallCaps w:val="false"/>
          <w:sz w:val="20"/>
          <w:u w:val="single"/>
        </w:rPr>
        <w:t>Notice to Holders; Waiver</w:t>
      </w:r>
      <w:r>
        <w:rPr>
          <w:rFonts w:ascii="Times New Roman;Times;Serif" w:hAnsi="Times New Roman;Times;Serif"/>
          <w:b w:val="false"/>
          <w:i w:val="false"/>
          <w:caps w:val="false"/>
          <w:smallCaps w:val="false"/>
          <w:sz w:val="20"/>
        </w:rPr>
        <w:t>. Where this Indenture or any Note provides for notice to Holders of any event, such notice shall be sufficiently given (unless otherwise expressly provided herein or in such Note) if (1) in writing and mailed, first-class postage prepaid, to each Holder affected by such event, at his or her address as it appears in the Security Register as of the applicable Record Date, if any, or (2) given by electronic delivery, not later than the latest date or earlier than the earliest date prescribed by this Indenture or such Note for the giving of such notice; provided that if the Holder to which any such notice or communication is to be mailed, delivered, given or otherwise transmitted is a Depositary or its nominee, such notice or communication may instead be given by such other means as may be required or permitted by the procedures of the Depositary. In any case where notice to Holders is given, neither the failure to give such notice, nor any defect in any notice so given, to any particular Holder shall affect the sufficiency of such notice with respect to other Holders. Where this Indenture or any Note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If a notice or communication is sent in the manner provided in this Section 1.06 within the time prescribed, it is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1.07.                    </w:t>
      </w:r>
      <w:r>
        <w:rPr>
          <w:rFonts w:ascii="Times New Roman;Times;Serif" w:hAnsi="Times New Roman;Times;Serif"/>
          <w:b w:val="false"/>
          <w:i w:val="false"/>
          <w:caps w:val="false"/>
          <w:smallCaps w:val="false"/>
          <w:sz w:val="20"/>
          <w:u w:val="single"/>
        </w:rPr>
        <w:t>Conflict with Trust Indenture Act</w:t>
      </w:r>
      <w:r>
        <w:rPr>
          <w:rFonts w:ascii="Times New Roman;Times;Serif" w:hAnsi="Times New Roman;Times;Serif"/>
          <w:b w:val="false"/>
          <w:i w:val="false"/>
          <w:caps w:val="false"/>
          <w:smallCaps w:val="false"/>
          <w:sz w:val="20"/>
        </w:rPr>
        <w:t>. If any provision hereof limits, qualifies or conflicts with another provision hereof which is required to be included in this Indenture by any of the provisions of the TIA, such required provision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1.08.                    </w:t>
      </w:r>
      <w:r>
        <w:rPr>
          <w:rFonts w:ascii="Times New Roman;Times;Serif" w:hAnsi="Times New Roman;Times;Serif"/>
          <w:b w:val="false"/>
          <w:i w:val="false"/>
          <w:caps w:val="false"/>
          <w:smallCaps w:val="false"/>
          <w:sz w:val="20"/>
          <w:u w:val="single"/>
        </w:rPr>
        <w:t>Effect of Headings and Table of Contents</w:t>
      </w:r>
      <w:r>
        <w:rPr>
          <w:rFonts w:ascii="Times New Roman;Times;Serif" w:hAnsi="Times New Roman;Times;Serif"/>
          <w:b w:val="false"/>
          <w:i w:val="false"/>
          <w:caps w:val="false"/>
          <w:smallCaps w:val="false"/>
          <w:sz w:val="20"/>
        </w:rPr>
        <w:t>. The Article and Section headings herein and the Table of Contents hereof are for convenience only and shall not affect the construction of any provision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All covenants and agreements in this Indenture by the Issuer shall bind its successors and assigns, whether so expressed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1.10.                    </w:t>
      </w:r>
      <w:r>
        <w:rPr>
          <w:rFonts w:ascii="Times New Roman;Times;Serif" w:hAnsi="Times New Roman;Times;Serif"/>
          <w:b w:val="false"/>
          <w:i w:val="false"/>
          <w:caps w:val="false"/>
          <w:smallCaps w:val="false"/>
          <w:sz w:val="20"/>
          <w:u w:val="single"/>
        </w:rPr>
        <w:t>Separability Clause</w:t>
      </w:r>
      <w:r>
        <w:rPr>
          <w:rFonts w:ascii="Times New Roman;Times;Serif" w:hAnsi="Times New Roman;Times;Serif"/>
          <w:b w:val="false"/>
          <w:i w:val="false"/>
          <w:caps w:val="false"/>
          <w:smallCaps w:val="false"/>
          <w:sz w:val="20"/>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1.11.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val="false"/>
          <w:caps w:val="false"/>
          <w:smallCaps w:val="false"/>
          <w:sz w:val="20"/>
        </w:rPr>
        <w:t>. Nothing in this Indenture or in any Notes, express or implied, shall give to any Person, other than the parties hereto, their successors hereunder, the Authenticating Agent, the Registrar, any Paying Agent, and the Holders of Notes (or such of them as may be affected thereby), any benefit or any legal or equitable right, remedy or claim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Indenture may be executed in any number of counterparts, each of which when so executed shall be deemed to be an original, but all of which shall together constitute but one and the same instrument. This Indenture shall be valid, binding and enforceable against a party only when executed and delivered by an authorized individual on behalf of the party by means of (i) any electronic signature permitted by the federal Electronic Signatures in Global National Commerce Act, state enactments of the Uniform Electronic Transactions Act and/or any other relevant electronic signatures law, including relevant provisions of the Uniform Commercial Code (collectively, “</w:t>
      </w:r>
      <w:r>
        <w:rPr>
          <w:rFonts w:ascii="Times New Roman;Times;Serif" w:hAnsi="Times New Roman;Times;Serif"/>
          <w:b w:val="false"/>
          <w:i w:val="false"/>
          <w:caps w:val="false"/>
          <w:smallCaps w:val="false"/>
          <w:sz w:val="20"/>
          <w:u w:val="single"/>
        </w:rPr>
        <w:t>Signature Law</w:t>
      </w:r>
      <w:r>
        <w:rPr>
          <w:rFonts w:ascii="Times New Roman;Times;Serif" w:hAnsi="Times New Roman;Times;Serif"/>
          <w:b w:val="false"/>
          <w:i w:val="false"/>
          <w:caps w:val="false"/>
          <w:smallCaps w:val="false"/>
          <w:sz w:val="20"/>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 All notices, approvals, consents, requests and any communications hereunder must be in writing (provided that any such communication sent to the Trustee hereunder must be in the form of a document that is signed manually or by way of a digital signature provided by DocuSign or other electronic signature provider that the Issuer plans to use (or such other digital signature provider as specified in writing to the Trustee by the authorized representative), in English.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1.14.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In any case where any Interest Payment Date, Redemption Date, Maturity Date or other payment date shall not be a Business Day, then (notwithstanding any other provisions of this Indenture or of the Notes) payment of interest or principal (and premium, if any) need not be made on such date, but may be made on the next succeeding Business Day with the same force and effect as if made on the Interest Payment Date, Redemption Date, Maturity Date or other payment date; provided that no interest shall accrue for the period from and after such Interest Payment Date, Redemption Date, Maturity Date or other payment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1.16.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1.17.                    </w:t>
      </w:r>
      <w:r>
        <w:rPr>
          <w:rFonts w:ascii="Times New Roman;Times;Serif" w:hAnsi="Times New Roman;Times;Serif"/>
          <w:b w:val="false"/>
          <w:i w:val="false"/>
          <w:caps w:val="false"/>
          <w:smallCaps w:val="false"/>
          <w:sz w:val="20"/>
          <w:u w:val="single"/>
        </w:rPr>
        <w:t>Acceptance of Trust</w:t>
      </w:r>
      <w:r>
        <w:rPr>
          <w:rFonts w:ascii="Times New Roman;Times;Serif" w:hAnsi="Times New Roman;Times;Serif"/>
          <w:b w:val="false"/>
          <w:i w:val="false"/>
          <w:caps w:val="false"/>
          <w:smallCaps w:val="false"/>
          <w:sz w:val="20"/>
        </w:rPr>
        <w:t>. U.S. Bank Trust Company, National Association, the initial Trustee named herein, accepts the trusts in this Indenture declared and provided, upon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2.01.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Notes of each series shall be substantially in such form (not inconsistent with this Indenture) as shall be established by or pursuant to a Board Resolution, Officer’s Certificate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stock exchange rule or DTC rule or usage or with any rules or regulations pursuant thereto, all as may, consistently herewith, be determined by the Officer executing such Notes, as evidenced by their execution of the Notes. Any portion of the text of any Note may be set forth on the reverse thereof, with an appropriate reference thereto on the face of the Note. Each Note shall be dated the date of its authentication. The Issuer shall furnish any such legends to the Trustee in writing.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Definitive Notes, if any, shall be printed, lithographed or engraved or produced by any combination of those methods on steel engraved borders or may be produced in any other manner permitted by any applicable rule of any securities exchange, all as determined by the Officers executing such Notes, as evidenced by their execution of such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terms and provisions contained in the Notes shall constitute, and are hereby expressly made, a part of this Indenture and the Issuer and the Trustee, by their execution and delivery of this Indenture expressly agree to such terms and provisions and to be bound thereby. Nothing in the preceding sentence shall, however, limit the effect of the second paragraph of </w:t>
      </w:r>
      <w:r>
        <w:rPr>
          <w:rFonts w:ascii="Times New Roman;Times;Serif" w:hAnsi="Times New Roman;Times;Serif"/>
          <w:b w:val="false"/>
          <w:i w:val="false"/>
          <w:caps w:val="false"/>
          <w:smallCaps w:val="false"/>
          <w:sz w:val="20"/>
          <w:u w:val="single"/>
        </w:rPr>
        <w:t>Section 2.02(1)</w:t>
      </w:r>
      <w:r>
        <w:rPr>
          <w:rFonts w:ascii="Times New Roman;Times;Serif" w:hAnsi="Times New Roman;Times;Serif"/>
          <w:b w:val="false"/>
          <w:i w:val="false"/>
          <w:caps w:val="false"/>
          <w:smallCaps w:val="false"/>
          <w:sz w:val="20"/>
        </w:rPr>
        <w:t>. However, to the extent any provision of any Note conflicts with the express provisions of this Indenture, the provisions of this Indenture shall govern and be controlling. All Notes of any one series shall be substantially identical except as to denomination and except as may otherwise be provided in or pursuant to such resolution of the Board of Directors or in any such indenture supplemental 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Note shall be entitled to any benefit under this Indenture or be valid or obligatory for any purpose unless there appears on such Note a certificate of authentication substantially in the form provided for herein executed by the Trustee by manual signature of an authorized officer, and such certificate upon any Note shall be conclusive evidence, and the only evidence, that such Note has been duly authenticated and delivered hereunder.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aggregate principal amount of Notes which may be authenticated and delivered under this Indenture is unlimited. The Notes may be issued in one or more series. There shall be established in or pursuant to (x) a Board Resolution, (y) an Officer’s Certificate or (z) one or more indentures supplemental hereto, prior to the issuance of Notes of any series: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title of the Notes of the series (which shall distinguish the Notes of the series from all other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 upon the aggregate principal amount of the Notes of the series that may be authenticated and delivered under this Indenture (except for Notes authenticated and delivered upon registration of transfer of, or in exchange for, or in lieu of, other Notes of the series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8.07</w:t>
      </w:r>
      <w:r>
        <w:rPr>
          <w:rFonts w:ascii="Times New Roman;Times;Serif" w:hAnsi="Times New Roman;Times;Serif"/>
          <w:b w:val="false"/>
          <w:i w:val="false"/>
          <w:caps w:val="false"/>
          <w:smallCaps w:val="false"/>
          <w:sz w:val="20"/>
        </w:rPr>
        <w:t xml:space="preserve"> or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Notes of the series is payable;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at which the Notes of the series shall bear interest, if any, or the method by which such rate shall be determined, the date or dates from which such interest shall accrue, the Interest Payment Dates on which such interest shall be payable and the Record Dates, if any, for the determination of Holders to whom interest is payable;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place or places where the principal of and any premium and interest on the Notes of the series shall be payable;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optional redemption, mandatory redemption, sinking fund and any change of control put provisions;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other than the principal amount thereof, the portion of the principal amount of Notes of the series which shall be payable upon declaration of acceleration of the Maturity thereof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 date;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designation of the currency, currencies or currency units in which payment of the principal of, premium and interest, if any, on the Notes of the series will be made if other than U.S. dollars;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provisions, if any, relating to any security provided for the Notes of the series, and any subordination in right of payment, if any, of the Notes of the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issue price (expressed as a percentage of the aggregate principal amount of the Notes) at which the Notes will be issued;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if the Notes of the series are issuable in whole or in part in the form of Definitive Notes or as one or more Global Notes, and if so, the identity of the Depositary for such Global Notes if other than DTC;</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other terms of the series (which may supplement, modify or delete any provisions of this Indenture);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Notes of such series will be convertible into or exchangeable for shares of common stock, preferred stock or other securities of the Issuer or any other Person, the terms and conditions upon which such Notes will be so convertible or exchangeable;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additions to, deletions of or changes in the Events of Default which apply to the Notes of the series;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additions to, deletions of or changes in any covenants of the Issuer with respect to the Notes of a particular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2.01(1)(v)(b)</w:t>
      </w:r>
      <w:r>
        <w:rPr>
          <w:rFonts w:ascii="Times New Roman;Times;Serif" w:hAnsi="Times New Roman;Times;Serif"/>
          <w:b w:val="false"/>
          <w:i w:val="false"/>
          <w:caps w:val="false"/>
          <w:smallCaps w:val="false"/>
          <w:sz w:val="20"/>
        </w:rPr>
        <w:t xml:space="preserve"> and unless otherwise expressly provided with respect to a series of Notes, the aggregate principal amount of a series of Notes may be increased and additional Notes of such series may be issued up to the maximum aggregate principal amount authorized with respect to such series as increased; provided that, any such additional Notes shall have identical terms as the outstanding Notes of such series, other than with respect to the date of issuance, issue price, first Interest Payment Date, interest accrual date and amount of interest payable on the first Interest Payment Date applicable thereto; provided further, that any such additional Notes shall be treated as a single class with the outstanding Notes of such series for all purposes under this Indenture, subject to any applicable United States Federal income tax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Issuer shall establish pursuant to </w:t>
      </w:r>
      <w:r>
        <w:rPr>
          <w:rFonts w:ascii="Times New Roman;Times;Serif" w:hAnsi="Times New Roman;Times;Serif"/>
          <w:b w:val="false"/>
          <w:i w:val="false"/>
          <w:caps w:val="false"/>
          <w:smallCaps w:val="false"/>
          <w:sz w:val="20"/>
          <w:u w:val="single"/>
        </w:rPr>
        <w:t>Section 2.01(1)</w:t>
      </w:r>
      <w:r>
        <w:rPr>
          <w:rFonts w:ascii="Times New Roman;Times;Serif" w:hAnsi="Times New Roman;Times;Serif"/>
          <w:b w:val="false"/>
          <w:i w:val="false"/>
          <w:caps w:val="false"/>
          <w:smallCaps w:val="false"/>
          <w:sz w:val="20"/>
        </w:rPr>
        <w:t xml:space="preserve"> above that the Notes of a series or a portion thereof are to be issued in the form of one or more Global Notes, then the Issuer shall execute and the Trustee shall authenticate and make available for delivery one or more Global Notes that (a) shall represent and shall be denominated in an amount equal to the aggregate principal amount of all of the Notes of such series issued in such form and not yet cancelled, (b) shall be registered, in the name of the Depositary designated for such Global Note pursuant to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or in the name of a nominee of such Depositary, (c) shall be deposited with the Trustee, as Custodian for the Depositary, and (d) shall bear a legend substantially as follows (“</w:t>
      </w:r>
      <w:r>
        <w:rPr>
          <w:rFonts w:ascii="Times New Roman;Times;Serif" w:hAnsi="Times New Roman;Times;Serif"/>
          <w:b w:val="false"/>
          <w:i w:val="false"/>
          <w:caps w:val="false"/>
          <w:smallCaps w:val="false"/>
          <w:sz w:val="20"/>
          <w:u w:val="single"/>
        </w:rPr>
        <w:t>Global Note Legend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HEREINAFTER.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Depositary designated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for a Global Note must, at the time of its designation and at all times while it serves as Depositary, be a clearing agency registered under the Exchange Act and any other applicable statute or regulation, provided that the Depositary is required to be so registered in order to act as depositary.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Global Note may be represented by more than one certificate. The aggregate principal amount of each Global Note may from time to time be increased or decreased by adjustments made on the records of the Registrar, as provided in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Trustee’s Certificate of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Certificate of Authentication shall be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1148"/>
        <w:gridCol w:w="6386"/>
      </w:tblGrid>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By:</w:t>
            </w:r>
          </w:p>
        </w:tc>
        <w:tc>
          <w:tcPr>
            <w:tcW w:w="638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pPr>
            <w:r>
              <w:rPr/>
              <w:t> </w:t>
            </w:r>
          </w:p>
        </w:tc>
        <w:tc>
          <w:tcPr>
            <w:tcW w:w="6386"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2.02.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any time and from time to time after the execution and delivery of this Indenture, the Issuer may deliver Notes of any series executed on behalf of the Issuer by any Officer to the Trustee for authentication, and the Trustee, upon receipt of a written order of the Issuer specifying the principal amount and registered Holder of each Note and whether such Note shall be a Definitive Note or a Global Note, and signed by an Officer (the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xml:space="preserve">”) shall thereupon in accordance with the procedures acceptable to the Trustee set forth in the Authentication Order, and subject to the provisions hereof, authenticate and deliver such Notes to or upon the written order of the Issuer, without any further action by the Issuer except as set forth in this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The signature of any Officer on the Notes may be manual, facsimile or by other electronic means. Typographical and other minor errors or defects in any such signature shall not affect the validity or enforceability of any Note that has been duly authenticated and delivered by the Trustee. In authenticating such Notes and accepting the additional responsibilities under this Indenture in relation to such Notes, the Trustee shall receive,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shall be fully protected in relying upon: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copy of the Board Resolution relating to such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 executed supplemental indenture, if any, and the documentation required to be delivered pursuant to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 Officer’s Certificate setting forth the form or forms and terms of the Notes of such series pursuant to </w:t>
      </w:r>
      <w:r>
        <w:rPr>
          <w:rFonts w:ascii="Times New Roman;Times;Serif" w:hAnsi="Times New Roman;Times;Serif"/>
          <w:b w:val="false"/>
          <w:i w:val="false"/>
          <w:caps w:val="false"/>
          <w:smallCaps w:val="false"/>
          <w:sz w:val="20"/>
          <w:u w:val="single"/>
        </w:rPr>
        <w:t>Section 2.01(1)(v)</w:t>
      </w:r>
      <w:r>
        <w:rPr>
          <w:rFonts w:ascii="Times New Roman;Times;Serif" w:hAnsi="Times New Roman;Times;Serif"/>
          <w:b w:val="false"/>
          <w:i w:val="false"/>
          <w:caps w:val="false"/>
          <w:smallCaps w:val="false"/>
          <w:sz w:val="20"/>
        </w:rPr>
        <w:t xml:space="preserve">, and prepared in accordance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 Opinion of Counsel, prepared in accordance with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Notes bearing the manual or electronic signatures of individuals who were at any time on or after the date hereof the proper officers of the Issuer shall bind the Issuer, notwithstanding that such individuals or any of them have ceased to hold such offices prior to the authentication and delivery of such Notes or did not hold such offices at the date of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Notes shall be in fully registered form, without coupons, in minimum denominations of $2,000 and integral multiples of $1,000 in excess thereof, unless otherwise specified in the Board Resolution, Officer’s Certificate or supplemental indenture relating to a particular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2.03.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Until certificates representing Notes of a series are ready for delivery, the Issuer may prepare and the Trustee, upon receipt of an Authentication Order, shall authenticate and deliver temporary Notes of such series.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of a series in exchange for temporary Notes of such series. Holders of temporary Notes shall be entitled to all of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2.04.                    </w:t>
      </w:r>
      <w:r>
        <w:rPr>
          <w:rFonts w:ascii="Times New Roman;Times;Serif" w:hAnsi="Times New Roman;Times;Serif"/>
          <w:b w:val="false"/>
          <w:i w:val="false"/>
          <w:caps w:val="false"/>
          <w:smallCaps w:val="false"/>
          <w:sz w:val="20"/>
          <w:u w:val="single"/>
        </w:rPr>
        <w:t>Registration,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Securities Register</w:t>
      </w:r>
      <w:r>
        <w:rPr>
          <w:rFonts w:ascii="Times New Roman;Times;Serif" w:hAnsi="Times New Roman;Times;Serif"/>
          <w:b w:val="false"/>
          <w:i w:val="false"/>
          <w:caps w:val="false"/>
          <w:smallCaps w:val="false"/>
          <w:sz w:val="20"/>
        </w:rPr>
        <w:t>. The Trustee shall keep a register of the Notes (the “</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xml:space="preserve">”) which shall provide for the registration of such Notes, and for transfers of such Notes in accordance with information, if any, to be provided to the Trustee by the Issuer, subject to such reasonable regulations as the Trustee may prescribe. Such register shall be in written form or in any other form capable of being converted into written form within a reasonable time. At all reasonable times the information contained in such register or registers shall be available for inspection at the Corporate Trust Office of the Trustee or at such other office or agency to be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due presentation for registration of transfer of any Note at the Corporate Trust Office of the Trustee or at any other office or agency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Issuer shall execute, and the Trustee shall authenticate and deliver, in the name of the designated transferee or transferees, one or more new Notes of authorized denominations, of a like aggregate principal amount, series and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Transfer of Global Notes</w:t>
      </w:r>
      <w:r>
        <w:rPr>
          <w:rFonts w:ascii="Times New Roman;Times;Serif" w:hAnsi="Times New Roman;Times;Serif"/>
          <w:b w:val="false"/>
          <w:i w:val="false"/>
          <w:caps w:val="false"/>
          <w:smallCaps w:val="false"/>
          <w:sz w:val="20"/>
        </w:rPr>
        <w:t xml:space="preserve">. Any other provision of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notwithstanding, unless and until it is exchanged in whole or in part for Definitive Notes, a Global Note representing all or a portion of the Notes of a series may not be transferred except as a whole by the Depositary to a nominee of such Depositary, or by a nominee of such Depositary to such Depositary or another nominee of such Depositary, or by such Depositary or any such nominee to a successor Depositary or a nominee of such successor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initially appoints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to act as Depositary with respect to the Global Notes of each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Global Note shall bear the legend specified in clause (i) of </w:t>
      </w:r>
      <w:r>
        <w:rPr>
          <w:rFonts w:ascii="Times New Roman;Times;Serif" w:hAnsi="Times New Roman;Times;Serif"/>
          <w:b w:val="false"/>
          <w:i w:val="false"/>
          <w:caps w:val="false"/>
          <w:smallCaps w:val="false"/>
          <w:sz w:val="20"/>
          <w:u w:val="single"/>
        </w:rPr>
        <w:t>Section 2.01(2)</w:t>
      </w:r>
      <w:r>
        <w:rPr>
          <w:rFonts w:ascii="Times New Roman;Times;Serif" w:hAnsi="Times New Roman;Times;Serif"/>
          <w:b w:val="false"/>
          <w:i w:val="false"/>
          <w:caps w:val="false"/>
          <w:smallCaps w:val="false"/>
          <w:sz w:val="20"/>
        </w:rPr>
        <w:t xml:space="preserve"> on the face thereof, and any additional legend or legends as may be specified in a Board Resolution, Officer’s Certificate or supplemental indenture relating to a particular series of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 other provisions of this Indenture or the Notes, a Global Note may be exchanged for Notes of the same series registered in the names of any Person designated by the Depositary in the event that (a) the Depositary has notified the Issuer that it is unwilling or unable to continue as Depositary for such Global Note or such Depositary has ceased to be a “clearing agency” registered under the Exchange Act, at a time when the Depositary is required to be so registered in order to act as depositary, and the Issuer has not appointed a successor Depositary within 90 days of receiving such notice or of becoming aware of such cessation, (b) an Event of Default has occurred and is continuing with respect to the applicable Notes, or (c) the Issuer, in its sole discretion, determines that the applicable Notes issued in the form of Global Notes shall no longer be represented by such Global Notes as evidenced by a Company Order delivered to the Trustee. Any Global Note exchanged pursuant to clause (a) or (c) above shall be so exchanged in whole and not in part and any Global Note exchanged pursuant to clause (b) above may be exchanged in whole or from time to time in part as directed by the Depositary. Any Note issued in exchange for a Global Note of the same series or any portion thereof shall be a Global Note provided that any such Note so issued that is registered in the name of a Person other than the Depositary or a nominee thereof shall not be a Global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at any time the Depositary for the Notes of any series notifies the Issuer that it is unwilling or unable to continue as Depositary for such Notes or if the Depositary has ceased to be a “clearing agency” registered under the Exchange Act at a time when the Depositary is required to be so registered in order to act as depositary, the Issuer may within 90 days of receiving such notice or of becoming aware of such cessation appoint a successor Depositary with respect to such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in accordance with this </w:t>
      </w:r>
      <w:r>
        <w:rPr>
          <w:rFonts w:ascii="Times New Roman;Times;Serif" w:hAnsi="Times New Roman;Times;Serif"/>
          <w:b w:val="false"/>
          <w:i w:val="false"/>
          <w:caps w:val="false"/>
          <w:smallCaps w:val="false"/>
          <w:sz w:val="20"/>
          <w:u w:val="single"/>
        </w:rPr>
        <w:t>Section 2.04(4)</w:t>
      </w:r>
      <w:r>
        <w:rPr>
          <w:rFonts w:ascii="Times New Roman;Times;Serif" w:hAnsi="Times New Roman;Times;Serif"/>
          <w:b w:val="false"/>
          <w:i w:val="false"/>
          <w:caps w:val="false"/>
          <w:smallCaps w:val="false"/>
          <w:sz w:val="20"/>
        </w:rPr>
        <w:t>, Notes of any series in global form will no longer be represented by Global Notes, the Issuer will execute, and the Trustee, upon receipt of an Authentication Order, will authenticate and make available for delivery, Definitive Notes of such series in an aggregate principal amount equal to the principal amount of the Global Notes of such series, in exchange for such Global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 Definitive Note is issued in exchange for any portion of a Global Note after the close of business at the office or agency where such exchange occurs on any Record Date for the payment of interest and before the opening of business at such office or agency on the next succeeding Interest Payment Date, interest shall not be payable on such Interest Payment Date in respect of such Definitive Notes, but shall be payable on such Interest Payment Date only to the Person to whom interest in respect of such portion of such Global Note is payable in accordance with the provisions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Definitive Notes issued in exchange for a Global Note pursuant to this </w:t>
      </w:r>
      <w:r>
        <w:rPr>
          <w:rFonts w:ascii="Times New Roman;Times;Serif" w:hAnsi="Times New Roman;Times;Serif"/>
          <w:b w:val="false"/>
          <w:i w:val="false"/>
          <w:caps w:val="false"/>
          <w:smallCaps w:val="false"/>
          <w:sz w:val="20"/>
          <w:u w:val="single"/>
        </w:rPr>
        <w:t>Section 2.04(4)</w:t>
      </w:r>
      <w:r>
        <w:rPr>
          <w:rFonts w:ascii="Times New Roman;Times;Serif" w:hAnsi="Times New Roman;Times;Serif"/>
          <w:b w:val="false"/>
          <w:i w:val="false"/>
          <w:caps w:val="false"/>
          <w:smallCaps w:val="false"/>
          <w:sz w:val="20"/>
        </w:rPr>
        <w:t xml:space="preserve"> shall be registered in such names and in such authorized denominations as the Depositary, pursuant to instructions from its direct or indirect participants or otherwise, shall instruct the Trustee. Upon execution and authentication, the Trustee shall deliver such Definitive Notes to the Persons in whose names such Notes are so registered. To permit registrations of transfers and exchanges, the Issuer shall execute and the Trustee (or an Authenticating Agent appointed pursuant to this Indenture) shall authenticate and make available for delivery Definitive Notes at the Registrar’s request, and upon direction of the Issuer. No service charge shall be made for any registration of transfer or exchange, but the Issuer or the Trustee may require payment of a sum sufficient to cover any transfer tax or other governmental charge payable in connection with any registration of transfer or exchange.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When Definitive Notes are presented to the Trustee with a request to register the transfer of such Definitive Notes or to exchange such Definitive Notes for an equal principal amount of Definitive Notes of other authorized denominations of the same series, the Trustee shall register the transfer or make the exchange as requested if its requirements for such transaction are met provided, however, that the Definitive Notes surrendered for transfer or exchange shall be duly endorsed or accompanied by a written instrument of transfer in form reasonably satisfactory to the Issuer and the Trustee, duly executed by the Holder thereof or his attorney duly authorized in writing.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such time as all interests in Global Notes of any series have either been exchanged for Definitive Notes of such series or cancelled, such Global Notes shall be cancelled by the Trustee in accordance with the standing procedures and instructions existing between the Depositary and the Custodian. At any time prior to such cancellation, if any interest in a Global Note of any series is exchanged for Definitive Notes of such series or cancelled, the principal amount of such Global Note shall, in accordance with the standing procedures and instructions existing between the Depositary and the Custodian, be reduced and an endorsement shall be made on such Global Note, by the Trustee or the Custodian, at the direction of the Trustee, to reflect such reduction.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anything in this Indenture to the contrary, (i) all Notes issued upon any registration of transfer or exchange of Notes shall be the valid obligations of the Issuer, evidencing the same debt, and entitled to the same benefits under this Indenture, as the Notes surrendered upon such registration of transfer or exchange, (ii) all transfers and exchanges of the Notes may be made only in accordance with the procedures set forth in this Indenture, and (iii) the transfer and exchange of a beneficial interest in a Global Note may only be effected through the Depositary in accordance with the procedures promulgated by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Issuer shall not be required to (i) issue, register the transfer of, or exchange any Note during a period beginning at the opening of business 15 days before the day of the mailing of a notice of redemption of Notes under any optional redemption provision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xml:space="preserve"> and ending at the close of business on the date of such mailing or (ii) register the transfer of or exchange any Note so selected for redemption in whole or in part, except, in the case of any Note to be redeemed in part, the portion thereof not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2.05.                    </w:t>
      </w:r>
      <w:r>
        <w:rPr>
          <w:rFonts w:ascii="Times New Roman;Times;Serif" w:hAnsi="Times New Roman;Times;Serif"/>
          <w:b w:val="false"/>
          <w:i w:val="false"/>
          <w:caps w:val="false"/>
          <w:smallCaps w:val="false"/>
          <w:sz w:val="20"/>
          <w:u w:val="single"/>
        </w:rPr>
        <w:t>Mutilated, Destroyed, Lost and Stolen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(i) any mutilated Note is surrendered to the Trustee, or the Issuer and the Trustee receive evidence to their satisfaction of the destruction, loss or theft of any Note and (ii) there is delivered to the Issuer and the Trustee such security or indemnity as may be required by them to save each of them harmless from any loss, liability or expense that they may suffer if such Note is replaced and subsequently presented or otherwise claimed for payment, then, in the absence of notice to the Issuer or the Trustee that such Note has been acquired by a protected purchaser, the Issuer may in its discretion execute and, upon request of the Issuer, the Trustee shall authenticate and deliver, in exchange for or in lieu of any such mutilated, destroyed, lost or stolen Note, a new Note of like tenor, series, Maturity Date, and principal amount, bearing a number not contemporaneously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case any such mutilated, destroyed, lost or stolen Note has become or is about to become due and payable, the Issuer in its discretion may, instead of issuing a new Note, pay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Upon the issuance of any new Note under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the Issuer may require the payment by the Holder thereof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Every new Note issued pursuant to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in lieu of any mutilated, destroyed, lost or stolen Note shall constitute an original contractual obligation of the Issuer, whether or not the mutilated, destroyed, lost or stolen Note shall be at any time enforceable by anyone, and shall be entitled to all the benefits of this Indenture equally and proportionately with any and all other Notes duly issued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are exclusive and shall preclude (to the extent lawful) all other rights and remedies with respect to the replacement or payment of mutilated, destroyed, lost or stolen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2.06.                    </w:t>
      </w:r>
      <w:r>
        <w:rPr>
          <w:rFonts w:ascii="Times New Roman;Times;Serif" w:hAnsi="Times New Roman;Times;Serif"/>
          <w:b w:val="false"/>
          <w:i w:val="false"/>
          <w:caps w:val="false"/>
          <w:smallCaps w:val="false"/>
          <w:sz w:val="20"/>
          <w:u w:val="single"/>
        </w:rPr>
        <w:t>Payment of Interest; Interest Rights Preserved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Interest on any Note which is payable and is punctually paid or duly provided for on any Interest Payment Date shall, if so provided in such Note, be paid to the Person in whose name that Note (or one or more Predecessor Notes) is registered at the close of business on the applicable Record Date, notwithstanding any transfer or exchange of such Note subsequent to such Record Date and prior to such Interest Payment Date (unless, if so provided in such Note, such Interest Payment Date is also the Maturity Date, in which case such interest shall be payable to the Person to whom principal is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interest on any Note which is payable, but is not punctually paid or duly provided for, on any Interest Payment Date (herein called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shall forthwith cease to be payable to the registered Holder on the applicable Record Date by virtue of his having been such Holder; and, except as hereinafter provided, such Defaulted Interest may be paid by the Issuer, at its election in each case, as provided in clause (i) or (ii)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may elect to make payment of any Defaulted Interest to the Persons in whose names any such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such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Issuer shall fix a Special Record Date for the payment of such Defaulted Interest which shall be not more than 15 nor less than 10 days prior to the date of the proposed payment and not less than 10 days after the receipt by the Trustee of the notice of the proposed payment. The Issuer shall promptly notify the Trustee and, upon request (given at least three (3) Business Days before such notice is to be sent (or such shorter period as shall be acceptable to the Trustee)), the Trustee shall, in the name and at the expense of the Issuer, cause notice of the proposed payment of such Defaulted Interest and the Special Record Date therefor to be mailed, first-class postage prepaid, to the Holder of each such Note at his address as it appears in the Security Register (or given by electronic delivery or pursuant to the applicable procedures of the Depositary), not less than 10 days prior to such Special Record Date. Notice of the proposed payment of such Defaulted Interest and the Special Record Date therefor having been mailed or given as aforesaid, such Defaulted Interest shall be paid to the Persons in whose names such Notes (or their respective Predecessor Notes) are registered on such Special Record Date and shall no longer be payable pursuant to the following clause (ii).</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Issuer may make payment of any Defaulted Interest in any other lawful manner if, after notice given by the Issuer to the Trustee of the proposed payment pursuant to this clause (ii), such manner of payment shall be deemed practicable by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any installment of interest on any Note called for redemption pursuant to any optional redemption provision under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xml:space="preserve"> is due and payable on or prior to the Redemption Date and is not paid or duly provided for on or prior to the Redemption Date in accordance with the foregoing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such interest shall be payable as part of the Redemption Price of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Interest on Notes may be paid at the office or agency maintained by the Issuer in the United States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at the Issuer’s option, through DTC, Clearstream Banking, société anonyme, or Euroclear System to the Person entitled thereto or by such other means as may be specified in the form of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Subject to the foregoing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the provisions of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2.07.                    </w:t>
      </w:r>
      <w:r>
        <w:rPr>
          <w:rFonts w:ascii="Times New Roman;Times;Serif" w:hAnsi="Times New Roman;Times;Serif"/>
          <w:b w:val="false"/>
          <w:i w:val="false"/>
          <w:caps w:val="false"/>
          <w:smallCaps w:val="false"/>
          <w:sz w:val="20"/>
          <w:u w:val="single"/>
        </w:rPr>
        <w:t>Persons Deemed Owners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Prior to due presentment of a Note for registration of transfer, the Issuer, the Trustee, and any agent of the Issuer or the Trustee may treat the Person in whose name any Note is registered on the Security Register as the owner of such Note for the purpose of receiving payment of principal, premium, if any, and (subject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interest, and for all other purposes whatsoever, whether or not such Note is overdue and neither the Issuer, the Trustee, nor any agent of the Issuer or the Trustee shall be affected by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None of the Issuer, the Trustee, any Authenticating Agent, any Paying Agent, the Registrar or any Co-Registrar will have any responsibility or liability for any aspect of the records relating to or payments made on account of beneficial ownership interests of a Global Note or for maintaining, supervising or reviewing any records relating to such beneficial ownership interests and each of them may act or refrain from acting without liability on any information relating to such records provided by the Depositary.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2.08.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All Notes surrendered for payment, redemption, registration of transfer or exchange shall, if surrendered to any Person other than the Trustee, be delivered to the Trustee and, if not already cancelled, shall be promptly cancelled by it. The Issuer may at any time deliver to the Trustee for cancellation any Notes previously authenticated and delivered hereunder which the Issuer may have acquired in any manner whatsoever, and all Notes so delivered shall be promptly cancelled by the Trustee. Acquisition of such Notes by the Issuer shall not operate as a redemption or satisfaction of the indebtedness represented by such Notes unless and until the same are delivered to the Trustee for cancellation. No Note shall be authenticated in lieu of or in exchange for any Notes cancelled as provided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except as expressly permitted by this Indenture. The Trustee shall dispose of all cancelled Notes in accordance with its customary procedures and, upon written request, deliver a certificate of such disposition to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2.09.                    </w:t>
      </w:r>
      <w:r>
        <w:rPr>
          <w:rFonts w:ascii="Times New Roman;Times;Serif" w:hAnsi="Times New Roman;Times;Serif"/>
          <w:b w:val="false"/>
          <w:i w:val="false"/>
          <w:caps w:val="false"/>
          <w:smallCaps w:val="false"/>
          <w:sz w:val="20"/>
          <w:u w:val="single"/>
        </w:rPr>
        <w:t>Computation of Interest</w:t>
      </w:r>
      <w:r>
        <w:rPr>
          <w:rFonts w:ascii="Times New Roman;Times;Serif" w:hAnsi="Times New Roman;Times;Serif"/>
          <w:b w:val="false"/>
          <w:i w:val="false"/>
          <w:caps w:val="false"/>
          <w:smallCaps w:val="false"/>
          <w:sz w:val="20"/>
        </w:rPr>
        <w:t>. Interest on the Notes shall be calculated on the basis of a 360-day year of twelve 30-day months, unless otherwise specified in the Officer’s Certificate or supplemental indenture relating to a particular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2.10.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The Issuer in issuing the Notes may use “CUSIP” and “ISIN” numbers (if then generally in use), and, if so, the Trustee shall use the CUSIP or ISIN numbers, as the case may be, in notices of redemption as a convenience to Holders; provided that any such notice may state that no representation is made as to the correctness or accuracy of the CUSIP or ISIN number, as the case may be, either as printed on the Notes or as contained in any notice of a redemption and that reliance may be placed only on the other identification numbers printed on the Notes. The Issuer will promptly notify the Trustee in writing of any change in the CUSIP or ISIN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DISCHARGE OF INDENTURE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3.01.                    </w:t>
      </w:r>
      <w:r>
        <w:rPr>
          <w:rFonts w:ascii="Times New Roman;Times;Serif" w:hAnsi="Times New Roman;Times;Serif"/>
          <w:b w:val="false"/>
          <w:i w:val="false"/>
          <w:caps w:val="false"/>
          <w:smallCaps w:val="false"/>
          <w:sz w:val="20"/>
          <w:u w:val="single"/>
        </w:rPr>
        <w:t>Discharge of Indenture</w:t>
      </w:r>
      <w:r>
        <w:rPr>
          <w:rFonts w:ascii="Times New Roman;Times;Serif" w:hAnsi="Times New Roman;Times;Serif"/>
          <w:b w:val="false"/>
          <w:i w:val="false"/>
          <w:caps w:val="false"/>
          <w:smallCaps w:val="false"/>
          <w:sz w:val="20"/>
        </w:rPr>
        <w:t>. This Indenture will be Discharged with respect to the Notes of one or more series and will cease to be of further effect as to all such Notes (except as to any surviving rights of transfer or exchange of such Notes expressly provided for herein), and the Trustee, on demand of and at the expense of the Issuer, shall execute such instruments reasonably requested by the Issuer acknowledging the Discharge of this Indenture with respect to the Notes of such series, when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Notes of such series theretofore authenticated and delivered (except (a) mutilated, lost, stolen or destroyed Notes which have been replaced or paid, as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(b) Notes of such series for whose payment money has theretofore been deposited in trust or segregated and held in trust by the Issuer and thereafter repaid to the Issuer or discharged from such trust, as provided in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have been delivered by the Issuer to the Trustee for cancellation or have been cancelled;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such Notes of such series not theretofore delivered to the Trustee cancelled or for cancellation: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have become due and payable (whether by the sending of a notice of redemption or otherwise),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will, in accordance with their Maturity Date, become due and payable within one year,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are to be called for redemption within one year under arrangements reasonably satisfactory to the Trustee for the giving of notice of redemption by the Trustee in the name, and at the expense, of the Issuer, and, in any of the cases described in (a) or (b) above or in this clause (c), the Issuer has irrevocably deposited or caused to be deposited with the Trustee, as trust funds in trust for the benefit of the Holders of such Notes of such series for that purpose, U.S. dollars or non-callable U.S. Government Obligations or a combination thereof in such amounts sufficient to pay and discharge the entire indebtedness on the Notes of such series not theretofore delivered to the Trustee cancelled or for cancellation, for principal of and interest and premium, if any, on the Notes of such series to the date of such deposit (in the case of Notes of such series that have become due and payable), or to the Maturity Date or the Redemption Date, as the case may be;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has paid or caused to be paid all other sums payable by it with respect to the Notes of such series under this Indenture;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for </w:t>
      </w:r>
      <w:r>
        <w:rPr>
          <w:rFonts w:ascii="Times New Roman;Times;Serif" w:hAnsi="Times New Roman;Times;Serif"/>
          <w:b w:val="false"/>
          <w:i w:val="false"/>
          <w:caps w:val="false"/>
          <w:smallCaps w:val="false"/>
          <w:sz w:val="20"/>
          <w:u w:val="single"/>
        </w:rPr>
        <w:t>Section 3.01(1)(i)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3.01(1)(ii)</w:t>
      </w:r>
      <w:r>
        <w:rPr>
          <w:rFonts w:ascii="Times New Roman;Times;Serif" w:hAnsi="Times New Roman;Times;Serif"/>
          <w:b w:val="false"/>
          <w:i w:val="false"/>
          <w:caps w:val="false"/>
          <w:smallCaps w:val="false"/>
          <w:sz w:val="20"/>
        </w:rPr>
        <w:t xml:space="preserve"> in which the Notes of a series have become due and payable at their Maturity Date, the Issuer has delivered to the Trustee an Officer’s Certificate and an Opinion of Counsel each stating that all conditions precedent to the Discharge of this Indenture with respect to the Notes of such series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Discharge of this Indenture with respect to the Notes of such series, the obligations of the Issuer under </w:t>
      </w:r>
      <w:r>
        <w:rPr>
          <w:rFonts w:ascii="Times New Roman;Times;Serif" w:hAnsi="Times New Roman;Times;Serif"/>
          <w:b w:val="false"/>
          <w:i w:val="false"/>
          <w:caps w:val="false"/>
          <w:smallCaps w:val="false"/>
          <w:sz w:val="20"/>
          <w:u w:val="single"/>
        </w:rPr>
        <w:t>Section 3.01(1)</w:t>
      </w:r>
      <w:r>
        <w:rPr>
          <w:rFonts w:ascii="Times New Roman;Times;Serif" w:hAnsi="Times New Roman;Times;Serif"/>
          <w:b w:val="false"/>
          <w:i w:val="false"/>
          <w:caps w:val="false"/>
          <w:smallCaps w:val="false"/>
          <w:sz w:val="20"/>
        </w:rPr>
        <w:t xml:space="preserve"> and the obligations of the Issuer to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and to any Authenticating Agent under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shall survive, and the obligations of the Trustee under </w:t>
      </w:r>
      <w:r>
        <w:rPr>
          <w:rFonts w:ascii="Times New Roman;Times;Serif" w:hAnsi="Times New Roman;Times;Serif"/>
          <w:b w:val="false"/>
          <w:i w:val="false"/>
          <w:caps w:val="false"/>
          <w:smallCaps w:val="false"/>
          <w:sz w:val="20"/>
          <w:u w:val="single"/>
        </w:rPr>
        <w:t>Sections 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3.05</w:t>
      </w:r>
      <w:r>
        <w:rPr>
          <w:rFonts w:ascii="Times New Roman;Times;Serif" w:hAnsi="Times New Roman;Times;Serif"/>
          <w:b w:val="false"/>
          <w:i w:val="false"/>
          <w:caps w:val="false"/>
          <w:smallCaps w:val="false"/>
          <w:sz w:val="20"/>
        </w:rPr>
        <w:t xml:space="preserve"> shall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3.02.                    </w:t>
      </w:r>
      <w:r>
        <w:rPr>
          <w:rFonts w:ascii="Times New Roman;Times;Serif" w:hAnsi="Times New Roman;Times;Serif"/>
          <w:b w:val="false"/>
          <w:i w:val="false"/>
          <w:caps w:val="false"/>
          <w:smallCaps w:val="false"/>
          <w:sz w:val="20"/>
          <w:u w:val="single"/>
        </w:rPr>
        <w:t>Defeasance and Discharge of Covenants upon Deposit of Moneys</w:t>
      </w:r>
      <w:r>
        <w:rPr>
          <w:rFonts w:ascii="Times New Roman;Times;Serif" w:hAnsi="Times New Roman;Times;Serif"/>
          <w:b w:val="false"/>
          <w:i w:val="false"/>
          <w:caps w:val="false"/>
          <w:smallCaps w:val="false"/>
          <w:sz w:val="20"/>
        </w:rPr>
        <w:t>. At the Issuer’s option, either (a) the Issuer shall be deemed to have been Discharged (as defined below) from its obligations with respect to the Notes of any series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and/or (b) the Issuer shall cease to be under any obligation to comply with any term, provision or condition set forth in </w:t>
      </w:r>
      <w:r>
        <w:rPr>
          <w:rFonts w:ascii="Times New Roman;Times;Serif" w:hAnsi="Times New Roman;Times;Serif"/>
          <w:b w:val="false"/>
          <w:i w:val="false"/>
          <w:caps w:val="false"/>
          <w:smallCaps w:val="false"/>
          <w:sz w:val="20"/>
          <w:u w:val="single"/>
        </w:rPr>
        <w:t>Sections 4.01(3)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4.01(6)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9.06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9.07</w:t>
      </w:r>
      <w:r>
        <w:rPr>
          <w:rFonts w:ascii="Times New Roman;Times;Serif" w:hAnsi="Times New Roman;Times;Serif"/>
          <w:b w:val="false"/>
          <w:i w:val="false"/>
          <w:caps w:val="false"/>
          <w:smallCaps w:val="false"/>
          <w:sz w:val="20"/>
        </w:rPr>
        <w:t xml:space="preserve"> (and any other Sections, covenants or Events of Default applicable to such Notes that are determined pursuant to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to be subject to this provision) with respect to the Notes of such series at any time after the applicable conditions set forth below have been satisfied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shall have deposited or caused to be deposited irrevocably with the Trustee, as trust funds, in trust, specifically pledged as security for, and dedicated solely to, the benefit of the Holders of the Notes of such series, an amount of money, in cash in U.S. dollars sufficient, or in non-callable U.S. Government Obligations, the principal of and interest on which, when due, will be sufficient, or a combination thereof, sufficient, in the opinion of, or based on a written report or certificate of, a nationally recognized firm of independent public accountants, investment bank or appraisal firm, to pay and discharge the entire indebtedness on the Notes of such series with respect to principal, premium, if any, and accrued and unpaid interest to the date of such deposit (in the case of Notes of any series that have become due and payable), or to the Maturity Date or Redemption Date,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Event of Default, or event which with notice or lapse of time would become an Event of Default, with respect to the Notes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Issuer shall have delivered to the Trustee an Officer’s Certificate and an Opinion of Counsel each stating that all conditions precedent to the Legal Defeasance or Covenant Defeasance, as applicable, contemplated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have been complied 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 Opinion of Counsel relating to a Legal Defeasance, stating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has received from the Internal Revenue Service a ruling,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the date hereof there has been a change in the applicable Federal income tax law, to the effect, in either case, that and based thereon such Opinion of Counsel shall confirm that the holders of the Notes will not recognize income, gain or loss for Federal income tax purposes as a result of such defeasance and will be subject to Federal income tax on the same amounts, in the same manner and at the same time as would have been the case if such defeasance has not occurred, which Opinion of Counsel (in the case of a Legal Defeasance) must be based upon a ruling of the Internal Revenue Service to the same effect or a change in applicable Federal income tax law or related treasury regulations after the date of this Indenture;</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 Opinion of Counsel relating to a Covenant Defeasance, stating that the deposit and defeasance contemplated by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will not cause the Holders of the Notes of such series to recognize income, gain or loss for Federal income tax purposes as a result of the Issuer’s exercise of its option under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such Holders will be subject to Federal income tax on the same amount and in the same manner and at the same times as would have been the case if such option had not been exercised.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in connection with the exercise by the Issuer of any option under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any series of Notes is to be redeemed, either notice of such redemption shall have been duly given pursuant to any redemption provision adopted under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of this Indenture or provision therefor satisfactory to the Trustee shall have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Issuer exercises its option under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xml:space="preserve">, payment of the Notes may not be accelerated because of an Event of Default with respect thereto. If the Issuer exercises its option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payment of the Notes may not be accelerated because of an Event of Default specified in any of </w:t>
      </w:r>
      <w:r>
        <w:rPr>
          <w:rFonts w:ascii="Times New Roman;Times;Serif" w:hAnsi="Times New Roman;Times;Serif"/>
          <w:b w:val="false"/>
          <w:i w:val="false"/>
          <w:caps w:val="false"/>
          <w:smallCaps w:val="false"/>
          <w:sz w:val="20"/>
          <w:u w:val="single"/>
        </w:rPr>
        <w:t>Section 4.01(3)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(6)</w:t>
      </w:r>
      <w:r>
        <w:rPr>
          <w:rFonts w:ascii="Times New Roman;Times;Serif" w:hAnsi="Times New Roman;Times;Serif"/>
          <w:b w:val="false"/>
          <w:i w:val="false"/>
          <w:caps w:val="false"/>
          <w:smallCaps w:val="false"/>
          <w:sz w:val="20"/>
        </w:rPr>
        <w:t xml:space="preserve"> or with respect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exercise by the Issuer of its option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the obligation of any successor entity to assume the obligations to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shall not be discharged.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Discharged</w:t>
      </w:r>
      <w:r>
        <w:rPr>
          <w:rFonts w:ascii="Times New Roman;Times;Serif" w:hAnsi="Times New Roman;Times;Serif"/>
          <w:b w:val="false"/>
          <w:i w:val="false"/>
          <w:caps w:val="false"/>
          <w:smallCaps w:val="false"/>
          <w:sz w:val="20"/>
        </w:rPr>
        <w:t xml:space="preserve">” means, as to any series of Notes, that the Issuer shall be deemed to have paid and discharged the entire indebtedness represented by, and obligations under, the Notes of such series and to have satisfied all the obligations under this Indenture relating to such series of Notes (and the Trustee, at the expense of the Issuer, shall execute such instruments reasonably requested by the Issuer acknowledging the same), except (A) the rights of Holders of Notes of such series to receive, from the trust fund described in </w:t>
      </w:r>
      <w:r>
        <w:rPr>
          <w:rFonts w:ascii="Times New Roman;Times;Serif" w:hAnsi="Times New Roman;Times;Serif"/>
          <w:b w:val="false"/>
          <w:i w:val="false"/>
          <w:caps w:val="false"/>
          <w:smallCaps w:val="false"/>
          <w:sz w:val="20"/>
          <w:u w:val="single"/>
        </w:rPr>
        <w:t>Section 3.01(1)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shd w:fill="D3D3D3" w:val="clear"/>
        </w:rPr>
        <w:t>3.02</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as applicable, above, payment of the principal of, premium, if any, and the interest, if any, on such series of Notes when such payments are due; (B) in the case of a Discharge pursuant to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the Issuer’s obligations with respect to such Notes under </w:t>
      </w:r>
      <w:r>
        <w:rPr>
          <w:rFonts w:ascii="Times New Roman;Times;Serif" w:hAnsi="Times New Roman;Times;Serif"/>
          <w:b w:val="false"/>
          <w:i w:val="false"/>
          <w:caps w:val="false"/>
          <w:smallCaps w:val="false"/>
          <w:sz w:val="20"/>
          <w:u w:val="single"/>
        </w:rPr>
        <w:t>Sections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3.02(1)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9.02</w:t>
      </w:r>
      <w:r>
        <w:rPr>
          <w:rFonts w:ascii="Times New Roman;Times;Serif" w:hAnsi="Times New Roman;Times;Serif"/>
          <w:b w:val="false"/>
          <w:i w:val="false"/>
          <w:caps w:val="false"/>
          <w:smallCaps w:val="false"/>
          <w:sz w:val="20"/>
        </w:rPr>
        <w:t xml:space="preserve"> and its obligations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xml:space="preserve">; (C) the rights, powers, trusts, duties and immunities of the Trustee hereunder; and (D) as otherwise set forth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3.03.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xml:space="preserve">. All money and U.S. Government Obligations deposited with the Trustee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 xml:space="preserve"> and all proceeds of such U.S. Government Obligations and the interest thereon shall be held in trust and applied by it, in accordance with the provisions of this Indenture, to the payment, either directly or through any Paying Agent (including the Issuer acting as its own Paying Agent), as the Trustee may determine, to the Persons entitled thereto, of the principal, premium, if any, and interest, for whose payment such money and U.S. Government Obligations have been deposited with the Trustee; but such money and U.S. Government Obligations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3.04.                    </w:t>
      </w:r>
      <w:r>
        <w:rPr>
          <w:rFonts w:ascii="Times New Roman;Times;Serif" w:hAnsi="Times New Roman;Times;Serif"/>
          <w:b w:val="false"/>
          <w:i w:val="false"/>
          <w:caps w:val="false"/>
          <w:smallCaps w:val="false"/>
          <w:sz w:val="20"/>
          <w:u w:val="single"/>
        </w:rPr>
        <w:t>Paying Agent to Repay Moneys Held</w:t>
      </w:r>
      <w:r>
        <w:rPr>
          <w:rFonts w:ascii="Times New Roman;Times;Serif" w:hAnsi="Times New Roman;Times;Serif"/>
          <w:b w:val="false"/>
          <w:i w:val="false"/>
          <w:caps w:val="false"/>
          <w:smallCaps w:val="false"/>
          <w:sz w:val="20"/>
        </w:rPr>
        <w:t>. Upon the Discharge of this Indenture or a Defeasance, in each case, with respect to the Notes of a series, all moneys then held by any Paying Agent under the provisions of this Indenture with respect to such Notes (other than the Trustee) shall, upon demand of the Issuer, be repaid to it or paid to the Trustee, and thereupon such Paying Agent shall be released from all further liability with respect to such moneys.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3.05.                    </w:t>
      </w:r>
      <w:r>
        <w:rPr>
          <w:rFonts w:ascii="Times New Roman;Times;Serif" w:hAnsi="Times New Roman;Times;Serif"/>
          <w:b w:val="false"/>
          <w:i w:val="false"/>
          <w:caps w:val="false"/>
          <w:smallCaps w:val="false"/>
          <w:sz w:val="20"/>
          <w:u w:val="single"/>
        </w:rPr>
        <w:t>Return of Unclaimed Amounts</w:t>
      </w:r>
      <w:r>
        <w:rPr>
          <w:rFonts w:ascii="Times New Roman;Times;Serif" w:hAnsi="Times New Roman;Times;Serif"/>
          <w:b w:val="false"/>
          <w:i w:val="false"/>
          <w:caps w:val="false"/>
          <w:smallCaps w:val="false"/>
          <w:sz w:val="20"/>
        </w:rPr>
        <w:t>. Subject to applicable abandoned property law, any amounts deposited with or paid to the Trustee or any Paying Agent for payment of the principal of, premium, if any, or interest on any series of Notes or then held by the Issuer, in trust for the payment of the principal of, premium, if any, or interest on any series of Notes and not applied but remaining unclaimed by the Holders of such series of Notes for two years after the date upon which the principal of, premium, if any, or interest on such series of Notes, as the case may be, shall have become due and payable, shall be repaid to the Issuer by the Trustee on demand or (if then held by the Issuer) shall be discharged from such trust; and the Holder of any Notes of such series shall thereafter, as an unsecured general creditor, look only to the Issuer for any payment which such Holder may be entitled to collect (until such time as such unclaimed amounts shall escheat, if at all, to any applicable jurisdiction) and all liability of the Trustee or such Paying Agent with respect to such trust money, and all liability of the Issuer as trustee thereof, shall thereupon cease. Notwithstanding the foregoing, the Trustee or Paying Agent, before being required to make any such repayment, may at the expense of the Issuer cause to be published once a week for two successive weeks (in each case on any day of the week) in a newspaper printed in the English language and customarily published at least once a day at least five days in each calendar week and of general circulation in the Borough of Manhattan, in the City and State of New York, a notice that said amounts have not been so applied and that after a date named therein any unclaimed balance of said amounts then remaining will be promptly returned to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3.06.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any Paying Agent is unable to apply any money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xml:space="preserve"> by reason of any legal proceeding or by reason of any order or judgment of any court or governmental authority enjoining, restraining or otherwise prohibiting such application, then the Issuer’s obligations under this Indenture and the Holders of Notes shall be revived and reinstated as though no deposit had occurred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until such time as the Trustee or such Paying Agent is permitted to apply all such money in accordance with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“Event of Default,” wherever used herein, means with respect to Notes of any series, any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the payment of any principal of or premium, if any, on the Notes of such series when due (whether at maturity, upon optional redemption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failure to pay any interest on any Note of such series, when it becomes due and payable, and continuance of such default for a period of 30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default in the performance, or breach, of any covenant, warranty or agreement (other than as set forth in clause (1) or (2) above of this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of the Issuer under this Indenture in respect of the Notes of such series; provided that a default under this clause (3) is not an Event of Default until the Trustee or the holders of not less than 25% of the aggregate principal amount of the Notes of such series then outstanding deliver a notice to the Issuer that specifies the default, demands it to be remedied and states that such notice is a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and the Issuer does not cure such default within 60 days after receipt by the Issuer of such Notice of Default or such longer time as may be specified in such Notice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entry of an order for relief against the Issuer under the Bankruptcy Code by a court having jurisdiction in the premises or a decree or order by a court having jurisdiction in the premises adjudging the Issuer as bankrupt or insolvent under any other applicable Federal or state law, or the entry of a decree or order approving as properly filed a petition seeking reorganization, arrangement, adjustment or composition of or in respect of the Issuer under the Bankruptcy Code or any other applicable Federal or state law, or appointing a receiver, liquidator, assignee, trustee, sequestrator (or other similar official) of the Issuer or of any substantial part of their respective properties, or ordering the winding up or liquidation of their respective affairs, and the continuance of any such decree or order unstayed and in effect for a period of 90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consent by the Issuer to the institution of bankruptcy or insolvency proceedings against any of them, or the filing by the Issuer of a petition or answer or consent seeking reorganization or relief under the Bankruptcy Code or any other applicable Federal or state law, or the consent by the Issuer to the filing of any such petition or to the appointment of a receiver, liquidator, assignee, trustee, sequestrator (or other similar official) of the Issuer or of any substantial part of their respective properties, or the making by the Issuer of an assignment for the benefit of creditors, or the admission by the Issuer in writing of the Issuer’s inability to pay debts generally as they become due, or the taking of corporate action by the Issuer in furtherance of any such action;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a failure to make any payment at maturity, including any applicable grace period, on any Indebtedness of the Issuer (other than Indebtedness of the Issuer owing to any of its Subsidiaries) outstanding in an amount in excess of $400 million or its foreign currency equivalent at the time and continuance of this failure to pay or (b) a default on any indebtedness of the Issuer (other than Indebtedness owing to any of its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this Indenture will be deemed 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deliver to the Trustee, within 30 days after the occurrence thereof, written notice in the form of an Officer’s Certificate of any event that with the giving of notice or the lapse of time or both would become an Event of Default, its status and what action the Issuer is taking or proposes to take with respect thereto. Upon becoming aware of any default or Event of Default, the Issuer is required to deliver to the Trustee a statement specifying such default or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single series of Notes issued hereunder (and under or pursuant to any supplemental indenture or Board Resolution) necessarily constitutes an Event of Default with respect to any other series of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4.02.                    </w:t>
      </w:r>
      <w:r>
        <w:rPr>
          <w:rFonts w:ascii="Times New Roman;Times;Serif" w:hAnsi="Times New Roman;Times;Serif"/>
          <w:b w:val="false"/>
          <w:i w:val="false"/>
          <w:caps w:val="false"/>
          <w:smallCaps w:val="false"/>
          <w:sz w:val="20"/>
          <w:u w:val="single"/>
        </w:rPr>
        <w:t>Acceleration of Maturity; Rescission and Annulment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If any Event of Default (other than an Event of Default specified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with respect to the Notes of any series occurs and is continuing, then either the Trustee or the Holders of not less than 25% in aggregate principal amount of the Outstanding Notes of such series may declare the principal of all Outstanding Notes of such series, and the interest to the date of acceleration, if any, accrued thereon, to be immediately due and payable by notice in writing to the Issuer (and to the Trustee if given by Holders) specifying the event of default. If an Event of Default described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occurs, then the principal amount of all the Notes then outstanding and interest accrued thereon, if any, will become and be immediately due and payable without any declaration or other act on the part of the Trustee or the Holders of the Notes, to the fullest extent permitted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At any time after such a declaration of acceleration has been made with respect to the Notes of any series and before a judgment or decree for payment of the money due has been obtained by the Trustee as hereinafter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provided, the Holders of a majority in aggregate principal amount of the Outstanding Notes of such series by written notice to the Issuer and the Trustee, may rescind and annul such declaration and waive such event of default and its consequences, except with respect to a default in respect of a covenant or provision of this Indenture which cannot be modified or amended without the consent of the Holder of each Outstanding Note affected thereby,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Issuer has paid or deposited with the Trustee a sum sufficient to pay: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overdue installments of interest, if any, on such series of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of (and premium, if any, on) any such series of Notes which have become due otherwise than by such declaration of acceleration, and interest thereon at the rate prescribed therefor by the Notes of such series, to the extent that payment of such interest is lawful,</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overdue installments of interest at the rate prescribed therefor by the Notes of such series to the extent that payment of such interest is lawful,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reasonable compensation, expenses, disbursements and advances of the Trustee and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and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Events of Default, other than the non-payment of the principal, premium, if any, or interest of the Notes of such series which have become due solely by such acceleration, have been cured or waived as provided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4.03.                    </w:t>
      </w:r>
      <w:r>
        <w:rPr>
          <w:rFonts w:ascii="Times New Roman;Times;Serif" w:hAnsi="Times New Roman;Times;Serif"/>
          <w:b w:val="false"/>
          <w:i w:val="false"/>
          <w:caps w:val="false"/>
          <w:smallCaps w:val="false"/>
          <w:sz w:val="20"/>
          <w:u w:val="single"/>
        </w:rPr>
        <w:t>Collection of Indebtedness and Suits for Enforcement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covenants that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default is made in the payment of any installment of interest on any Note of any series when such interest becomes due and payable,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default is made in the payment of (or premium, if any, on) the principal of any Note of any series at the Maturity thereof,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any such default continues for any period of grace provided in relation to such default pursuant to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then, with respect to such series of Notes, the Issuer shall, upon demand of the Trustee, pay to it, for the benefit of the Holders of the Notes of such series, the whole amount then due and payable on all Notes of such series for principal (and premium, if any) and interest, together with interest (to the extent that payment of such interest shall be legally enforceable) upon the overdue principal (and premium, if any) and upon overdue installments of interest at the rate of interest prescribed therefor by the Notes of such series; and, in addition thereto, such further amount as shall be sufficient to cover the costs and expenses of collection, including the reasonable compensation, expenses, disbursements and advances of the Trustee,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Issuer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Issuer or any other obligor upon such Notes and collect the money adjudged or decreed to be payable in the manner provided by law out of the property of the Issuer or any other obligor upon such Notes, wherever situated.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an Event of Default occurs and is continuing with respect to any series of Notes, the Trustee may in its discretion proceed to protect and enforce its rights and the rights of the Holders of such series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4.04.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case of the pendency of any receivership, insolvency, liquidation, bankruptcy, reorganization, arrangement, adjustment, composition, or other judicial proceeding relative to the Issuer or any obligor upon the Notes or the property of the Issuer or of such other obligor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or interest) shall be entitled and empowered, by intervention in such proceedings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file and prove a claim for the whole amount of principal, premium, if any, and interest owing and unpaid in respect of the Notes,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and of the Holders allowed in such judicial proceedings,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collect and receive any moneys or other property payable or deliverable on any such claims and to distribute the same; and any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 and counsel, and any other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4.05.                    </w:t>
      </w:r>
      <w:r>
        <w:rPr>
          <w:rFonts w:ascii="Times New Roman;Times;Serif" w:hAnsi="Times New Roman;Times;Serif"/>
          <w:b w:val="false"/>
          <w:i w:val="false"/>
          <w:caps w:val="false"/>
          <w:smallCaps w:val="false"/>
          <w:sz w:val="20"/>
          <w:u w:val="single"/>
        </w:rPr>
        <w:t>Trustee May Enforce Claims Without Possession of Notes</w:t>
      </w:r>
      <w:r>
        <w:rPr>
          <w:rFonts w:ascii="Times New Roman;Times;Serif" w:hAnsi="Times New Roman;Times;Serif"/>
          <w:b w:val="false"/>
          <w:i w:val="false"/>
          <w:caps w:val="false"/>
          <w:smallCaps w:val="false"/>
          <w:sz w:val="20"/>
        </w:rPr>
        <w:t>. All rights of action and claims under this Indenture or the Notes of any series may be prosecuted and enforced by the Trustee without the possession of any of the Notes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and its agents and counsel, be for the ratable benefit of the Holders of the Notes of such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4.06.                    </w:t>
      </w:r>
      <w:r>
        <w:rPr>
          <w:rFonts w:ascii="Times New Roman;Times;Serif" w:hAnsi="Times New Roman;Times;Serif"/>
          <w:b w:val="false"/>
          <w:i w:val="false"/>
          <w:caps w:val="false"/>
          <w:smallCaps w:val="false"/>
          <w:sz w:val="20"/>
          <w:u w:val="single"/>
        </w:rPr>
        <w:t>Application of Money Collected</w:t>
      </w:r>
      <w:r>
        <w:rPr>
          <w:rFonts w:ascii="Times New Roman;Times;Serif" w:hAnsi="Times New Roman;Times;Serif"/>
          <w:b w:val="false"/>
          <w:i w:val="false"/>
          <w:caps w:val="false"/>
          <w:smallCaps w:val="false"/>
          <w:sz w:val="20"/>
        </w:rPr>
        <w:t xml:space="preserve">. Any money or property collected by the Trustee from the Issuer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be applied in the following order, at the date or dates fixed by the Trustee and, in case of the distribution of such money on account of principal, premium, if any, or interest, if any, upon presentation of the Notes of any series and the notation thereon of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To the payment of all amounts due the Trustee under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such series of Notes for principal, premium, if any, and interest, in respect of which or for the benefit of which such money has been collected, ratably, without preference or priority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4.07.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 No Holder of any Note of any series may institute any action under this Indenture, unless and until: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has given the Trustee written notice of a continuing Event of Default with respect to the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at least 25% in aggregate principal amount of the Outstanding Notes of such series have made a written request to the Trustee to institute proceedings in respect of such Event of Default in its own name as Trustee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has or have offered the Trustee, and if requested, provided indemnity or security reasonably satisfactory to the Trustee against the costs, expenses and liabilities to be incurred in compliance with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has failed to institute any such proceeding for 60 days after its receipt of such notice, request and offer of indemnity;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inconsistent direction has been given to the Trustee during such 60-day period by the Holders of a majority in aggregate principal amount of the Outstanding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Holders of Notes of any series shall have any right in any manner whatever by virtue of, or by availing of, any provision of this Indenture to affect, disturb or prejudice the rights of any other Holders of Notes of such series, or to obtain or to seek to obtain priority or preference over any other such Holders or to enforce any right under this Indenture, except in the manner herein provided and for the equal and proportionate benefit of all the Holders of all Notes of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4.08.                    </w:t>
      </w:r>
      <w:r>
        <w:rPr>
          <w:rFonts w:ascii="Times New Roman;Times;Serif" w:hAnsi="Times New Roman;Times;Serif"/>
          <w:b w:val="false"/>
          <w:i w:val="false"/>
          <w:caps w:val="false"/>
          <w:smallCaps w:val="false"/>
          <w:sz w:val="20"/>
          <w:u w:val="single"/>
        </w:rPr>
        <w:t>Unconditional Right of Holders to Receive Payment of Principal, Premium (if any) and Interest</w:t>
      </w:r>
      <w:r>
        <w:rPr>
          <w:rFonts w:ascii="Times New Roman;Times;Serif" w:hAnsi="Times New Roman;Times;Serif"/>
          <w:b w:val="false"/>
          <w:i w:val="false"/>
          <w:caps w:val="false"/>
          <w:smallCaps w:val="false"/>
          <w:sz w:val="20"/>
        </w:rPr>
        <w:t>. Notwithstanding any other provision in this Indenture, the Holder of any Note shall have the right, which is absolute and unconditional, to receive payment of the principal, premium, if any, and (subject to Section 2.06) interest on such Note on or after the Maturity Date (or, in the case of redemption, on or after the Redemption Date) and to institute suit for the enforcement of any such payment on or after such respective date, and such right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4.09.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then and in every such case the Issuer,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4.10.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val="false"/>
          <w:i w:val="false"/>
          <w:caps w:val="false"/>
          <w:smallCaps w:val="false"/>
          <w:sz w:val="20"/>
          <w:u w:val="single"/>
        </w:rPr>
        <w:t>Section 2.05(5)</w:t>
      </w:r>
      <w:r>
        <w:rPr>
          <w:rFonts w:ascii="Times New Roman;Times;Serif" w:hAnsi="Times New Roman;Times;Serif"/>
          <w:b w:val="false"/>
          <w:i w:val="false"/>
          <w:caps w:val="false"/>
          <w:smallCaps w:val="false"/>
          <w:sz w:val="20"/>
        </w:rPr>
        <w:t>, no right or remedy herein conferred upon or reserved to the Trustee or to the Holders is intended to be exclusive of any other right or remedy, and every right or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4.11.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4.12.                    </w:t>
      </w:r>
      <w:r>
        <w:rPr>
          <w:rFonts w:ascii="Times New Roman;Times;Serif" w:hAnsi="Times New Roman;Times;Serif"/>
          <w:b w:val="false"/>
          <w:i w:val="false"/>
          <w:caps w:val="false"/>
          <w:smallCaps w:val="false"/>
          <w:sz w:val="20"/>
          <w:u w:val="single"/>
        </w:rPr>
        <w:t>Control by Holders</w:t>
      </w:r>
      <w:r>
        <w:rPr>
          <w:rFonts w:ascii="Times New Roman;Times;Serif" w:hAnsi="Times New Roman;Times;Serif"/>
          <w:b w:val="false"/>
          <w:i w:val="false"/>
          <w:caps w:val="false"/>
          <w:smallCaps w:val="false"/>
          <w:sz w:val="20"/>
        </w:rPr>
        <w:t>. The Holders of not less than a majority in aggregate principal amount of the Outstanding Notes of any series shall have the right to direct the time, method, and place of conducting any proceeding for any remedy available to the Trustee or of exercising any trust or power conferred on the Trustee with respect to the Notes of such series provided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is offered, and, if requested, provided indemnity or security satisfactory to the Trustee against any loss, liability or expense;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take any other action deemed proper by the Trustee which is not inconsistent with such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taking any such action hereunder, the Trustee shall be entitled to indemnity or security satisfactory to the Trustee against all fees, losses, liabilities and expenses (including attorneys’ fees and expenses) incurred or to be incurred by taking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4.13.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Holders of not less than a majority in aggregate principal amount of the Outstanding Notes of any series may, on behalf of the Holders of all Notes of such series, waive any past default hereunder with respect to the Notes of such series, except a default not theretofore 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payment of principal, premium, if any, or interest on any Notes of such series,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 respect of a covenant or provision in this Indenture which,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cannot be modified without the consent of the Holder of each Outstanding Note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4.14.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xml:space="preserve"> shall not apply to any suit instituted by the Trustee, to any suit instituted by any Holder or group of Holders holding in the aggregate more than 10% in principal amount of the Outstanding Notes of any series to which the suit relates, or to any suit instituted by any Holder pursuant to </w:t>
      </w:r>
      <w:r>
        <w:rPr>
          <w:rFonts w:ascii="Times New Roman;Times;Serif" w:hAnsi="Times New Roman;Times;Serif"/>
          <w:b w:val="false"/>
          <w:i w:val="false"/>
          <w:caps w:val="false"/>
          <w:smallCaps w:val="false"/>
          <w:sz w:val="20"/>
          <w:u w:val="single"/>
        </w:rPr>
        <w:t>Section 4.08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4.15.                    </w:t>
      </w:r>
      <w:r>
        <w:rPr>
          <w:rFonts w:ascii="Times New Roman;Times;Serif" w:hAnsi="Times New Roman;Times;Serif"/>
          <w:b w:val="false"/>
          <w:i w:val="false"/>
          <w:caps w:val="false"/>
          <w:smallCaps w:val="false"/>
          <w:sz w:val="20"/>
          <w:u w:val="single"/>
        </w:rPr>
        <w:t>Waiver of Stay or Extension Laws</w:t>
      </w:r>
      <w:r>
        <w:rPr>
          <w:rFonts w:ascii="Times New Roman;Times;Serif" w:hAnsi="Times New Roman;Times;Serif"/>
          <w:b w:val="false"/>
          <w:i w:val="false"/>
          <w:caps w:val="false"/>
          <w:smallCaps w:val="false"/>
          <w:sz w:val="20"/>
        </w:rPr>
        <w:t>. The Issuer covenants (to the extent that it may lawfully do so) that it will not at any time insist upon, or plead, or in any manner whatsoever claim or take the benefit or advantage of, any stay or extension law (other than any bankruptcy law) wherever enacted, now or at any time hereafter in force, which may affect the covenants or the performance of this Indenture; and the Issuer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THE 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5.01.                    </w:t>
      </w:r>
      <w:r>
        <w:rPr>
          <w:rFonts w:ascii="Times New Roman;Times;Serif" w:hAnsi="Times New Roman;Times;Serif"/>
          <w:b w:val="false"/>
          <w:i w:val="false"/>
          <w:caps w:val="false"/>
          <w:smallCaps w:val="false"/>
          <w:sz w:val="20"/>
          <w:u w:val="single"/>
        </w:rPr>
        <w:t>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during the continuance of an Event of Default with respect to a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undertakes to perform such duties and only such duties with respect to such series of Notes as are specifically set forth in this Indenture, and no implied covenants or obligations with respect to such series of Notes shall be read into this Indenture against the Trustee;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negligence and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an Event of Default with respect to a series of Notes has occurred and is continuing, the Trustee shall exercise such of the rights and powers vested in it by this Indenture with respect to such series of Notes and any indenture supplemental hereto relating to such series of Notes, and use the same degree of care and skill in their exercise, as a prudent person would exercise or use under the circumstances in the conduct of his or her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this Subsection shall not be construed to limit the effect of </w:t>
      </w:r>
      <w:r>
        <w:rPr>
          <w:rFonts w:ascii="Times New Roman;Times;Serif" w:hAnsi="Times New Roman;Times;Serif"/>
          <w:b w:val="false"/>
          <w:i w:val="false"/>
          <w:caps w:val="false"/>
          <w:smallCaps w:val="false"/>
          <w:sz w:val="20"/>
          <w:u w:val="single"/>
        </w:rPr>
        <w:t>Section 5.01(1)</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unless it shall be proved that the Trustee was negligent in ascertaining the pertinent facts;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taken or omitted to be taken by it in good faith in accordance with the direction of the Holders of not less than a majority in aggregate principal amount of the Outstanding Notes of any series relating to the time, method, and place of conducting any proceeding for any remedy available to the Trustee with respect to such series of Notes, or exercising any trust or power conferred upon the Trustee, under this Indenture with respect to such series of Notes;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provision of this Indenture shall require the Trustee to expend or risk its own funds or otherwise incur any financial loss, expense or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Whether or not therein expressly so provided, every provision of this Indenture relating to the conduct or affecting the liability of or affording protection to the Trustee shall be subject to the provisions of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5.02.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Within 90 days after the occurrence of any default hereunder with respect to any series of Notes for which a Responsible Officer has actual knowledge, the Trustee shall transmit by mail to all Holders of Notes of such series, as their names and addresses appear in the Security Register (or give electronically or pursuant to the procedures of the Depositary), notice of such default hereunder known to the Trustee, unless such default shall have been cured or waived; provided however, that, except in the case of a default in the payment of the principal of or interest or premium, if any, on any Note of such series, the Trustee shall be protected in withholding such notice if and so long as the Trustee determines in good faith that the withholding of such notice is in the interests of the Holders of the Outstanding Notes of such series, and provided further that, in the case of any default of the type specified in clause (3)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no such notice to Holders of Notes of such series shall be given until at least 60 days after the occurrence thereof. For the purpose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the term “default” means any event which is, or after notice or lapse of time or both would become,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5.03.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may rely and shall be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request or direction of the Issuer described herein shall be sufficiently evidenced by a Company Request or Company Order and any resolution of the Board of Directors may be sufficiently evidenced by a Board Resolution;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whenever in the administration of this Indenture the Trustee shall deem it desirable that a matter be proved or established prior to taking, suffering or omitting any action hereunder, the Trustee (unless other evidence be herein specifically prescribed) may, in the absence of negligence and willful misconduct on its part, rely upon an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may consult with counsel of its selection and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losses, costs, expenses and liabilities which might be incurred by it in compliance with such request or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permissive rights of the Trustee enumerated herein shall not be construed as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Trustee shall not be responsible or liable for special, indirect or consequential loss or damage of any kind whatsoever (including, but not limited to, loss or profit irrespective of whether the Trustee has been advised of the likelihood of such loss or damage and regardless of the form of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Trustee shall not be required to give any note, bond, or surety in respect of the execution of the trusts and powers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Trustee shall not be responsible or liable for any failure or delay in the performance of its obligations under this Indenture arising out of or caused, directly or indirectly, by circumstances beyond its control, including, without limitation, strikes, work stoppages, accidents, or acts of God; earthquakes; fire; flood; terrorism; wars and other military disturbances, sabotage; epidemics; pandemics; riots; interruptions; loss or malfunction of utilities; computer (hardware or software) or communication services; accidents; labor disputes; acts of civil or military authorities and governmental action;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5.04.                    </w:t>
      </w:r>
      <w:r>
        <w:rPr>
          <w:rFonts w:ascii="Times New Roman;Times;Serif" w:hAnsi="Times New Roman;Times;Serif"/>
          <w:b w:val="false"/>
          <w:i w:val="false"/>
          <w:caps w:val="false"/>
          <w:smallCaps w:val="false"/>
          <w:sz w:val="20"/>
          <w:u w:val="single"/>
        </w:rPr>
        <w:t>Not Responsible for Recitals or Issuance of Notes</w:t>
      </w:r>
      <w:r>
        <w:rPr>
          <w:rFonts w:ascii="Times New Roman;Times;Serif" w:hAnsi="Times New Roman;Times;Serif"/>
          <w:b w:val="false"/>
          <w:i w:val="false"/>
          <w:caps w:val="false"/>
          <w:smallCaps w:val="false"/>
          <w:sz w:val="20"/>
        </w:rPr>
        <w:t xml:space="preserve">. The recitals contained herein and in the Notes, except the certificates of authentication, shall be taken as the statements of the Issuer, and the Trustee assumes no responsibility for their correctness. The Trustee makes no representations as to the validity or sufficiency of this Indenture or of the Notes. The Trustee shall not be accountable for the use or application by the Issuer of the Notes or the proceeds thereof. The Trustee shall not be charged with notice or knowledge of any Event of Default under clause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or of the identity of a Significant Subsidiary of the Issuer unless either (i) a Responsible Officer of the Trustee assigned to and working in its Corporate Trust Office shall have actual knowledge thereof or (ii) notice thereof shall have been given to the Trustee in accordance with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from the Issuer or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5.05.                    </w:t>
      </w:r>
      <w:r>
        <w:rPr>
          <w:rFonts w:ascii="Times New Roman;Times;Serif" w:hAnsi="Times New Roman;Times;Serif"/>
          <w:b w:val="false"/>
          <w:i w:val="false"/>
          <w:caps w:val="false"/>
          <w:smallCaps w:val="false"/>
          <w:sz w:val="20"/>
          <w:u w:val="single"/>
        </w:rPr>
        <w:t>May Hold Notes</w:t>
      </w:r>
      <w:r>
        <w:rPr>
          <w:rFonts w:ascii="Times New Roman;Times;Serif" w:hAnsi="Times New Roman;Times;Serif"/>
          <w:b w:val="false"/>
          <w:i w:val="false"/>
          <w:caps w:val="false"/>
          <w:smallCaps w:val="false"/>
          <w:sz w:val="20"/>
        </w:rPr>
        <w:t xml:space="preserve">. The Trustee or any Paying Agent, Registrar, or other agent of the Issuer, in its individual or any other capacity, may become the owner or pledgee of Notes and, subject to </w:t>
      </w:r>
      <w:r>
        <w:rPr>
          <w:rFonts w:ascii="Times New Roman;Times;Serif" w:hAnsi="Times New Roman;Times;Serif"/>
          <w:b w:val="false"/>
          <w:i w:val="false"/>
          <w:caps w:val="false"/>
          <w:smallCaps w:val="false"/>
          <w:sz w:val="20"/>
          <w:u w:val="single"/>
        </w:rPr>
        <w:t>Sections 5.08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5.12</w:t>
      </w:r>
      <w:r>
        <w:rPr>
          <w:rFonts w:ascii="Times New Roman;Times;Serif" w:hAnsi="Times New Roman;Times;Serif"/>
          <w:b w:val="false"/>
          <w:i w:val="false"/>
          <w:caps w:val="false"/>
          <w:smallCaps w:val="false"/>
          <w:sz w:val="20"/>
        </w:rPr>
        <w:t>, may otherwise deal with the Issuer with the same rights it would have if it were not Trustee, Paying Agent, Registrar, or such other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5.06.                    </w:t>
      </w:r>
      <w:r>
        <w:rPr>
          <w:rFonts w:ascii="Times New Roman;Times;Serif" w:hAnsi="Times New Roman;Times;Serif"/>
          <w:b w:val="false"/>
          <w:i w:val="false"/>
          <w:caps w:val="false"/>
          <w:smallCaps w:val="false"/>
          <w:sz w:val="20"/>
          <w:u w:val="single"/>
        </w:rPr>
        <w:t>Money Held in Trust</w:t>
      </w:r>
      <w:r>
        <w:rPr>
          <w:rFonts w:ascii="Times New Roman;Times;Serif" w:hAnsi="Times New Roman;Times;Serif"/>
          <w:b w:val="false"/>
          <w:i w:val="false"/>
          <w:caps w:val="false"/>
          <w:smallCaps w:val="false"/>
          <w:sz w:val="20"/>
        </w:rPr>
        <w:t>. Money held by the Trustee in trust hereunder need not be segregated from other funds except to the extent required by law. Neither the Trustee nor any Paying Agent shall be under any liability for interest on any money received by it hereunder except as otherwise agreed with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5.07.                    </w:t>
      </w:r>
      <w:r>
        <w:rPr>
          <w:rFonts w:ascii="Times New Roman;Times;Serif" w:hAnsi="Times New Roman;Times;Serif"/>
          <w:b w:val="false"/>
          <w:i w:val="false"/>
          <w:caps w:val="false"/>
          <w:smallCaps w:val="false"/>
          <w:sz w:val="20"/>
          <w:u w:val="single"/>
        </w:rPr>
        <w:t>Compensation and Reimbursement</w:t>
      </w:r>
      <w:r>
        <w:rPr>
          <w:rFonts w:ascii="Times New Roman;Times;Serif" w:hAnsi="Times New Roman;Times;Serif"/>
          <w:b w:val="false"/>
          <w:i w:val="false"/>
          <w:caps w:val="false"/>
          <w:smallCaps w:val="false"/>
          <w:sz w:val="20"/>
        </w:rPr>
        <w:t>. The Issuer covenants and agrees: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the Trustee from time to time, and the Trustee shall be entitled to, compensation as may be agreed in writing for all services rendered by it hereunder (which compensation shall not be limited by any provision of law in regard to the compensation of a trustee of an express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negligence and willful misconduct, as determined by a final, non-appealable order of a court of competent jurisdiction;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the Trustee for, and to hold it harmless against, any loss, liability or expense incurred without negligence and willful misconduct on its part, arising out of or in connection with the acceptance or administration of this trust, including the reasonable costs and expenses of defending itself against any claim or liability in connection with the exercise or performance of any of its powers or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shall have a lien prior to the Notes upon all property and funds held by it hereunder for any amount owing it or any retiring Trustee pursuant to this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except with respect to funds held in trust for the benefit of the Holders of particular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any other rights available to the Trustee under applicable law, when the Trustee incurs expenses or renders services in connection with an Event of Default specified in clause (4) or (5) of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such expenses (including the reasonable charges and expenses of its counsel) and compensation for such services are intended to constitute expenses of administration under any applicable Federal or State bankruptcy, insolvency, reorganization, or other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shall survive the termination of this Indenture and the resignation or removal of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5.08.                    </w:t>
      </w:r>
      <w:r>
        <w:rPr>
          <w:rFonts w:ascii="Times New Roman;Times;Serif" w:hAnsi="Times New Roman;Times;Serif"/>
          <w:b w:val="false"/>
          <w:i w:val="false"/>
          <w:caps w:val="false"/>
          <w:smallCaps w:val="false"/>
          <w:sz w:val="20"/>
          <w:u w:val="single"/>
        </w:rPr>
        <w:t>Disqualification; Conflicting Interests</w:t>
      </w:r>
      <w:r>
        <w:rPr>
          <w:rFonts w:ascii="Times New Roman;Times;Serif" w:hAnsi="Times New Roman;Times;Serif"/>
          <w:b w:val="false"/>
          <w:i w:val="false"/>
          <w:caps w:val="false"/>
          <w:smallCaps w:val="false"/>
          <w:sz w:val="20"/>
        </w:rPr>
        <w:t>. If the Trustee has or shall acquire any conflicting interest within the meaning of the Trust Indenture Act, it shall either eliminate such interest or resign as Trustee, to the extent and in the manner provided by, and subject to the provisions of, the Trust Indenture Act and this Indenture. The Trustee is subject to and shall comply with the provisions of Section 310(b) of the TIA during the period of time required by this Indenture. Nothing in this Indenture shall prevent the Trustee from filing with the SEC the application referred to in the penultimate paragraph of Section 310(b) of the TIA.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5.09.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xml:space="preserve">. There shall at all times be a Trustee hereunder that shall be a corporation organized and doing business under the laws of the United States of America or of any State or Territory thereof or of the District of Columbia, authorized under such laws to exercise corporate trust powers, having a combined capital and surplus of at least $100,000,000, and subject to supervision or examination by Federal or State authority. If such corporation publishes reports of condition at least annually, pursuant to law or to the requirements of the aforesaid supervising or examining authority, then for the purposes of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the combined capital and surplus of such corporation shall be deemed to be its combined capital and surplus as set forth in its most recent report of condition so published. If at any time the Trustee shall cease to be eligible in accordance with the provisions of this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it shall resign immediately in the manner and with the effect hereinafter specified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5.10.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No resignation or removal of the Trustee and no appointment of a successor Trustee pursuant to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become effective until the acceptance of appointment by the successor Trustee in accordance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Trustee may resign at any time with respect to the Notes of one or more series by giving written notice thereof to the Issuer. If the instrument of acceptance by a successor Trustee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shall not have been delivered to the Trustee within 30 days after the giving of such notice of resignation, the resigning Trustee may petition any court of competent jurisdiction for the appointment of a successor Trustee with respect to the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may be removed at any time with respect to the Notes of any series by Act of the Holders of 66 2/3% in aggregate principal amount of the Outstanding Notes of such series, delivered to the Trustee and to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fail to comply with </w:t>
      </w:r>
      <w:r>
        <w:rPr>
          <w:rFonts w:ascii="Times New Roman;Times;Serif" w:hAnsi="Times New Roman;Times;Serif"/>
          <w:b w:val="false"/>
          <w:i w:val="false"/>
          <w:caps w:val="false"/>
          <w:smallCaps w:val="false"/>
          <w:sz w:val="20"/>
          <w:u w:val="single"/>
        </w:rPr>
        <w:t>Section 5.08</w:t>
      </w:r>
      <w:r>
        <w:rPr>
          <w:rFonts w:ascii="Times New Roman;Times;Serif" w:hAnsi="Times New Roman;Times;Serif"/>
          <w:b w:val="false"/>
          <w:i w:val="false"/>
          <w:caps w:val="false"/>
          <w:smallCaps w:val="false"/>
          <w:sz w:val="20"/>
        </w:rPr>
        <w:t xml:space="preserve"> after written request therefor by the Issuer or by any Holder who has been a bona fide Holder of a Note for at least six months,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cease to be eligible under </w:t>
      </w:r>
      <w:r>
        <w:rPr>
          <w:rFonts w:ascii="Times New Roman;Times;Serif" w:hAnsi="Times New Roman;Times;Serif"/>
          <w:b w:val="false"/>
          <w:i w:val="false"/>
          <w:caps w:val="false"/>
          <w:smallCaps w:val="false"/>
          <w:sz w:val="20"/>
          <w:u w:val="single"/>
        </w:rPr>
        <w:t>Section 5.09</w:t>
      </w:r>
      <w:r>
        <w:rPr>
          <w:rFonts w:ascii="Times New Roman;Times;Serif" w:hAnsi="Times New Roman;Times;Serif"/>
          <w:b w:val="false"/>
          <w:i w:val="false"/>
          <w:caps w:val="false"/>
          <w:smallCaps w:val="false"/>
          <w:sz w:val="20"/>
        </w:rPr>
        <w:t xml:space="preserve"> and shall fail to resign after written request therefor by the Issuer or by any such Holder,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Issuer by a Board Resolution may remove the Trustee with respect to all Notes, or (B) subject to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 any Holder who has been a bona fide Holder of a Note for at least six months may, on behalf of himself and all others similarly situated, petition any court of competent jurisdiction for the removal of the Trustee with respect to all Notes and the appointment of a successor Trustee or Trustees.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If the Trustee shall resign, be removed or become incapable of acting, or if a vacancy shall occur in the office of Trustee for any cause, with respect to the Notes of one or more series, the Issuer, by a Board Resolution, shall promptly appoint a successor Trustee or Trustees with respect to the Notes of that or those series (it being understood that any such successor Trustee may be appointed with respect to the Notes of one or more or all of such series and that at any time there shall be only one Trustee with respect to the Notes of any particular series) and shall comply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If, within one year after such resignation, removal or incapability, or the occurrence of such vacancy, a successor Trustee with respect to the Notes of any series shall be appointed by Act of the Holders of 66 2/3% in aggregate principal amount of the Outstanding Notes of such series delivered to the Issuer and the retiring Trustee, the successor Trustee so appointed shall, forthwith upon its acceptance of such appointment in accordance with the applicable requirements of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xml:space="preserve">, become the successor Trustee with respect to the Notes of such series and to that extent supersede the successor Trustee appointed by the Issuer. If no successor Trustee with respect to the Notes of any series shall have been so appointed by the Issuer or the Holders and accepted appointment in the manner required by </w:t>
      </w:r>
      <w:r>
        <w:rPr>
          <w:rFonts w:ascii="Times New Roman;Times;Serif" w:hAnsi="Times New Roman;Times;Serif"/>
          <w:b w:val="false"/>
          <w:i w:val="false"/>
          <w:caps w:val="false"/>
          <w:smallCaps w:val="false"/>
          <w:sz w:val="20"/>
          <w:u w:val="single"/>
        </w:rPr>
        <w:t>Section 5.11</w:t>
      </w:r>
      <w:r>
        <w:rPr>
          <w:rFonts w:ascii="Times New Roman;Times;Serif" w:hAnsi="Times New Roman;Times;Serif"/>
          <w:b w:val="false"/>
          <w:i w:val="false"/>
          <w:caps w:val="false"/>
          <w:smallCaps w:val="false"/>
          <w:sz w:val="20"/>
        </w:rPr>
        <w:t>, any Holder who has been a bona fide Holder of a Note of such series for at least six months may, on behalf of himself and all others similarly situated, petition any court of competent jurisdiction for the appointment of a successor Trustee with respect to the Notes of such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The Issuer shall give notice of each resignation and each removal of the Trustee with respect to the Notes of any series and each appointment of a successor Trustee with respect to the Notes of any series to all Holders of Notes of such series in the manner provided in </w:t>
      </w:r>
      <w:r>
        <w:rPr>
          <w:rFonts w:ascii="Times New Roman;Times;Serif" w:hAnsi="Times New Roman;Times;Serif"/>
          <w:b w:val="false"/>
          <w:i w:val="false"/>
          <w:caps w:val="false"/>
          <w:smallCaps w:val="false"/>
          <w:sz w:val="20"/>
          <w:u w:val="single"/>
        </w:rPr>
        <w:t>Section 1.06</w:t>
      </w:r>
      <w:r>
        <w:rPr>
          <w:rFonts w:ascii="Times New Roman;Times;Serif" w:hAnsi="Times New Roman;Times;Serif"/>
          <w:b w:val="false"/>
          <w:i w:val="false"/>
          <w:caps w:val="false"/>
          <w:smallCaps w:val="false"/>
          <w:sz w:val="20"/>
        </w:rPr>
        <w:t>. Each notice shall include the name of the successor Trustee with respect to the Notes of such series and the address of its Corporate Trust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5.11.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 xml:space="preserve">. In case of the appointment hereunder of a successor Trustee with respect to all Notes,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reasonable charges and subject to its lien, if any, provided by </w:t>
      </w:r>
      <w:r>
        <w:rPr>
          <w:rFonts w:ascii="Times New Roman;Times;Serif" w:hAnsi="Times New Roman;Times;Serif"/>
          <w:b w:val="false"/>
          <w:i w:val="false"/>
          <w:caps w:val="false"/>
          <w:smallCaps w:val="false"/>
          <w:sz w:val="20"/>
          <w:u w:val="single"/>
        </w:rPr>
        <w:t>Section 5.07</w:t>
      </w:r>
      <w:r>
        <w:rPr>
          <w:rFonts w:ascii="Times New Roman;Times;Serif" w:hAnsi="Times New Roman;Times;Serif"/>
          <w:b w:val="false"/>
          <w:i w:val="false"/>
          <w:caps w:val="false"/>
          <w:smallCaps w:val="false"/>
          <w:sz w:val="20"/>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Notes of one or more (but not all) series, the Issuer, the retiring Trustee and each successor Trustee with respect to the Notes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Notes of that or those series to which the appointment of such successor Trustee relates, (2) if the retiring Trustee is not retiring with respect to all Notes, shall contain such provisions as shall be deemed necessary or desirable to confirm that all the rights, powers, trusts and duties of the retiring Trustee with respect to the Notes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Notes of that or those series to which the appointment of such successor Trustee relates; but, on request of the Issuer or any successor Trustee, such retiring Trustee shall duly assign, transfer and deliver to such successor Trustee all property and money held by such retiring Trustee hereunder with respect to the Notes of that or those series to which the appointment of such successor Trustee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successor Trustee shall accept its appointment unless at the time of such acceptance such successor Trustee shall be qualified and eligible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5.12.                    </w:t>
      </w:r>
      <w:r>
        <w:rPr>
          <w:rFonts w:ascii="Times New Roman;Times;Serif" w:hAnsi="Times New Roman;Times;Serif"/>
          <w:b w:val="false"/>
          <w:i w:val="false"/>
          <w:caps w:val="false"/>
          <w:smallCaps w:val="false"/>
          <w:sz w:val="20"/>
          <w:u w:val="single"/>
        </w:rPr>
        <w:t>Merger, Conversion, Consolidation or Succession to Business</w:t>
      </w:r>
      <w:r>
        <w:rPr>
          <w:rFonts w:ascii="Times New Roman;Times;Serif" w:hAnsi="Times New Roman;Times;Serif"/>
          <w:b w:val="false"/>
          <w:i w:val="false"/>
          <w:caps w:val="false"/>
          <w:smallCaps w:val="false"/>
          <w:sz w:val="20"/>
        </w:rPr>
        <w:t xml:space="preserve">. Any entity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entity shall be otherwise qualified and eligible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without the execution or filing of any paper or any further act on the part of any of the parties hereto. In case any Notes shall have been authenticated, but not delivered, by the Trustee then in office, any successor Trustee by merger, conversion or consolidation to such authenticating Trustee may adopt such authentication and deliver the Notes so authenticated with the same effect as if such successor Trustee had itself authenticated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5.13.                    </w:t>
      </w:r>
      <w:r>
        <w:rPr>
          <w:rFonts w:ascii="Times New Roman;Times;Serif" w:hAnsi="Times New Roman;Times;Serif"/>
          <w:b w:val="false"/>
          <w:i w:val="false"/>
          <w:caps w:val="false"/>
          <w:smallCaps w:val="false"/>
          <w:sz w:val="20"/>
          <w:u w:val="single"/>
        </w:rPr>
        <w:t>Preferential Collection of Claims Against Issuer</w:t>
      </w:r>
      <w:r>
        <w:rPr>
          <w:rFonts w:ascii="Times New Roman;Times;Serif" w:hAnsi="Times New Roman;Times;Serif"/>
          <w:b w:val="false"/>
          <w:i w:val="false"/>
          <w:caps w:val="false"/>
          <w:smallCaps w:val="false"/>
          <w:sz w:val="20"/>
        </w:rPr>
        <w:t>. If and when the Trustee shall be or shall become a creditor of the Issuer (or of any other obligor upon the Notes), the Trustee shall be subject to the provisions of the Trust Indenture Act regarding the collection of claims against the Issuer (or against any such other obligor,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5.14.                    </w:t>
      </w:r>
      <w:r>
        <w:rPr>
          <w:rFonts w:ascii="Times New Roman;Times;Serif" w:hAnsi="Times New Roman;Times;Serif"/>
          <w:b w:val="false"/>
          <w:i w:val="false"/>
          <w:caps w:val="false"/>
          <w:smallCaps w:val="false"/>
          <w:sz w:val="20"/>
          <w:u w:val="single"/>
        </w:rPr>
        <w:t>Appointment of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At any time when any of the Notes remain Outstanding the Trustee, with the approval of the Issuer, may appoint an Authenticating Agent or Agents with respect to one or more series of Notes which shall be authorized to act on behalf of the Trustee to authenticate Notes of such series issued upon exchange, registration of transfer or partial redemption thereof or pursuant to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and Notes so authenticated shall be entitled to the benefits of this Indenture and shall be valid and obligatory for all purposes as if authenticated by the Trustee hereunder.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an Authenticating Agent, having a combined capital and surplus of not less than $100,000,000 and, if other than the Issuer itself, subject to supervision or examination by Federal or State authority. If such Authenticating Agent publishes reports of condition at least annually, pursuant to law or to the requirements of said supervising or examining authority, then for the purposes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such Authenticating Agent shall resign immediately in the manner and with the effect specified in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Any entity into which an Authenticating Agent may be merged or converted or with which it may be consolidated, or any entity resulting from any merger, conversion or consolidation to which such Authenticating Agent shall be a party, or any entity succeeding to the corporate agency or corporate trust business of an Authenticating Agent, shall continue to be an Authenticating Agent, provided such entity shall be otherwise eligible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without the execution or filing of any paper or any further act on the part of the Trustee or the Authenticating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An Authenticating Agent may resign at any time by giving written notice thereof to the Trustee and, if other than the Issuer, to the Issuer. The Trustee may at any time terminate the agency of an Authenticating Agent by giving written notice thereof to such Authenticating Agent and, if other than the Issuer, to the Issuer. Upon receiving such a notice of resignation or upon such a termination, or in case at any time such Authenticating Agent shall cease to be eligible in accordance with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the Trustee, with the approval of the Issuer, may appoint a successor Authenticating Agent which shall be acceptable to the Issuer and shall mail written notice of such appointment by first-class mail, postage prepaid, to all Holders of Notes of the series with respect to which such Authenticating Agent will serve, as their names and addresses appear in the Security Register (or shall give such notice electronically or pursuant to the procedures of the Depositary).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The Issuer agrees to pay to each Authenticating Agent from time to time reasonable compensation for its services under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If an appointment is made pursuant to this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the Notes may have endorsed thereon, in addition to the Trustee’s certificate of authentication, an alternate certificate of authentication in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Notes referred to in the within-mentioned Indenture.</w:t>
      </w:r>
    </w:p>
    <w:p>
      <w:pPr>
        <w:pStyle w:val="TextBody"/>
        <w:bidi w:val="0"/>
        <w:spacing w:before="0" w:after="0"/>
        <w:ind w:left="0" w:right="0" w:hanging="0"/>
        <w:jc w:val="both"/>
        <w:rPr>
          <w:caps w:val="false"/>
          <w:smallCaps w:val="false"/>
        </w:rPr>
      </w:pPr>
      <w:r>
        <w:rPr>
          <w:caps w:val="false"/>
          <w:smallCaps w:val="false"/>
        </w:rPr>
        <w:t> </w:t>
      </w:r>
    </w:p>
    <w:tbl>
      <w:tblPr>
        <w:tblW w:w="5964" w:type="dxa"/>
        <w:jc w:val="left"/>
        <w:tblInd w:w="0" w:type="dxa"/>
        <w:tblLayout w:type="fixed"/>
        <w:tblCellMar>
          <w:top w:w="0" w:type="dxa"/>
          <w:left w:w="0" w:type="dxa"/>
          <w:bottom w:w="0" w:type="dxa"/>
          <w:right w:w="0" w:type="dxa"/>
        </w:tblCellMar>
      </w:tblPr>
      <w:tblGrid>
        <w:gridCol w:w="80"/>
        <w:gridCol w:w="791"/>
        <w:gridCol w:w="5093"/>
      </w:tblGrid>
      <w:tr>
        <w:trPr/>
        <w:tc>
          <w:tcPr>
            <w:tcW w:w="80"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80"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9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caps w:val="false"/>
                <w:smallCaps w:val="false"/>
              </w:rPr>
            </w:pPr>
            <w:r>
              <w:rPr>
                <w:caps w:val="false"/>
                <w:smallCaps w:val="false"/>
              </w:rPr>
              <w:t> </w:t>
            </w:r>
          </w:p>
        </w:tc>
        <w:tc>
          <w:tcPr>
            <w:tcW w:w="50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w:t>
            </w:r>
          </w:p>
        </w:tc>
      </w:tr>
      <w:tr>
        <w:trPr/>
        <w:tc>
          <w:tcPr>
            <w:tcW w:w="80"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left"/>
              <w:rPr>
                <w:caps w:val="false"/>
                <w:smallCaps w:val="false"/>
              </w:rPr>
            </w:pPr>
            <w:r>
              <w:rPr>
                <w:caps w:val="false"/>
                <w:smallCaps w:val="false"/>
              </w:rPr>
              <w:t> </w:t>
            </w:r>
          </w:p>
        </w:tc>
        <w:tc>
          <w:tcPr>
            <w:tcW w:w="50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HOLDERS’ LISTS AND REPORTS BY TRUSTEE AND ISSUER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6.01.                    </w:t>
      </w:r>
      <w:r>
        <w:rPr>
          <w:rFonts w:ascii="Times New Roman;Times;Serif" w:hAnsi="Times New Roman;Times;Serif"/>
          <w:b w:val="false"/>
          <w:i w:val="false"/>
          <w:caps w:val="false"/>
          <w:smallCaps w:val="false"/>
          <w:sz w:val="20"/>
          <w:u w:val="single"/>
        </w:rPr>
        <w:t>Issuer to Furnish Trustee Names and Addresses of Holders</w:t>
      </w:r>
      <w:r>
        <w:rPr>
          <w:rFonts w:ascii="Times New Roman;Times;Serif" w:hAnsi="Times New Roman;Times;Serif"/>
          <w:b w:val="false"/>
          <w:i w:val="false"/>
          <w:caps w:val="false"/>
          <w:smallCaps w:val="false"/>
          <w:sz w:val="20"/>
        </w:rPr>
        <w:t>. The Issuer will furnish or cause to be furnished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semi-annually, not more than 15 days after the Record Date for the payment of interest in respect of each series of Notes, in such form as the Trustee may reasonably require, a list of the names and addresses of the Holders of such Notes as of such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at such other times as the Trustee may request in writing, within 30 days after the receipt by the Issuer of any such request, a list of similar form and content as of a date not more than 15 days prior to the time such list is furnished, provided that, in the case of (1) and (2), if the Trustee shall be the Registrar, such list shall not be required to be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6.02.                    </w:t>
      </w:r>
      <w:r>
        <w:rPr>
          <w:rFonts w:ascii="Times New Roman;Times;Serif" w:hAnsi="Times New Roman;Times;Serif"/>
          <w:b w:val="false"/>
          <w:i w:val="false"/>
          <w:caps w:val="false"/>
          <w:smallCaps w:val="false"/>
          <w:sz w:val="20"/>
          <w:u w:val="single"/>
        </w:rPr>
        <w:t>Preservation of Information; Communications to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Trustee shall preserve, in as current a form as is reasonably practicable, the names and addresses of Holders of Notes of each series contained in the most recent list furnished to the Trustee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and the names and addresses of Holders of Notes received by the Trustee. The Trustee may destroy any list furnished to it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upon receipt of a new list so furnished.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Holders of Notes may communicate as provided in Section 312(b) of the Trust Indenture Act with other Holders of Notes with respect to their rights under this Indenture or under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Every Holder of Notes, by receiving and holding the same, agrees with the Issuer that the Issuer shall not be held accountable by reason of the disclosure of any such information as to the names and addresses of the Holders of Notes in accordance with </w:t>
      </w:r>
      <w:r>
        <w:rPr>
          <w:rFonts w:ascii="Times New Roman;Times;Serif" w:hAnsi="Times New Roman;Times;Serif"/>
          <w:b w:val="false"/>
          <w:i w:val="false"/>
          <w:caps w:val="false"/>
          <w:smallCaps w:val="false"/>
          <w:sz w:val="20"/>
          <w:u w:val="single"/>
        </w:rPr>
        <w:t>Section 6.02(2)</w:t>
      </w:r>
      <w:r>
        <w:rPr>
          <w:rFonts w:ascii="Times New Roman;Times;Serif" w:hAnsi="Times New Roman;Times;Serif"/>
          <w:b w:val="false"/>
          <w:i w:val="false"/>
          <w:caps w:val="false"/>
          <w:smallCaps w:val="false"/>
          <w:sz w:val="20"/>
        </w:rPr>
        <w:t>, regardless of the source from which such information was derived.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6.03.                    </w:t>
      </w:r>
      <w:r>
        <w:rPr>
          <w:rFonts w:ascii="Times New Roman;Times;Serif" w:hAnsi="Times New Roman;Times;Serif"/>
          <w:b w:val="false"/>
          <w:i w:val="false"/>
          <w:caps w:val="false"/>
          <w:smallCaps w:val="false"/>
          <w:sz w:val="20"/>
          <w:u w:val="single"/>
        </w:rPr>
        <w:t>Reports by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Within 60 days after May 15 of each year commencing with the first May 15 following the date of the initial issuance of Notes under this Indenture, the Trustee shall transmit by mail to the Holders of Notes as their names and addresses appear in the Security Register, a brief report dated as of such May 15, to the extent required under Section 313(a)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comply with Sections 313(b) and 313(c) of the Trust Indenture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copy of each such report shall, at the time for such transmission to Holders of Notes, be filed by the Trustee with the Issuer, with each stock exchange upon which any Notes are listed (if so listed) and also with the Commission. The Issuer agrees to promptly notify the Trustee when any Notes become listed on any stock exchange and of any delisting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6.04.                    </w:t>
      </w:r>
      <w:r>
        <w:rPr>
          <w:rFonts w:ascii="Times New Roman;Times;Serif" w:hAnsi="Times New Roman;Times;Serif"/>
          <w:b w:val="false"/>
          <w:i w:val="false"/>
          <w:caps w:val="false"/>
          <w:smallCaps w:val="false"/>
          <w:sz w:val="20"/>
          <w:u w:val="single"/>
        </w:rPr>
        <w:t>Reports by Issuer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comply with the provisions of Section 314(a) and 314(c) of the TIA. Delivery of such reports, information and documents to the Trustee pursuant to TIA Section 314(a)(1), (2) and/or (3) shall be for informational purposes only and the Trustee’s receipt of such shall not constitute constructive notice of any information contained therein or matters determinable from information contained therein, including the Issuer’s compliance with any of its covenants hereunder (as to which the Trustee is entitled to rely exclusively on Officer’s Certificates provided pursuant to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below). The Trustee is under no duty to examine such reports, information or documents to ensure compliance with the provisions of this Indenture or to ascertain the correctness or otherwise of the information or the statements contained herein, or whether any such reports, information or documents have or have not been provided as required by the TIA. The Trustee is entitled to assume such compliance with the TIA unless a Responsible Officer of the Trustee is informed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6.05.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shall deliver to the Trustee, within 90 days after the end of each fiscal year, an Officer’s Certificate stating that a review of the activities of the Issuer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such default or Event of Default of which he or she may have knowledge and what action the Issuer is taking or proposes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So long as any of the Notes are outstanding, the Issuer will deliver to the Trustee, forthwith upon any Officer becoming aware of any default or Event of Default, and what action the Issuer is taking or proposes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Except with respect to receipt of Note payments when due and any default or Event of Default information contained in the Officer’s Certificates delivered to it pursuant to this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the Trustee shall have no duty to review, ascertain or confirm the Issuer’s compliance with, or the breach of any representation, warranty or covenant made in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CONSOLIDATION, MERGER OR TRANSFER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7.01.                    </w:t>
      </w:r>
      <w:r>
        <w:rPr>
          <w:rFonts w:ascii="Times New Roman;Times;Serif" w:hAnsi="Times New Roman;Times;Serif"/>
          <w:b w:val="false"/>
          <w:i w:val="false"/>
          <w:caps w:val="false"/>
          <w:smallCaps w:val="false"/>
          <w:sz w:val="20"/>
          <w:u w:val="single"/>
        </w:rPr>
        <w:t>When Issuer May Merge or Transfer Assets</w:t>
      </w:r>
      <w:r>
        <w:rPr>
          <w:rFonts w:ascii="Times New Roman;Times;Serif" w:hAnsi="Times New Roman;Times;Serif"/>
          <w:b w:val="false"/>
          <w:i w:val="false"/>
          <w:caps w:val="false"/>
          <w:smallCaps w:val="false"/>
          <w:sz w:val="20"/>
        </w:rPr>
        <w:t>. The Issuer may not consolidate or merge with or into another entity, or sell, lease, convey, transfer or otherwise dispose of all or substantially all of the Issuer’s and its Subsidiaries’ property and assets (taken as a whole) to another entity unless: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 (a) the Issuer shall be the continuing Person or (b) the Person (if other than the Issuer) formed by such consolidation or into which the Issuer is merged or to which all or substantially all of the properties and assets of the Issuer and its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hereto, executed and delivered to the Trustee, in form satisfactory to the Trustee, all of the obligations of the Issuer under the Notes and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immediately after giving effect to such transaction, no Event of Default, and no default or other event which, after notice or lapse of time or both, would become a default or Event of Default, shall have occurred and be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if, as a result of any consolidation, merger, sale or lease, conveyance or transfer described in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properties or assets of the Issuer would become subject to any lien which would not be permitted by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without equally and ratably securing the Notes of such series, the Issuer or such successor Person, as the case may be, will take steps as are necessary to effectively secure the Notes of such series equally and ratably with, or prior to, all Indebtedness secured by those liens as and to the extent required by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shall have delivered to the Trustee an Officer’s Certificate and an Opinion of Counsel, each stating that all conditions precedent herein provided for relating to such transaction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7.02.                    </w:t>
      </w:r>
      <w:r>
        <w:rPr>
          <w:rFonts w:ascii="Times New Roman;Times;Serif" w:hAnsi="Times New Roman;Times;Serif"/>
          <w:b w:val="false"/>
          <w:i w:val="false"/>
          <w:caps w:val="false"/>
          <w:smallCaps w:val="false"/>
          <w:sz w:val="20"/>
          <w:u w:val="single"/>
        </w:rPr>
        <w:t>Successor Entity Substituted</w:t>
      </w:r>
      <w:r>
        <w:rPr>
          <w:rFonts w:ascii="Times New Roman;Times;Serif" w:hAnsi="Times New Roman;Times;Serif"/>
          <w:b w:val="false"/>
          <w:i w:val="false"/>
          <w:caps w:val="false"/>
          <w:smallCaps w:val="false"/>
          <w:sz w:val="20"/>
        </w:rPr>
        <w:t>. The successor Person formed by such consolidation or into which the Issuer is merged or any successor Person to which such sale, lease, conveyance, transfer or disposition of all or substantially all of its and its Subsidiaries’ assets (taken as a whole) is made, in each case other than a lease, shall succeed to, and be substituted for, and may exercise every right and power of the Issuer under this Indenture with the same effect as if such successor had been named as the Issuer herein; and thereafter the Issuer shall be discharged and released from all obligations and covenants under this Indenture and the Notes. The Trustee shall enter into a supplemental indenture to evidence the succession and substitution of such successor Person and such discharge and release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SUPPLEMENTAL INDENTURES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val="false"/>
          <w:caps w:val="false"/>
          <w:smallCaps w:val="false"/>
          <w:sz w:val="20"/>
        </w:rPr>
        <w:t>. Without the consent of the Holders of any Notes, the Issuer and the Trustee, at any time and from time to time, may enter into one or more indentures supplemental hereto, in form satisfactory to the Trustee, for any of the following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evidence the succession of another Person to the Issuer and the assumption by any such successor of the covenants of the Issuer under this Indenture and the Notes pursuant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add to the covenants of the Issuer for the benefit of Holders of the Notes or to surrender any right or power conferred upon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add any additional events of default for the benefit of Holders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add to or change any of the provisions of this Indenture as necessary to permit or facilitate the issuance of Notes in bearer form, registrable or not registrable as to principal, and with or without interest coupons, or to permit or facilitate the issuance of Notes in uncertificated form, or relating to the transfer and legending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secure the Notes or to add guarantees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add or appoint a successor or separate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cure any ambiguity, defect, mistake or inconsistency;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to supplement any of the provisions of this Indenture as necessary to permit or facilitate the Defeasance (whether Legal Defeasance or Covenant Defeasance) or Discharge of any series of Notes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make any other change that would not adversely affect the contractual rights of any Holders of the Notes of the applicable series;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make any change necessary to comply with any requirement of the Commission in connection with the qualification of this Indenture or any supplemental Indenture under the TIA;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conform any provision in this Indenture, or in the Board Resolution, Officer’s Certificate or supplemental indenture establishing the Notes of any series, or the terms of the Notes of any series, to the prospectus supplement, offering memorandum, offering circular or any other document pursuant to which the Notes of such series were offered;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reflect the issuance of additional Notes of any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8.02.                    </w:t>
      </w:r>
      <w:r>
        <w:rPr>
          <w:rFonts w:ascii="Times New Roman;Times;Serif" w:hAnsi="Times New Roman;Times;Serif"/>
          <w:b w:val="false"/>
          <w:i w:val="false"/>
          <w:caps w:val="false"/>
          <w:smallCaps w:val="false"/>
          <w:sz w:val="20"/>
          <w:u w:val="single"/>
        </w:rPr>
        <w:t>Supplemental Indentures with Consent of Holders</w:t>
      </w:r>
      <w:r>
        <w:rPr>
          <w:rFonts w:ascii="Times New Roman;Times;Serif" w:hAnsi="Times New Roman;Times;Serif"/>
          <w:b w:val="false"/>
          <w:i w:val="false"/>
          <w:caps w:val="false"/>
          <w:smallCaps w:val="false"/>
          <w:sz w:val="20"/>
        </w:rPr>
        <w:t>. With the consent of the Holders of not less than a majority in aggregate principal amount of the Outstanding Notes of any series affected by such supplemental indenture (including, without limitation, consents obtained in connection with a purchase of, or tender offer or exchange offer for, such securities), the Issuer and the Trustee, at any time and from time to time, may enter into one or more indentures supplemental hereto for the purpose of adding any provisions to or changing in any manner or eliminating any of the provisions of this Indenture or of any supplemental indenture or of modifying in any manner the rights of the Holders of the Notes of such series under this Indenture; provided however, that no such supplemental indenture shall, without the consent of the Holder of each Outstanding Note of such series affected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make any change to the percentage of principal amount of Notes the Holders of which must consent to an amendment, modification, supplement or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of or extend the time of payment for interest on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reduce the principal amount or extend the stated Maturity of 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reduce the Redemption Price or repurchase price of any Note, change the date on which any Note is subject to redemption or repurchase (provided that this shall not apply to changes in the notice period for any redemption or repurchase) or add redemption or repurchase provisions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make any Note payable in money other than that stated in this Indenture or the Note;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impair the right to institute suit for the enforcement of any payment on or with respect to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principal amount of the Outstanding Notes of any series may waive compliance by the Issuer with certain restrictive provisions of this Indenture with respect to the Notes of such series. The Holders of at least a majority in principal amount of the Outstanding Notes of any series may waive any past default under this Indenture, except a default not theretofore cured in the payment of principal or interest and any covenants and provisions of this Indenture which this Indenture (or the applicable Board Resolution, Officer’s Certificate or supplemental indenture establishing the series of Notes) expressly provides cannot be amended without the consent of the Holder of each Outstanding Note of the applicable series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8.03.                    </w:t>
      </w:r>
      <w:r>
        <w:rPr>
          <w:rFonts w:ascii="Times New Roman;Times;Serif" w:hAnsi="Times New Roman;Times;Serif"/>
          <w:b w:val="false"/>
          <w:i w:val="false"/>
          <w:caps w:val="false"/>
          <w:smallCaps w:val="false"/>
          <w:sz w:val="20"/>
          <w:u w:val="single"/>
        </w:rPr>
        <w:t>Execution of Supplemental Indentures</w:t>
      </w:r>
      <w:r>
        <w:rPr>
          <w:rFonts w:ascii="Times New Roman;Times;Serif" w:hAnsi="Times New Roman;Times;Serif"/>
          <w:b w:val="false"/>
          <w:i w:val="false"/>
          <w:caps w:val="false"/>
          <w:smallCaps w:val="false"/>
          <w:sz w:val="20"/>
        </w:rPr>
        <w:t xml:space="preserve">. In executing, or accepting the additional trusts created by, any supplemental indenture permitted by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the modifications thereby of the trusts created by this Indenture, the Trustee shall be entitled to receive, and (subject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shall be fully protected in relying upon, in addition to the documents required by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 Opinion of Counsel stating that the execution of such supplemental indenture is authorized or permitted by this Indenture. Upon request of the Issuer and, in the case of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upon filing with the Trustee of evidence of an Act of Holders as aforementioned, the Trustee shall join with the Issuer in the execution of such supplemental indenture unless such supplemental indenture affects the Trustee’s own rights, powers, trusts,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8.04.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val="false"/>
          <w:caps w:val="false"/>
          <w:smallCaps w:val="false"/>
          <w:sz w:val="20"/>
        </w:rPr>
        <w:t xml:space="preserve">. Upon the execution of any supplemental indenture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this Indenture shall be and be deemed to be modified and amended in accordance therewith, and such supplemental indenture shall form a part of this Indenture for all purposes; and the respective rights, limitation of rights, duties, powers, trusts and immunities under this Indenture of the Trustee, the Issuer and every Holder of Notes theretofore or thereafter authenticated and delivered hereunder shall be determined, exercised and enforced thereunder to the extent provided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8.05.                    </w:t>
      </w:r>
      <w:r>
        <w:rPr>
          <w:rFonts w:ascii="Times New Roman;Times;Serif" w:hAnsi="Times New Roman;Times;Serif"/>
          <w:b w:val="false"/>
          <w:i w:val="false"/>
          <w:caps w:val="false"/>
          <w:smallCaps w:val="false"/>
          <w:sz w:val="20"/>
          <w:u w:val="single"/>
        </w:rPr>
        <w:t>Conformity with Trust Indenture Act</w:t>
      </w:r>
      <w:r>
        <w:rPr>
          <w:rFonts w:ascii="Times New Roman;Times;Serif" w:hAnsi="Times New Roman;Times;Serif"/>
          <w:b w:val="false"/>
          <w:i w:val="false"/>
          <w:caps w:val="false"/>
          <w:smallCaps w:val="false"/>
          <w:sz w:val="20"/>
        </w:rPr>
        <w:t xml:space="preserve">. Every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shall conform to the requirements of the TIA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8.06.                    </w:t>
      </w:r>
      <w:r>
        <w:rPr>
          <w:rFonts w:ascii="Times New Roman;Times;Serif" w:hAnsi="Times New Roman;Times;Serif"/>
          <w:b w:val="false"/>
          <w:i w:val="false"/>
          <w:caps w:val="false"/>
          <w:smallCaps w:val="false"/>
          <w:sz w:val="20"/>
          <w:u w:val="single"/>
        </w:rPr>
        <w:t>Documents to Be Given to Trustee</w:t>
      </w:r>
      <w:r>
        <w:rPr>
          <w:rFonts w:ascii="Times New Roman;Times;Serif" w:hAnsi="Times New Roman;Times;Serif"/>
          <w:b w:val="false"/>
          <w:i w:val="false"/>
          <w:caps w:val="false"/>
          <w:smallCaps w:val="false"/>
          <w:sz w:val="20"/>
        </w:rPr>
        <w:t xml:space="preserve">. The Trustee, subject to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may receive an Officer’s Certificate and an Opinion of Counsel as conclusive evidence that any supplemental indenture executed pursuant to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complies with the applicable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8.07.                    </w:t>
      </w:r>
      <w:r>
        <w:rPr>
          <w:rFonts w:ascii="Times New Roman;Times;Serif" w:hAnsi="Times New Roman;Times;Serif"/>
          <w:b w:val="false"/>
          <w:i w:val="false"/>
          <w:caps w:val="false"/>
          <w:smallCaps w:val="false"/>
          <w:sz w:val="20"/>
          <w:u w:val="single"/>
        </w:rPr>
        <w:t>Notation on Notes in Respect of Supplemental Indentures</w:t>
      </w:r>
      <w:r>
        <w:rPr>
          <w:rFonts w:ascii="Times New Roman;Times;Serif" w:hAnsi="Times New Roman;Times;Serif"/>
          <w:b w:val="false"/>
          <w:i w:val="false"/>
          <w:caps w:val="false"/>
          <w:smallCaps w:val="false"/>
          <w:sz w:val="20"/>
        </w:rPr>
        <w:t>. Notes of any series authenticated and delivered after the execution of any supplemental indenture pursuant to the provisions of this Article may bear a notation in form approved by the Trustee for such series as to any matter provided for by such supplemental indenture. If the Issuer or the Trustee shall so determine, new Notes of any series so modified as to conform to any modification of this Indenture contained in any such supplemental indenture may be prepared by the Issuer, authenticated by the Trustee and delivered in exchange for the Notes of such series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9.01.                    </w:t>
      </w:r>
      <w:r>
        <w:rPr>
          <w:rFonts w:ascii="Times New Roman;Times;Serif" w:hAnsi="Times New Roman;Times;Serif"/>
          <w:b w:val="false"/>
          <w:i w:val="false"/>
          <w:caps w:val="false"/>
          <w:smallCaps w:val="false"/>
          <w:sz w:val="20"/>
          <w:u w:val="single"/>
        </w:rPr>
        <w:t>Payment of Principal, Premium and Interest</w:t>
      </w:r>
      <w:r>
        <w:rPr>
          <w:rFonts w:ascii="Times New Roman;Times;Serif" w:hAnsi="Times New Roman;Times;Serif"/>
          <w:b w:val="false"/>
          <w:i w:val="false"/>
          <w:caps w:val="false"/>
          <w:smallCaps w:val="false"/>
          <w:sz w:val="20"/>
        </w:rPr>
        <w:t>. The Issuer covenants and agrees for the benefit of each series of Notes that it shall pay or cause to be paid the principal, premium, if any, and interest on such series of Notes on the dates and in the manner provided in such series of Notes, and shall duly comply with all the other terms, agreements and conditions contained in this Indenture for the benefit of such series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of, and premium, if any, and interest on a Global Note registered in the name of or held by the DTC or its nominee shall be made in immediately available funds to DTC or its nominee, as the case may be, as the Holder of such Global Note. If any of the Notes are no longer represented by a Global Note, payment of interest on certificated Notes in definitive form may, at the option of the Issuer, be made by (i) check mailed directly to Holders at their registered addresses or (ii) upon request of any Holder of at least $1,000,000 principal amount of Notes, wire transfer to an account located in the United States by the payee.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any interest (including any post-petition interest in any proceeding under any Federal or state bankruptcy, insolvency, reorganization, or other similar law) on overdue principal and premium, if any, from time to time on demand at the applicable rate of interest determined from time to time in the manner provided for in each series of Notes; it shall pay interest (including post-petition interest in any proceeding under any Federal or State bankruptcy, insolvency, reorganization, or other similar law) on overdue installments of interest and (without regard to any applicable grace periods) from time to time on demand at the same rates to the extent 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So long as any of the Notes remain outstanding, the Issuer shall maintain an office or agency in the United States (which initially will be the Corporate Trust Office) where Notes may be presented or surrendered for payment, where Notes may be surrendered for transfer or exchange, and where notices and demands to or upon the Issuer in respect of the Notes and this Indenture may be served. The Issuer shall give prompt written notice to the Trustee of the location, and of any change in the location, of such office or agency. If at any time the Issuer shall fail to maintain such office or agency or shall fail to furnish the Trustee with the address thereof, such presentations, surrenders, notices and demands may be made or served at the Corporate Trust Office of the Trustee, and the Issuer hereby appoints the Trustee its agent to receive all such presentations, surrenders, notices and demands; provided, that the Corporate Trust Office of the Trustee shall not be the office of service of legal process on the Issuer. Upon any insolvency, bankruptcy or reorganization proceedings relating to the Issuer (including, without limitation, its bankruptcy, voluntary or judicial liquidation, composition with creditors, reprieve from payment, controlled management, fraudulent conveyance, general settlement with creditors, reorganization or similar laws affecting the rights of creditors generally), the Trustee shall automatically serve as Paying Agent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also from time to time designate one or more other offices or agencies where one or more series of Notes may be presented or surrendered for any or all such purposes and may from time to time rescind such designations; provided however, that no such designation or rescission shall in any manner relieve the Issuer of its obligation to maintain an office or agency in the United States for such purposes. The Issuer shall give prompt written notice to the Trustee of any such designation or rescission and of any change in the location of any such other office or agency.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9.03.                    </w:t>
      </w:r>
      <w:r>
        <w:rPr>
          <w:rFonts w:ascii="Times New Roman;Times;Serif" w:hAnsi="Times New Roman;Times;Serif"/>
          <w:b w:val="false"/>
          <w:i w:val="false"/>
          <w:caps w:val="false"/>
          <w:smallCaps w:val="false"/>
          <w:sz w:val="20"/>
          <w:u w:val="single"/>
        </w:rPr>
        <w:t>Money for Note Payments to be Held in Trust</w:t>
      </w:r>
      <w:r>
        <w:rPr>
          <w:rFonts w:ascii="Times New Roman;Times;Serif" w:hAnsi="Times New Roman;Times;Serif"/>
          <w:b w:val="false"/>
          <w:i w:val="false"/>
          <w:caps w:val="false"/>
          <w:smallCaps w:val="false"/>
          <w:sz w:val="20"/>
        </w:rPr>
        <w:t>. If the Issuer shall at any time act as its own Paying Agent, it shall, on or before each due date of the principal, premium, if any, or interest on any series of Notes, segregate and hold in trust for the benefit of the Holders of such series of Notes a sum sufficient to pay such principal, premium, if any, or interest so becoming due until such sums shall be paid to such Holders of the Notes of such series or otherwise disposed of as herein provided, and will promptly notify the Trustee of its action or failure so to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Issuer shall have one or more Paying Agents, it shall, on or prior to (and if on, then before 10:00 a.m. (New York City time)) each due date of the principal, premium, if any, or interest, on any series of Notes, deposit with a Paying Agent a sum sufficient to pay such principal, premium, if any, or interest so becoming due, such sum to be held in trust for the benefit of the Holders of the Notes of such series entitled to the same and (unless such Paying Agent is the Trustee) the Issuer shall promptly notify the Trustee of its action or failure so to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shall cause each Paying Agent other than the Trustee to execute and deliver to the Trustee an instrument in which such Paying Agent shall agree with the Trustee, subject to the provisions of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that such Paying Agent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hold all sums held by it for the payment of principal, premium, if any, or interest, on Notes of any series in trust for the benefit of the Holders of the Notes of such series entitled thereto until such sums shall be paid to such Holders or otherwise disposed of as herein provided;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give the Trustee prompt notice of any default by the Issuer (or any other obligor upon the Notes of such series) in the making of any such payment of principal, premium, if any, or interest, on such Notes;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at any time during the continuance of any such default, upon the written request of the Trustee, forthwith pay to the Trustee all sums so held in trust by such Paying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at any time, for the purpose of obtaining the discharge of this Indenture, or a Discharge or Defeasance of a series of Notes, or for any other purpose, pay, or by Company Order direct any Paying Agent to pay, to the Trustee all sums held in trust by the Issuer or such Paying Agent or, if for any other purpose, all sums so held in trust by the Issuer in respect of all series of Notes or Notes of such series, as applicable,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9.04.                    </w:t>
      </w:r>
      <w:r>
        <w:rPr>
          <w:rFonts w:ascii="Times New Roman;Times;Serif" w:hAnsi="Times New Roman;Times;Serif"/>
          <w:b w:val="false"/>
          <w:i w:val="false"/>
          <w:caps w:val="false"/>
          <w:smallCaps w:val="false"/>
          <w:sz w:val="20"/>
          <w:u w:val="single"/>
        </w:rPr>
        <w:t>Certificate to Trustee</w:t>
      </w:r>
      <w:r>
        <w:rPr>
          <w:rFonts w:ascii="Times New Roman;Times;Serif" w:hAnsi="Times New Roman;Times;Serif"/>
          <w:b w:val="false"/>
          <w:i w:val="false"/>
          <w:caps w:val="false"/>
          <w:smallCaps w:val="false"/>
          <w:sz w:val="20"/>
        </w:rPr>
        <w:t>. The Issuer shall deliver to the Trustee, within 120 days after the end of each fiscal year of the Issuer ending after the initial issuance of Notes under this Indenture, an Officer’s Certificate that complies with TIA Section 314(a)(4) stating that in the course of the performance by the signers of their duties as officers of the Issuer, they would normally have knowledge of any default by the Issuer in the performance of any of its covenants or agreements contained herein, stating whether or not they have knowledge of any such default and, if so, specifying each such default of which the signers have knowledge and the nature thereof and the actions the Issuer intends to take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9.05.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the Issuer shall do or cause to be done all things necessary to preserve and keep in full force and effect its corporate (or, if not a corporation, other type of entity)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9.06.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The Issuer shall not, and shall not permit any Significant Subsidiary to, create, incur, assume or permit to exist any lien on any property or asset (including the capital stock of any Subsidiary), to secure any Indebtedness of the Issuer, any Significant Subsidiary or any other Person, without securing the Notes equally and ratably with such Indebtedness for so long as such Indebtedness shall be so secured. The foregoing shall not apply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liens existing on the date of this Indenture (or the applicable Board Resolution, Officer’s Certificate or supplemental indenture establishing the series of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existing on assets created at the time of, or within 18 months after, the acquisition, purchase, lease (including any Capital Lease Obligations, or any synthetic, off-balance sheet or tax retention lease), improvement or development of such assets to secure all or a portion of the purchase price or lease for, or the costs of improvement or development of, such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liens to secure any modification, extension, renewal, refinancing, replacement or refunding (or successive modifications, extensions, renewals, refinancings, replacements or refundings), in whole or in part, of any Indebtedness secured by liens referred to in clauses (1) through (3) above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the Issuer’s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liens on property incurred in Sale and Leaseback Transactions permitted by the second paragraph of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liens in favor of only the Issuer or one or more Subsidiaries granted by the Issuer or a Subsidiary to secure any obligations owed to the Issuer or a Subsidiary of the Issuer;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liens on assets of any subsidiary of the Issuer registered or regulated as a “broker” or “dealer” as such terms are defined in Sections 3(a) (4) and (5) of the Exchange Act, as amended, created or otherwise arising in the ordinary course of such Subsidiary’s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customary liens in respect of a deposit for the benefit of a Holder of a series of Notes for a Discharge or Defeasance of such Notes or holders of other Indebtedness for a discharge or defeasance of such other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on securities deemed to exist under repurchase agreements and reverse repurchase agreements entered into by the Issuer or any Subsidiary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in favor of the Trustee granted in accordance with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the Issuer or any Subsidiary, as applicable, has maintained adequate reserves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any attachment or judgment lien in existence less than 60 days after the entry thereof or with respect to which (i) execution has been stayed, (ii) payment is covered in full by insurance, or (iii) the Issuer or any of its Subsidiaries shall in good faith be prosecuting on appeal or proceedings for review and shall have set aside on its books such reserves as may be required by GAAP with respect to such judgment or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liens securing Swap Contracts of the Issuer or any of its Subsidiaries permitted to be incurred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arising out of conditional sale, title retention, consignment or similar arrangements for the sale or purchase of goods entered into by the Issuer or any Subsidiary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liens on the assets of, or capital stock or other equity interests in, any Subsidiary or any joint venture and which secures Indebtedness or other obligations of such Subsidiary or joint venture (or of another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liens securing obligations under the Revolving Credit Agreement in an aggregate amount not to exceed $750,000,000;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liens otherwise prohibited by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securing Indebtedness which, together with the value of Attributable Debt incurred in Sale and Leaseback Transactions permitted under </w:t>
      </w:r>
      <w:r>
        <w:rPr>
          <w:rFonts w:ascii="Times New Roman;Times;Serif" w:hAnsi="Times New Roman;Times;Serif"/>
          <w:b w:val="false"/>
          <w:i w:val="false"/>
          <w:caps w:val="false"/>
          <w:smallCaps w:val="false"/>
          <w:sz w:val="20"/>
          <w:u w:val="single"/>
        </w:rPr>
        <w:t>Section 9.07</w:t>
      </w:r>
      <w:r>
        <w:rPr>
          <w:rFonts w:ascii="Times New Roman;Times;Serif" w:hAnsi="Times New Roman;Times;Serif"/>
          <w:b w:val="false"/>
          <w:i w:val="false"/>
          <w:caps w:val="false"/>
          <w:smallCaps w:val="false"/>
          <w:sz w:val="20"/>
        </w:rPr>
        <w:t xml:space="preserve"> below, do not exceed 15.0% of Consolidated Net Tangible Assets measured at the date of incurrence of such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9.07.                    </w:t>
      </w:r>
      <w:r>
        <w:rPr>
          <w:rFonts w:ascii="Times New Roman;Times;Serif" w:hAnsi="Times New Roman;Times;Serif"/>
          <w:b w:val="false"/>
          <w:i w:val="false"/>
          <w:caps w:val="false"/>
          <w:smallCaps w:val="false"/>
          <w:sz w:val="20"/>
          <w:u w:val="single"/>
        </w:rPr>
        <w:t>Limitation on Sale-Leaseback Transactions</w:t>
      </w:r>
      <w:r>
        <w:rPr>
          <w:rFonts w:ascii="Times New Roman;Times;Serif" w:hAnsi="Times New Roman;Times;Serif"/>
          <w:b w:val="false"/>
          <w:i w:val="false"/>
          <w:caps w:val="false"/>
          <w:smallCaps w:val="false"/>
          <w:sz w:val="20"/>
        </w:rPr>
        <w:t>. The Issuer shall not, and shall not permit any Significant Subsidiary to, enter into any arrangement with any Person pursuant to which the Issuer or any Significant Subsidiary leases any property that has been or is to be sold or transferred by the Issuer or the Significant Subsidiary to such Person (a “</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except that a Sale and Leaseback Transaction is permitted if the Issuer or such Significant Subsidiary would be entitled to incur Indebtedness secured by a lien on the property to be leased (without equally and ratably securing the Outstanding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w:t>
      </w:r>
      <w:r>
        <w:rPr>
          <w:rFonts w:ascii="Times New Roman;Times;Serif" w:hAnsi="Times New Roman;Times;Serif"/>
          <w:b w:val="false"/>
          <w:i w:val="false"/>
          <w:caps w:val="false"/>
          <w:smallCaps w:val="false"/>
          <w:sz w:val="20"/>
          <w:u w:val="single"/>
        </w:rPr>
        <w:t>Attributable Debt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shall not apply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temporary leases for a term, including renewals at the option of the lessee, of not more than three years;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leases between only the Issuer and one or more Subsidiaries of the Issuer or only between or among Subsidiaries of the Issuer;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leases where the proceeds are at least equal to the fair market value (as determined by the Board of Directors) of the property and the Issuer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leases of property executed by the time of, or within 12 months after the latest of, the acquisition, the completion of construction or improvement, or the commencement of commercial operation of the property.</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REDEMPTION OF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10.01.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 xml:space="preserve">. Unless otherwise provided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the Issuer shall not be permitted to optionally redeem Notes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Issuer may, with respect to any series of Notes, reserve the right to redeem and pay the Notes of such series, or any part thereof, prior to the Maturity Date thereof at such time and on such terms as provided for with respect to such series of Notes. If a series of Notes is redeemable and the Issuer wants to redeem prior to the Maturity Date thereof all or part of the Notes of such series pursuant to the terms of such Notes, it shall notify the Trustee of the paragraph of the Notes and/or Section of this Indenture (or Board Resolution, supplemental indenture or Officers’ Certificate) pursuant to which the redemption shall occur and of the information set forth in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xml:space="preserve"> below. Notice of redemption of Notes of a series shall be given by the Issuer or, at the Issuer’s request, by the Trustee in the name and at the expense of the Issuer;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redemption to the Holders of Notes of any series to be redeemed as a whole or in part at the option of the Issuer shall be given by first-class mail, postage prepaid, mailed or otherwise delivered electronically or in accordance with the procedures of DTC to holders of Global Notes, with a copy to the Trustee, not fewer than 10 nor more than 60 days (unless in connection with a Discharge or Defeasance) prior to the applicable date specified for redemption (the “</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to each such Holder at such Holder’s last address appearing in the Security Register (or by electronic delivery or pursuant to the applicable procedures of the Depositary). All notices of redemption shall state: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or if not then ascertainable, the manner of calculating the Redemption Price;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fewer than all outstanding Notes of a series are to be redeemed, the identification (and, in the case of partial redemption, the respective principal amounts) of the Notes of such series to be redeemed from the Holder to whom the notice is given and that on and after the Redemption Date, subject to the waiver by the Issuer in its sole discretion or the satisfaction of any conditions precedent to such redemption, upon surrender of such Note, a new Note or Notes in the aggregate principal amount equal to the unredeemed portion thereof shall be issued in accordance with </w:t>
      </w:r>
      <w:r>
        <w:rPr>
          <w:rFonts w:ascii="Times New Roman;Times;Serif" w:hAnsi="Times New Roman;Times;Serif"/>
          <w:b w:val="false"/>
          <w:i w:val="false"/>
          <w:caps w:val="false"/>
          <w:smallCaps w:val="false"/>
          <w:sz w:val="20"/>
          <w:u w:val="single"/>
        </w:rPr>
        <w:t>Section 10.01(e)</w:t>
      </w:r>
      <w:r>
        <w:rPr>
          <w:rFonts w:ascii="Times New Roman;Times;Serif" w:hAnsi="Times New Roman;Times;Serif"/>
          <w:b w:val="false"/>
          <w:i w:val="false"/>
          <w:caps w:val="false"/>
          <w:smallCaps w:val="false"/>
          <w:sz w:val="20"/>
        </w:rPr>
        <w: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subject to the waiver by the Issuer in its sole discretion or the satisfaction of any conditions precedent to such redemption, on the Redemption Date the Redemption Price shall become due and payable upon each Note called for redemption, and that interest, if any, thereon shall cease to accrue from and after said date;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place where Notes called for redemption are to be surrendered for payment of the Redemption Price, which shall be the office or agency maintained by the Issuer pursuant to this Indenture;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the Notes called for redemption must be surrendered to the Paying Agent to collect the Redemption Price;</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and/or ISIN number, and that no representation is made as to the correctness or accuracy of the CUSIP and/or ISIN number, if any, listed in such notice or printed on the Notes; and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conditions precedent to such redemption and, that in the Issuer’s discretion, the Redemption Date may be delayed until such time (including more than 60 days after the date the notice of redemption was sent)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or such notice may be rescinded at any time in the Issuer’s sole discretion if in the good faith judgement of the Issuer any or all of such conditions will not be satisfied;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prior to 10:00 a.m., New York City time, on any Redemption Date, the Issuer shall deposit with the Trustee or with a Paying Agent (or, if the Issuer is acting as its own Paying Agent, segregate and hold in trust as provided in this Indenture) an amount of money sufficient to pay the Redemption Price of, and any accrued interest on, all the Notes which are to be redeemed on that date.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Notice of redemption having been given as aforesaid, subject to the waiver by the Issuer in its sole discretion or the satisf</w:t>
      </w:r>
      <w:r>
        <w:rPr>
          <w:rFonts w:ascii="Times New Roman;Times;Serif" w:hAnsi="Times New Roman;Times;Serif"/>
          <w:b w:val="false"/>
          <w:i w:val="false"/>
          <w:caps w:val="false"/>
          <w:smallCaps w:val="false"/>
          <w:color w:val="000000"/>
          <w:sz w:val="20"/>
        </w:rPr>
        <w:t>action of any conditions precedent to such redemption, the Notes (or portions thereof) so to be redeemed shall, on the Redemption Date, become due and payable at the Redemption Price plus accrued and unpaid interest to, but not including, the Redemption Date therein specified and from and after such date (unless the Issuer shall default in the payment of the Redemption Price) such Notes shall cease to bear interest. Any installment of interest due and payable on or prior to the Redemption Date with respect to any Notes so called for redemption shall be payable to t</w:t>
      </w:r>
      <w:r>
        <w:rPr>
          <w:rFonts w:ascii="Times New Roman;Times;Serif" w:hAnsi="Times New Roman;Times;Serif"/>
          <w:b w:val="false"/>
          <w:i w:val="false"/>
          <w:caps w:val="false"/>
          <w:smallCaps w:val="false"/>
          <w:sz w:val="20"/>
        </w:rPr>
        <w:t xml:space="preserve">he Holders of such Notes registered as such on the relevant Record Date according to the terms and the provisions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of this Indenture. If any Note called for redemption shall not be so paid upon surrender thereof for redemption, the principal shall, until paid, bear interest from the Redemption Date at the rate prescribed therefor by the Note.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Note that is to be redeemed only in part shall be surrendered at the office or agency maintained by the Issuer pursuant to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of this Indenture (with, if the Issuer or the Trustee so requires, due endorsement by, or a written instrument of transfer in form reasonably satisfactory to the Issuer and the Trustee duly executed by, the Holder thereof or the Holder’s attorney duly authorized in writing) and the Issuer shall execute and the Trustee shall authenticate and deliver to the Holder of such Note without service charge and at the expense of the Issuer, a new Note or Notes, of any authorized denomination as requested by such Holder in aggregate principal amount equal to and in exchange for the unredeemed portion of the principal of such Note so surrendered.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fewer than all the Notes of a series are to be redeemed, the particular Notes to be redeemed shall be selected not more than 60 days prior to the Redemption Date by the Trustee from the outstanding Notes of such series not previously called for redemption, pro rata, by lot or by such other method as the Trustee shall deem fair and appropriate and in accordance with the applicable procedures of the Depositary in the case of Global Notes, and may provide for the selection for redemption of portions (equal to the minimum authorized denomination for the Notes of such series or any integral multiple thereof) of the principal amount of Notes of such series of a denomination larger than the minimum authorized denomination for the Notes of such series.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promptly notify the Issuer in writing of the Notes of such series selected for redemption and, in the case of any Notes selected for partial redemption, the principal amount thereof to be redeemed.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context otherwise requires, all provisions relating to the redemption of Notes of a series shall relate, in the case of any Note redeemed or to be redeemed only in part, to the portion of the principal of such Note which has been or is to be redeemed.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Section 10.02.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 xml:space="preserve">. Unless otherwise provided pursuant to </w:t>
      </w:r>
      <w:r>
        <w:rPr>
          <w:rFonts w:ascii="Times New Roman;Times;Serif" w:hAnsi="Times New Roman;Times;Serif"/>
          <w:b w:val="false"/>
          <w:i w:val="false"/>
          <w:caps w:val="false"/>
          <w:smallCaps w:val="false"/>
          <w:sz w:val="20"/>
          <w:u w:val="single"/>
        </w:rPr>
        <w:t>Section 2.01(1)(v)(f)</w:t>
      </w:r>
      <w:r>
        <w:rPr>
          <w:rFonts w:ascii="Times New Roman;Times;Serif" w:hAnsi="Times New Roman;Times;Serif"/>
          <w:b w:val="false"/>
          <w:i w:val="false"/>
          <w:caps w:val="false"/>
          <w:smallCaps w:val="false"/>
          <w:sz w:val="20"/>
        </w:rPr>
        <w:t>, the Issuer shall not be required to make mandatory redemption or sinking fund payments with respect to the Notes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80"/>
        <w:gridCol w:w="385"/>
        <w:gridCol w:w="655"/>
        <w:gridCol w:w="4843"/>
      </w:tblGrid>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9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Carter</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w:t>
            </w:r>
          </w:p>
        </w:tc>
      </w:tr>
      <w:tr>
        <w:trPr/>
        <w:tc>
          <w:tcPr>
            <w:tcW w:w="80" w:type="dxa"/>
            <w:tcBorders/>
            <w:vAlign w:val="center"/>
          </w:tcPr>
          <w:p>
            <w:pPr>
              <w:pStyle w:val="TableContents"/>
              <w:bidi w:val="0"/>
              <w:spacing w:before="0" w:after="283"/>
              <w:jc w:val="left"/>
              <w:rPr/>
            </w:pPr>
            <w:r>
              <w:rPr/>
              <w:t> </w:t>
            </w:r>
          </w:p>
        </w:tc>
        <w:tc>
          <w:tcPr>
            <w:tcW w:w="588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49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8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caps w:val="false"/>
                <w:smallCaps w:val="false"/>
              </w:rPr>
            </w:pPr>
            <w:r>
              <w:rPr>
                <w:caps w:val="false"/>
                <w:smallCaps w:val="false"/>
              </w:rPr>
              <w:t> </w:t>
            </w:r>
          </w:p>
        </w:tc>
        <w:tc>
          <w:tcPr>
            <w:tcW w:w="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strike w:val="false"/>
          <w:dstrike w:val="false"/>
          <w:u w:val="none"/>
          <w:effect w:val="none"/>
        </w:rPr>
      </w:pPr>
      <w:bookmarkStart w:id="6" w:name="tm2622643d2_ex4-2.htm"/>
      <w:bookmarkStart w:id="7" w:name="kstm2622643d2_ex42"/>
      <w:bookmarkEnd w:id="6"/>
      <w:bookmarkEnd w:id="7"/>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4.2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 Senior Notes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050"/>
        <w:gridCol w:w="155"/>
      </w:tblGrid>
      <w:tr>
        <w:trPr/>
        <w:tc>
          <w:tcPr>
            <w:tcW w:w="10050" w:type="dxa"/>
            <w:tcBorders/>
            <w:vAlign w:val="center"/>
          </w:tcPr>
          <w:p>
            <w:pPr>
              <w:pStyle w:val="TableContents"/>
              <w:bidi w:val="0"/>
              <w:spacing w:before="0" w:after="283"/>
              <w:ind w:left="0" w:right="0" w:hanging="720"/>
              <w:jc w:val="left"/>
              <w:rPr/>
            </w:pPr>
            <w:r>
              <w:rPr/>
              <w:t>Article I DEFINITIONS</w:t>
            </w:r>
          </w:p>
        </w:tc>
        <w:tc>
          <w:tcPr>
            <w:tcW w:w="155" w:type="dxa"/>
            <w:tcBorders/>
            <w:vAlign w:val="center"/>
          </w:tcPr>
          <w:p>
            <w:pPr>
              <w:pStyle w:val="TableContents"/>
              <w:bidi w:val="0"/>
              <w:spacing w:before="0" w:after="283"/>
              <w:ind w:left="0" w:right="0" w:hanging="1440"/>
              <w:jc w:val="right"/>
              <w:rPr/>
            </w:pPr>
            <w:r>
              <w:rPr/>
              <w:t>1</w:t>
            </w:r>
          </w:p>
        </w:tc>
      </w:tr>
      <w:tr>
        <w:trPr/>
        <w:tc>
          <w:tcPr>
            <w:tcW w:w="10050" w:type="dxa"/>
            <w:tcBorders/>
            <w:vAlign w:val="center"/>
          </w:tcPr>
          <w:p>
            <w:pPr>
              <w:pStyle w:val="TableContents"/>
              <w:bidi w:val="0"/>
              <w:spacing w:before="0" w:after="283"/>
              <w:jc w:val="left"/>
              <w:rPr/>
            </w:pPr>
            <w:r>
              <w:rPr/>
              <w:t>Section 1.1   Definitions</w:t>
            </w:r>
          </w:p>
        </w:tc>
        <w:tc>
          <w:tcPr>
            <w:tcW w:w="155" w:type="dxa"/>
            <w:tcBorders/>
            <w:vAlign w:val="center"/>
          </w:tcPr>
          <w:p>
            <w:pPr>
              <w:pStyle w:val="TableContents"/>
              <w:bidi w:val="0"/>
              <w:spacing w:before="0" w:after="283"/>
              <w:ind w:left="0" w:right="0" w:hanging="720"/>
              <w:jc w:val="right"/>
              <w:rPr/>
            </w:pPr>
            <w:r>
              <w:rPr/>
              <w:t>1</w:t>
            </w:r>
          </w:p>
        </w:tc>
      </w:tr>
      <w:tr>
        <w:trPr/>
        <w:tc>
          <w:tcPr>
            <w:tcW w:w="10050" w:type="dxa"/>
            <w:tcBorders/>
            <w:vAlign w:val="center"/>
          </w:tcPr>
          <w:p>
            <w:pPr>
              <w:pStyle w:val="TableContents"/>
              <w:bidi w:val="0"/>
              <w:spacing w:before="0" w:after="283"/>
              <w:jc w:val="left"/>
              <w:rPr/>
            </w:pPr>
            <w:r>
              <w:rPr/>
              <w:t>Article II TERMS OF THE NOTES</w:t>
            </w:r>
          </w:p>
        </w:tc>
        <w:tc>
          <w:tcPr>
            <w:tcW w:w="155" w:type="dxa"/>
            <w:tcBorders/>
            <w:vAlign w:val="center"/>
          </w:tcPr>
          <w:p>
            <w:pPr>
              <w:pStyle w:val="TableContents"/>
              <w:bidi w:val="0"/>
              <w:spacing w:before="0" w:after="283"/>
              <w:ind w:left="0" w:right="0" w:hanging="1440"/>
              <w:jc w:val="right"/>
              <w:rPr/>
            </w:pPr>
            <w:r>
              <w:rPr/>
              <w:t>4</w:t>
            </w:r>
          </w:p>
        </w:tc>
      </w:tr>
      <w:tr>
        <w:trPr/>
        <w:tc>
          <w:tcPr>
            <w:tcW w:w="10050" w:type="dxa"/>
            <w:tcBorders/>
            <w:vAlign w:val="center"/>
          </w:tcPr>
          <w:p>
            <w:pPr>
              <w:pStyle w:val="TableContents"/>
              <w:bidi w:val="0"/>
              <w:spacing w:before="0" w:after="283"/>
              <w:jc w:val="left"/>
              <w:rPr/>
            </w:pPr>
            <w:r>
              <w:rPr/>
              <w:t>Section 2.1     Title</w:t>
            </w:r>
          </w:p>
        </w:tc>
        <w:tc>
          <w:tcPr>
            <w:tcW w:w="155" w:type="dxa"/>
            <w:tcBorders/>
            <w:vAlign w:val="center"/>
          </w:tcPr>
          <w:p>
            <w:pPr>
              <w:pStyle w:val="TableContents"/>
              <w:bidi w:val="0"/>
              <w:spacing w:before="0" w:after="283"/>
              <w:ind w:left="0" w:right="0" w:hanging="1440"/>
              <w:jc w:val="right"/>
              <w:rPr/>
            </w:pPr>
            <w:r>
              <w:rPr/>
              <w:t>4</w:t>
            </w:r>
          </w:p>
        </w:tc>
      </w:tr>
      <w:tr>
        <w:trPr/>
        <w:tc>
          <w:tcPr>
            <w:tcW w:w="10050" w:type="dxa"/>
            <w:tcBorders/>
            <w:vAlign w:val="center"/>
          </w:tcPr>
          <w:p>
            <w:pPr>
              <w:pStyle w:val="TableContents"/>
              <w:bidi w:val="0"/>
              <w:spacing w:before="0" w:after="283"/>
              <w:jc w:val="left"/>
              <w:rPr/>
            </w:pPr>
            <w:r>
              <w:rPr/>
              <w:t>Section 2.2     Aggregate Principal Amount</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2.3     Maturity</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2.4     Interest</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2.5     Place of Payment</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2.6     Optional Redemption</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2.7     Change of Control Repurchase</w:t>
            </w:r>
          </w:p>
        </w:tc>
        <w:tc>
          <w:tcPr>
            <w:tcW w:w="155" w:type="dxa"/>
            <w:tcBorders/>
            <w:vAlign w:val="center"/>
          </w:tcPr>
          <w:p>
            <w:pPr>
              <w:pStyle w:val="TableContents"/>
              <w:bidi w:val="0"/>
              <w:spacing w:before="0" w:after="283"/>
              <w:ind w:left="0" w:right="0" w:hanging="1440"/>
              <w:jc w:val="right"/>
              <w:rPr/>
            </w:pPr>
            <w:r>
              <w:rPr/>
              <w:t>5</w:t>
            </w:r>
          </w:p>
        </w:tc>
      </w:tr>
      <w:tr>
        <w:trPr/>
        <w:tc>
          <w:tcPr>
            <w:tcW w:w="10050" w:type="dxa"/>
            <w:tcBorders/>
            <w:vAlign w:val="center"/>
          </w:tcPr>
          <w:p>
            <w:pPr>
              <w:pStyle w:val="TableContents"/>
              <w:bidi w:val="0"/>
              <w:spacing w:before="0" w:after="283"/>
              <w:jc w:val="left"/>
              <w:rPr/>
            </w:pPr>
            <w:r>
              <w:rPr/>
              <w:t>Section 2.8     Special Mandatory Redemption</w:t>
            </w:r>
          </w:p>
        </w:tc>
        <w:tc>
          <w:tcPr>
            <w:tcW w:w="155" w:type="dxa"/>
            <w:tcBorders/>
            <w:vAlign w:val="center"/>
          </w:tcPr>
          <w:p>
            <w:pPr>
              <w:pStyle w:val="TableContents"/>
              <w:bidi w:val="0"/>
              <w:spacing w:before="0" w:after="283"/>
              <w:ind w:left="0" w:right="0" w:hanging="1440"/>
              <w:jc w:val="right"/>
              <w:rPr/>
            </w:pPr>
            <w:r>
              <w:rPr/>
              <w:t>7</w:t>
            </w:r>
          </w:p>
        </w:tc>
      </w:tr>
      <w:tr>
        <w:trPr/>
        <w:tc>
          <w:tcPr>
            <w:tcW w:w="10050" w:type="dxa"/>
            <w:tcBorders/>
            <w:vAlign w:val="center"/>
          </w:tcPr>
          <w:p>
            <w:pPr>
              <w:pStyle w:val="TableContents"/>
              <w:bidi w:val="0"/>
              <w:spacing w:before="0" w:after="283"/>
              <w:jc w:val="left"/>
              <w:rPr/>
            </w:pPr>
            <w:r>
              <w:rPr/>
              <w:t>Section 2.9     Issue Date</w:t>
            </w:r>
          </w:p>
        </w:tc>
        <w:tc>
          <w:tcPr>
            <w:tcW w:w="155" w:type="dxa"/>
            <w:tcBorders/>
            <w:vAlign w:val="center"/>
          </w:tcPr>
          <w:p>
            <w:pPr>
              <w:pStyle w:val="TableContents"/>
              <w:bidi w:val="0"/>
              <w:spacing w:before="0" w:after="283"/>
              <w:ind w:left="0" w:right="0" w:hanging="1440"/>
              <w:jc w:val="right"/>
              <w:rPr/>
            </w:pPr>
            <w:r>
              <w:rPr/>
              <w:t>7</w:t>
            </w:r>
          </w:p>
        </w:tc>
      </w:tr>
      <w:tr>
        <w:trPr/>
        <w:tc>
          <w:tcPr>
            <w:tcW w:w="10050" w:type="dxa"/>
            <w:tcBorders/>
            <w:vAlign w:val="center"/>
          </w:tcPr>
          <w:p>
            <w:pPr>
              <w:pStyle w:val="TableContents"/>
              <w:bidi w:val="0"/>
              <w:spacing w:before="0" w:after="283"/>
              <w:jc w:val="left"/>
              <w:rPr/>
            </w:pPr>
            <w:r>
              <w:rPr/>
              <w:t>Section 2.10   Issue Price</w:t>
            </w:r>
          </w:p>
        </w:tc>
        <w:tc>
          <w:tcPr>
            <w:tcW w:w="155" w:type="dxa"/>
            <w:tcBorders/>
            <w:vAlign w:val="center"/>
          </w:tcPr>
          <w:p>
            <w:pPr>
              <w:pStyle w:val="TableContents"/>
              <w:bidi w:val="0"/>
              <w:spacing w:before="0" w:after="283"/>
              <w:ind w:left="0" w:right="0" w:hanging="1440"/>
              <w:jc w:val="right"/>
              <w:rPr/>
            </w:pPr>
            <w:r>
              <w:rPr/>
              <w:t>7</w:t>
            </w:r>
          </w:p>
        </w:tc>
      </w:tr>
      <w:tr>
        <w:trPr/>
        <w:tc>
          <w:tcPr>
            <w:tcW w:w="10050" w:type="dxa"/>
            <w:tcBorders/>
            <w:vAlign w:val="center"/>
          </w:tcPr>
          <w:p>
            <w:pPr>
              <w:pStyle w:val="TableContents"/>
              <w:bidi w:val="0"/>
              <w:spacing w:before="0" w:after="283"/>
              <w:jc w:val="left"/>
              <w:rPr/>
            </w:pPr>
            <w:r>
              <w:rPr/>
              <w:t>Section 2.11   Definitive and Global Notes</w:t>
            </w:r>
          </w:p>
        </w:tc>
        <w:tc>
          <w:tcPr>
            <w:tcW w:w="155" w:type="dxa"/>
            <w:tcBorders/>
            <w:vAlign w:val="center"/>
          </w:tcPr>
          <w:p>
            <w:pPr>
              <w:pStyle w:val="TableContents"/>
              <w:bidi w:val="0"/>
              <w:spacing w:before="0" w:after="283"/>
              <w:ind w:left="0" w:right="0" w:hanging="1440"/>
              <w:jc w:val="right"/>
              <w:rPr/>
            </w:pPr>
            <w:r>
              <w:rPr/>
              <w:t>8</w:t>
            </w:r>
          </w:p>
        </w:tc>
      </w:tr>
      <w:tr>
        <w:trPr/>
        <w:tc>
          <w:tcPr>
            <w:tcW w:w="10050" w:type="dxa"/>
            <w:tcBorders/>
            <w:vAlign w:val="center"/>
          </w:tcPr>
          <w:p>
            <w:pPr>
              <w:pStyle w:val="TableContents"/>
              <w:bidi w:val="0"/>
              <w:spacing w:before="0" w:after="283"/>
              <w:jc w:val="left"/>
              <w:rPr/>
            </w:pPr>
            <w:r>
              <w:rPr/>
              <w:t>Section 2.12   Denomination</w:t>
            </w:r>
          </w:p>
        </w:tc>
        <w:tc>
          <w:tcPr>
            <w:tcW w:w="155" w:type="dxa"/>
            <w:tcBorders/>
            <w:vAlign w:val="center"/>
          </w:tcPr>
          <w:p>
            <w:pPr>
              <w:pStyle w:val="TableContents"/>
              <w:bidi w:val="0"/>
              <w:spacing w:before="0" w:after="283"/>
              <w:ind w:left="0" w:right="0" w:hanging="1440"/>
              <w:jc w:val="right"/>
              <w:rPr/>
            </w:pPr>
            <w:r>
              <w:rPr/>
              <w:t>8</w:t>
            </w:r>
          </w:p>
        </w:tc>
      </w:tr>
      <w:tr>
        <w:trPr/>
        <w:tc>
          <w:tcPr>
            <w:tcW w:w="10050" w:type="dxa"/>
            <w:tcBorders/>
            <w:vAlign w:val="center"/>
          </w:tcPr>
          <w:p>
            <w:pPr>
              <w:pStyle w:val="TableContents"/>
              <w:bidi w:val="0"/>
              <w:spacing w:before="0" w:after="283"/>
              <w:jc w:val="left"/>
              <w:rPr/>
            </w:pPr>
            <w:r>
              <w:rPr/>
              <w:t>Section 2.13   Defeasance and Discharge of Covenants upon Deposit of Moneys, U.S. Government Obligations</w:t>
            </w:r>
          </w:p>
        </w:tc>
        <w:tc>
          <w:tcPr>
            <w:tcW w:w="155" w:type="dxa"/>
            <w:tcBorders/>
            <w:vAlign w:val="center"/>
          </w:tcPr>
          <w:p>
            <w:pPr>
              <w:pStyle w:val="TableContents"/>
              <w:bidi w:val="0"/>
              <w:spacing w:before="0" w:after="283"/>
              <w:ind w:left="0" w:right="0" w:hanging="1440"/>
              <w:jc w:val="right"/>
              <w:rPr/>
            </w:pPr>
            <w:r>
              <w:rPr/>
              <w:t>8</w:t>
            </w:r>
          </w:p>
        </w:tc>
      </w:tr>
      <w:tr>
        <w:trPr/>
        <w:tc>
          <w:tcPr>
            <w:tcW w:w="10050" w:type="dxa"/>
            <w:tcBorders/>
            <w:vAlign w:val="center"/>
          </w:tcPr>
          <w:p>
            <w:pPr>
              <w:pStyle w:val="TableContents"/>
              <w:bidi w:val="0"/>
              <w:spacing w:before="0" w:after="283"/>
              <w:jc w:val="left"/>
              <w:rPr/>
            </w:pPr>
            <w:r>
              <w:rPr/>
              <w:t>Section 2.14   Events of Default</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$800,000,000 aggregate principal amount of 5.000% Senior Notes due 2028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First Supplemental Indenture shall modify the Indenture only with respect to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color w:val="000000"/>
          <w:sz w:val="20"/>
        </w:rPr>
      </w:pPr>
      <w:r>
        <w:rPr>
          <w:rFonts w:ascii="Times New Roman;Times;Serif" w:hAnsi="Times New Roman;Times;Serif"/>
          <w:b/>
          <w:i w:val="false"/>
          <w:caps/>
          <w:color w:val="000000"/>
          <w:sz w:val="20"/>
        </w:rPr>
        <w:t>Article I</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this First Supplemental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First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means this First Supplemental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(as defined below), as amended, supplemented, amended and restated,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means the series of transactions pursuant to the Merger Agreement pursuant to which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means Qorvo,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has the meaning assigned in Section 2.8(b).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u w:val="single"/>
              </w:rPr>
              <w:t>H.15</w:t>
            </w:r>
            <w:r>
              <w:rPr/>
              <w:t>”) under the caption “U.S. government securities–Treasury constant maturities–Nominal” (or any successor caption or heading) (“</w:t>
            </w:r>
            <w:r>
              <w:rPr>
                <w:u w:val="single"/>
              </w:rPr>
              <w:t>H.15 TCM</w:t>
            </w:r>
            <w:r>
              <w:rPr/>
              <w:t>”). In determining the Treasury Rate, the Issuer shall select, as applicable: (1) the yield for the Treasury constant maturity on H.15 exactly equal to the period from the Redemption Date to the Maturity Date (the “</w:t>
            </w:r>
            <w:r>
              <w:rPr>
                <w:u w:val="single"/>
              </w:rPr>
              <w:t>Remaining Life</w:t>
            </w:r>
            <w:r>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as applicable. If there is no United States Treasury security maturing on the Maturity Date but there are two or more United States Treasury securities with a maturity date equally distant from the Maturity Date, one with a maturity date preceding the Maturity Date and one with a maturity date following the Maturity Date, the Issuer shall select the United States Treasury security with a maturity date preceding the Maturity Date. If there are two or more United States Treasury securities maturing on the Maturity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II</w:t>
      </w:r>
      <w:r>
        <w:rPr>
          <w:rFonts w:ascii="Times New Roman;Times;Serif" w:hAnsi="Times New Roman;Times;Serif"/>
          <w:b/>
          <w:i w:val="false"/>
          <w:caps/>
          <w:sz w:val="20"/>
        </w:rPr>
        <w:br/>
        <w:br/>
      </w:r>
      <w:r>
        <w:rPr>
          <w:rFonts w:ascii="Times New Roman;Times;Serif" w:hAnsi="Times New Roman;Times;Serif"/>
          <w:b/>
          <w:i w:val="false"/>
          <w:caps/>
          <w:sz w:val="20"/>
          <w:u w:val="single"/>
        </w:rPr>
        <w:t>TERMS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“5.000% Senior Notes due 2028” to be issued on the date hereof and (iii) shall be in the form attached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Senior Notes that may be authenticated and delivered under this First Supplemental Indenture shall be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August 10, 2028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5.000% per year. Interest shall accrue on the Senior Notes from the most recent Interest Payment Date to or for which interest has been paid or duly provided for (or if no interest has been paid or duly provided for, from the Issue Date of the Senior Notes), payable semiannually in arrears on February 10 and August 10 of each year, beginning on February 10, 2027. The Record Dates for payment of interest shall be January 26 and July 26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Senior Notes shall be redeemable at any time, and from time to time, prior to the Maturity Date by the Issuer pursuant to the optional redemption provisions of this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Prior to the Maturity Date, the Issuer may redeem the Senior Notes at its option at any time, and from time to time, in whole or in part. If the Issuer elects to redeem the Senior Notes, it will pay a Redemption Price (expressed as a percentage of principal amount and rounded to three decimal places) equal to the greater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 (a) the sum of the present values of the remaining scheduled payments of principal and interest thereon discounted to the Redemption Date </w:t>
      </w:r>
      <w:r>
        <w:rPr>
          <w:rFonts w:ascii="Times New Roman;Times;Serif" w:hAnsi="Times New Roman;Times;Serif"/>
          <w:b w:val="false"/>
          <w:i w:val="false"/>
          <w:caps w:val="false"/>
          <w:smallCaps w:val="false"/>
          <w:sz w:val="20"/>
        </w:rPr>
        <w:t>(assuming the Senior Notes matured on the Maturity Date) on a semi-annual basis (assuming a 360-day year consisting of twelve 30-day months) at the Treasury Rate plus 15 basis points, less (b) interest accrued to the date of redemption,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 xml:space="preserve">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On the repurchase date following a Change of Control Repurchase Event, the Issuer shall, to the extent 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sz w:val="20"/>
        </w:rPr>
        <w:t>accept for payment all the Senior Notes or portions of the Senior Notes properly tendered (and not withdrawn) pursuant to its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               </w:t>
      </w:r>
      <w:r>
        <w:rPr>
          <w:rFonts w:ascii="Times New Roman;Times;Serif" w:hAnsi="Times New Roman;Times;Serif"/>
          <w:b w:val="false"/>
          <w:i w:val="false"/>
          <w:caps w:val="false"/>
          <w:smallCaps w:val="false"/>
          <w:sz w:val="20"/>
        </w:rPr>
        <w:t>deposit with the Paying Agent an amount equal to the aggregate purchase price in respect of all the Senior Notes or portions of the Senior Notes so accepted for payment;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(iii)              </w:t>
      </w:r>
      <w:r>
        <w:rPr>
          <w:rFonts w:ascii="Times New Roman;Times;Serif" w:hAnsi="Times New Roman;Times;Serif"/>
          <w:b w:val="false"/>
          <w:i w:val="false"/>
          <w:caps w:val="false"/>
          <w:smallCaps w:val="false"/>
          <w:sz w:val="20"/>
        </w:rPr>
        <w:t>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sz w:val="20"/>
        </w:rPr>
        <w:t>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sz w:val="20"/>
        </w:rPr>
        <w:t>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2.8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If (i) the consummation of the Mergers does not occur on or before 11:59 p.m. Pacific Time on November 3, 2027, (ii) the Issuer notifies the Trustee and the Holders of the Senior Notes that the Issuer will not pursue the consummation of the Mergers or (iii) the Merger Agreement has been terminated without the consummation of the Mergers (any event described in clause (i), (ii) or (iii), a “</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the Issuer will be required to redeem the Senior Notes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on the Special Mandatory Redemption Date at a redemption price equal to 101% of the aggregate principal amount of the Senior Notes, plus accrued and unpaid interest, if any, to, but not including,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In the event that the Issuer becomes obligated to redeem the Senior Notes pursuant to this Section 2.8, the Issuer will promptly, and in any event not more than ten Business Days after the date on which a Special Mandatory Redemption Trigger occurred, deliver notice to the Trustee and the Holders of the Senior Notes of the Special Mandatory Redemption and the date upon which the Senior Notes will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date shall be no earlier than five days and no later than thirty days following the date of such notice, unless some longer minimum period may be required by DTC) together with a notice of Special Mandatory Redemption for the Trustee to deliver to each registered Holder of Senior Notes to be redeemed. At the Issuer’s request, given at least two Business Days before such notice is to be sent, the Trustee will then promptly mail, or electronically deliver, according to the procedures of DTC, such notice of Special Mandatory Redemption to each registered Holder of the Senior Notes to be redeemed. Unless the Issuer defaults in payment of the Special Mandatory Redemption Price, on and after such Special Mandatory Redemption Date, interest will cease to accrue on the Senior Notes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Notwithstanding the foregoing, installments of interest on the Senior Notes that are due and payable on Interest Payment Dates falling on or prior to the Special Mandatory Redemption Date will be payable on such Interest Payment Dates to the registered Holders as of the close of business on the relevant Record Dates in accordance with the Senior Notes and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2.9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2.10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99.722% of the aggregate principal amount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2.11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2.12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2.13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Sub-clause (b) of the first paragraph of Section 3.02 of the Indenture is hereby supplemented to add after “9.07”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First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last sentence of the third to last paragraph of Section 3.02 of the Indenture is hereby supplemented to add to the end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First Supplemental Indenture upon the occurrence of a Change of Control.”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2.14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In addition to the Events of Default set forth in Section 4.01 of the Indenture, the Senior Notes shall include the following additional Event of Default designated as clause (7) of such Section, which shall be deemed an Event of Default under Section 4.01 of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rPr>
        <w:t xml:space="preserve">(7) a failure by the Issuer to redeem the Senior Notes following the occurrence of a Special Mandatory Redemption Trigger in conformity with </w:t>
      </w:r>
      <w:r>
        <w:rPr>
          <w:rFonts w:ascii="Times New Roman;Times;Serif" w:hAnsi="Times New Roman;Times;Serif"/>
          <w:b w:val="false"/>
          <w:i w:val="false"/>
          <w:caps w:val="false"/>
          <w:smallCaps w:val="false"/>
          <w:sz w:val="20"/>
        </w:rPr>
        <w:t>Section 2.8 of the First Supplemental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First Supplemental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80"/>
        <w:gridCol w:w="342"/>
        <w:gridCol w:w="584"/>
        <w:gridCol w:w="4313"/>
      </w:tblGrid>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SKYWORKS SOLUTIONS, INC.</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U.S. BANK TRUST COMPANY, NATIONAL ASSOCIATION</w:t>
            </w:r>
            <w:r>
              <w:rPr>
                <w:rFonts w:ascii="Times New Roman;Times;Serif" w:hAnsi="Times New Roman;Times;Serif"/>
                <w:sz w:val="20"/>
              </w:rPr>
              <w:t>,</w:t>
            </w:r>
          </w:p>
        </w:tc>
      </w:tr>
      <w:tr>
        <w:trPr/>
        <w:tc>
          <w:tcPr>
            <w:tcW w:w="80" w:type="dxa"/>
            <w:tcBorders/>
            <w:vAlign w:val="center"/>
          </w:tcPr>
          <w:p>
            <w:pPr>
              <w:pStyle w:val="TableContents"/>
              <w:bidi w:val="0"/>
              <w:spacing w:before="0" w:after="283"/>
              <w:jc w:val="left"/>
              <w:rPr/>
            </w:pPr>
            <w:r>
              <w:rPr/>
              <w:t> </w:t>
            </w:r>
          </w:p>
        </w:tc>
        <w:tc>
          <w:tcPr>
            <w:tcW w:w="92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Trustee</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4313"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Note due 2028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83088MAP7</w:t>
        <w:br/>
        <w:t>ISIN No. US83088MAP77</w:t>
        <w:br/>
        <w:t>Principal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August 10, 2028.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February 10 and August 10, beginning on February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26 and July 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3624" w:type="dxa"/>
        <w:jc w:val="left"/>
        <w:tblInd w:w="0" w:type="dxa"/>
        <w:tblLayout w:type="fixed"/>
        <w:tblCellMar>
          <w:top w:w="0" w:type="dxa"/>
          <w:left w:w="0" w:type="dxa"/>
          <w:bottom w:w="0" w:type="dxa"/>
          <w:right w:w="0" w:type="dxa"/>
        </w:tblCellMar>
      </w:tblPr>
      <w:tblGrid>
        <w:gridCol w:w="80"/>
        <w:gridCol w:w="1116"/>
        <w:gridCol w:w="2082"/>
        <w:gridCol w:w="346"/>
      </w:tblGrid>
      <w:tr>
        <w:trPr/>
        <w:tc>
          <w:tcPr>
            <w:tcW w:w="80" w:type="dxa"/>
            <w:tcBorders/>
            <w:vAlign w:val="center"/>
          </w:tcPr>
          <w:p>
            <w:pPr>
              <w:pStyle w:val="TableContents"/>
              <w:bidi w:val="0"/>
              <w:spacing w:before="0" w:after="283"/>
              <w:jc w:val="left"/>
              <w:rPr/>
            </w:pPr>
            <w:r>
              <w:rPr/>
              <w:t> </w:t>
            </w:r>
          </w:p>
        </w:tc>
        <w:tc>
          <w:tcPr>
            <w:tcW w:w="3544" w:type="dxa"/>
            <w:gridSpan w:val="3"/>
            <w:tcBorders/>
            <w:vAlign w:val="center"/>
          </w:tcPr>
          <w:p>
            <w:pPr>
              <w:pStyle w:val="TableContents"/>
              <w:bidi w:val="0"/>
              <w:spacing w:before="0" w:after="283"/>
              <w:jc w:val="left"/>
              <w:rPr>
                <w:b/>
              </w:rPr>
            </w:pPr>
            <w:r>
              <w:rPr>
                <w:b/>
              </w:rPr>
              <w:t>SKYWORKS SOLUTIONS, INC.</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428"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28"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left"/>
              <w:rPr/>
            </w:pPr>
            <w:r>
              <w:rPr/>
              <w:t> </w:t>
            </w:r>
          </w:p>
        </w:tc>
        <w:tc>
          <w:tcPr>
            <w:tcW w:w="2082"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198" w:type="dxa"/>
            <w:gridSpan w:val="2"/>
            <w:tcBorders/>
            <w:vAlign w:val="center"/>
          </w:tcPr>
          <w:p>
            <w:pPr>
              <w:pStyle w:val="TableContents"/>
              <w:bidi w:val="0"/>
              <w:spacing w:before="0" w:after="283"/>
              <w:jc w:val="left"/>
              <w:rPr/>
            </w:pPr>
            <w:r>
              <w:rPr/>
              <w:t>Dated:</w:t>
            </w:r>
          </w:p>
        </w:tc>
        <w:tc>
          <w:tcPr>
            <w:tcW w:w="34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First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2429" w:type="dxa"/>
        <w:jc w:val="left"/>
        <w:tblInd w:w="0" w:type="dxa"/>
        <w:tblLayout w:type="fixed"/>
        <w:tblCellMar>
          <w:top w:w="0" w:type="dxa"/>
          <w:left w:w="0" w:type="dxa"/>
          <w:bottom w:w="0" w:type="dxa"/>
          <w:right w:w="0" w:type="dxa"/>
        </w:tblCellMar>
      </w:tblPr>
      <w:tblGrid>
        <w:gridCol w:w="80"/>
        <w:gridCol w:w="320"/>
        <w:gridCol w:w="909"/>
        <w:gridCol w:w="1120"/>
      </w:tblGrid>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2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4"/>
                <w:szCs w:val="4"/>
              </w:rPr>
            </w:pPr>
            <w:r>
              <w:rPr>
                <w:sz w:val="4"/>
                <w:szCs w:val="4"/>
              </w:rPr>
            </w:r>
          </w:p>
        </w:tc>
        <w:tc>
          <w:tcPr>
            <w:tcW w:w="2029" w:type="dxa"/>
            <w:gridSpan w:val="2"/>
            <w:tcBorders/>
            <w:vAlign w:val="center"/>
          </w:tcPr>
          <w:p>
            <w:pPr>
              <w:pStyle w:val="TableContents"/>
              <w:bidi w:val="0"/>
              <w:spacing w:before="0" w:after="283"/>
              <w:jc w:val="left"/>
              <w:rPr/>
            </w:pPr>
            <w:r>
              <w:rPr/>
              <w:t>Authorized signatory</w:t>
            </w:r>
          </w:p>
        </w:tc>
      </w:tr>
      <w:tr>
        <w:trPr/>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875"/>
        <w:gridCol w:w="1295"/>
        <w:gridCol w:w="1295"/>
        <w:gridCol w:w="1550"/>
        <w:gridCol w:w="1100"/>
      </w:tblGrid>
      <w:tr>
        <w:trPr/>
        <w:tc>
          <w:tcPr>
            <w:tcW w:w="8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 xml:space="preserve">Principal </w:t>
              <w:br/>
              <w:t xml:space="preserve">Amount of this </w:t>
              <w:br/>
              <w:t>Global Note</w:t>
            </w:r>
          </w:p>
        </w:tc>
        <w:tc>
          <w:tcPr>
            <w:tcW w:w="12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of </w:t>
              <w:br/>
              <w:t xml:space="preserve">increase in </w:t>
              <w:br/>
              <w:t>Principal</w:t>
              <w:br/>
              <w:t xml:space="preserve">Amount of this </w:t>
              <w:br/>
              <w:t>Global Note</w:t>
            </w:r>
          </w:p>
        </w:tc>
        <w:tc>
          <w:tcPr>
            <w:tcW w:w="15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amount </w:t>
              <w:br/>
              <w:t xml:space="preserve">of this Global </w:t>
              <w:br/>
              <w:t>Note following</w:t>
              <w:br/>
              <w:t>such decrease or</w:t>
              <w:br/>
              <w:t>increase</w:t>
            </w:r>
          </w:p>
        </w:tc>
        <w:tc>
          <w:tcPr>
            <w:tcW w:w="110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 xml:space="preserve">authorized </w:t>
              <w:br/>
              <w:t xml:space="preserve">signatory of </w:t>
              <w:br/>
              <w:t>Trustee</w:t>
            </w:r>
          </w:p>
        </w:tc>
      </w:tr>
      <w:tr>
        <w:trPr/>
        <w:tc>
          <w:tcPr>
            <w:tcW w:w="87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Notes due 2028</w:t>
      </w:r>
    </w:p>
    <w:p>
      <w:pPr>
        <w:pStyle w:val="TextBody"/>
        <w:bidi w:val="0"/>
        <w:spacing w:before="0" w:after="0"/>
        <w:ind w:left="0" w:right="0" w:firstLine="72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February 10 and August 10 of each year, beginning on February 10, 2027. The Record Dates for payment of interest shall be January 26 and July 26 of each year. Interest on this Senior Note shall accrue from the most recent date to which interest has been paid or duly provided for or, if no interest has been paid or duly provided for, from August 10, 2026 until the principal hereof is due.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03" w:type="dxa"/>
            <w:tcBorders/>
            <w:vAlign w:val="center"/>
          </w:tcPr>
          <w:p>
            <w:pPr>
              <w:pStyle w:val="TableContents"/>
              <w:bidi w:val="0"/>
              <w:spacing w:before="0" w:after="283"/>
              <w:jc w:val="both"/>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First Supplemental Indenture, dated as of August 10, 2026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Maturity Date of this Senior Note, the Issuer may redeem the Senior Notes at its option at any time, and from time to time, in whole or in part. If the Issuer elects to redeem the Senior Notes prior to the Maturity Date, it will pay a Redemption Price (expressed as a percentage of principal amount and rounded to three decimal places) equal to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Maturity Date) on a semi-annual basis (assuming a 360-day year consisting of twelve 30-day months) at the Treasury Rate plus 15 basis points, less (b) interest accrued to the date of redemption,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51" w:type="dxa"/>
            <w:tcBorders/>
            <w:vAlign w:val="center"/>
          </w:tcPr>
          <w:p>
            <w:pPr>
              <w:pStyle w:val="TableContents"/>
              <w:bidi w:val="0"/>
              <w:spacing w:before="0" w:after="283"/>
              <w:jc w:val="both"/>
              <w:rPr>
                <w:u w:val="single"/>
              </w:rPr>
            </w:pPr>
            <w:r>
              <w:rPr>
                <w:u w:val="single"/>
              </w:rPr>
              <w:t>Special Mandatory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required to redeem all outstanding Senior Notes upon the occurrence of a Special Mandatory Redemption Trigger, as described in Section 2.8 of the First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45"/>
        <w:gridCol w:w="9358"/>
      </w:tblGrid>
      <w:tr>
        <w:trPr/>
        <w:tc>
          <w:tcPr>
            <w:tcW w:w="1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58"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Debt Securities” in the prospectus, dated as of August 3, 2026, and to the section entitled “Description of the Notes” in the prospectus supplement, dated as of August 3, 2026; and (xii) to reflect the issuance of additional Notes as permitted by Section 2.01 and Section 2.02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strike w:val="false"/>
          <w:dstrike w:val="false"/>
          <w:u w:val="none"/>
          <w:effect w:val="none"/>
        </w:rPr>
      </w:pPr>
      <w:bookmarkStart w:id="8" w:name="tm2622643d2_ex4-3.htm"/>
      <w:bookmarkStart w:id="9" w:name="kstm2622643d2_ex43"/>
      <w:bookmarkEnd w:id="8"/>
      <w:bookmarkEnd w:id="9"/>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4.3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5.750% Senior Notes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5"/>
        <w:gridCol w:w="8824"/>
        <w:gridCol w:w="156"/>
      </w:tblGrid>
      <w:tr>
        <w:trPr/>
        <w:tc>
          <w:tcPr>
            <w:tcW w:w="10049" w:type="dxa"/>
            <w:gridSpan w:val="2"/>
            <w:tcBorders/>
            <w:vAlign w:val="center"/>
          </w:tcPr>
          <w:p>
            <w:pPr>
              <w:pStyle w:val="TableContents"/>
              <w:bidi w:val="0"/>
              <w:spacing w:before="0" w:after="283"/>
              <w:jc w:val="left"/>
              <w:rPr/>
            </w:pPr>
            <w:r>
              <w:rPr/>
              <w:t>Article I DEFINITIONS</w:t>
            </w:r>
          </w:p>
        </w:tc>
        <w:tc>
          <w:tcPr>
            <w:tcW w:w="156" w:type="dxa"/>
            <w:tcBorders/>
            <w:vAlign w:val="center"/>
          </w:tcPr>
          <w:p>
            <w:pPr>
              <w:pStyle w:val="TableContents"/>
              <w:bidi w:val="0"/>
              <w:spacing w:before="0" w:after="283"/>
              <w:jc w:val="right"/>
              <w:rPr/>
            </w:pPr>
            <w:r>
              <w:rPr/>
              <w:t>1</w:t>
            </w:r>
          </w:p>
        </w:tc>
      </w:tr>
      <w:tr>
        <w:trPr/>
        <w:tc>
          <w:tcPr>
            <w:tcW w:w="1225" w:type="dxa"/>
            <w:tcBorders/>
            <w:vAlign w:val="center"/>
          </w:tcPr>
          <w:p>
            <w:pPr>
              <w:pStyle w:val="TableContents"/>
              <w:bidi w:val="0"/>
              <w:spacing w:before="0" w:after="283"/>
              <w:jc w:val="left"/>
              <w:rPr/>
            </w:pPr>
            <w:r>
              <w:rPr/>
              <w:t>Section 1.1</w:t>
            </w:r>
          </w:p>
        </w:tc>
        <w:tc>
          <w:tcPr>
            <w:tcW w:w="8824" w:type="dxa"/>
            <w:tcBorders/>
            <w:vAlign w:val="center"/>
          </w:tcPr>
          <w:p>
            <w:pPr>
              <w:pStyle w:val="TableContents"/>
              <w:bidi w:val="0"/>
              <w:spacing w:before="0" w:after="283"/>
              <w:jc w:val="left"/>
              <w:rPr/>
            </w:pPr>
            <w:r>
              <w:rPr/>
              <w:t>Definitions</w:t>
            </w:r>
          </w:p>
        </w:tc>
        <w:tc>
          <w:tcPr>
            <w:tcW w:w="156" w:type="dxa"/>
            <w:tcBorders/>
            <w:vAlign w:val="center"/>
          </w:tcPr>
          <w:p>
            <w:pPr>
              <w:pStyle w:val="TableContents"/>
              <w:bidi w:val="0"/>
              <w:spacing w:before="0" w:after="283"/>
              <w:jc w:val="right"/>
              <w:rPr/>
            </w:pPr>
            <w:r>
              <w:rPr/>
              <w:t>1</w:t>
            </w:r>
          </w:p>
        </w:tc>
      </w:tr>
      <w:tr>
        <w:trPr/>
        <w:tc>
          <w:tcPr>
            <w:tcW w:w="10049" w:type="dxa"/>
            <w:gridSpan w:val="2"/>
            <w:tcBorders/>
            <w:vAlign w:val="center"/>
          </w:tcPr>
          <w:p>
            <w:pPr>
              <w:pStyle w:val="TableContents"/>
              <w:bidi w:val="0"/>
              <w:spacing w:before="0" w:after="283"/>
              <w:jc w:val="left"/>
              <w:rPr/>
            </w:pPr>
            <w:r>
              <w:rPr/>
              <w:t>Article II TERMS OF THE NOTES</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2.1 </w:t>
            </w:r>
          </w:p>
        </w:tc>
        <w:tc>
          <w:tcPr>
            <w:tcW w:w="8824" w:type="dxa"/>
            <w:tcBorders/>
            <w:vAlign w:val="center"/>
          </w:tcPr>
          <w:p>
            <w:pPr>
              <w:pStyle w:val="TableContents"/>
              <w:bidi w:val="0"/>
              <w:spacing w:before="0" w:after="283"/>
              <w:jc w:val="left"/>
              <w:rPr/>
            </w:pPr>
            <w:r>
              <w:rPr/>
              <w:t>Title</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2.2</w:t>
            </w:r>
          </w:p>
        </w:tc>
        <w:tc>
          <w:tcPr>
            <w:tcW w:w="8824" w:type="dxa"/>
            <w:tcBorders/>
            <w:vAlign w:val="center"/>
          </w:tcPr>
          <w:p>
            <w:pPr>
              <w:pStyle w:val="TableContents"/>
              <w:bidi w:val="0"/>
              <w:spacing w:before="0" w:after="283"/>
              <w:jc w:val="left"/>
              <w:rPr/>
            </w:pPr>
            <w:r>
              <w:rPr/>
              <w:t>Aggregate Principal Amount</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2.3</w:t>
            </w:r>
          </w:p>
        </w:tc>
        <w:tc>
          <w:tcPr>
            <w:tcW w:w="8824" w:type="dxa"/>
            <w:tcBorders/>
            <w:vAlign w:val="center"/>
          </w:tcPr>
          <w:p>
            <w:pPr>
              <w:pStyle w:val="TableContents"/>
              <w:bidi w:val="0"/>
              <w:spacing w:before="0" w:after="283"/>
              <w:jc w:val="left"/>
              <w:rPr/>
            </w:pPr>
            <w:r>
              <w:rPr/>
              <w:t>Maturity</w:t>
            </w:r>
          </w:p>
        </w:tc>
        <w:tc>
          <w:tcPr>
            <w:tcW w:w="156" w:type="dxa"/>
            <w:tcBorders/>
            <w:vAlign w:val="center"/>
          </w:tcPr>
          <w:p>
            <w:pPr>
              <w:pStyle w:val="TableContents"/>
              <w:bidi w:val="0"/>
              <w:spacing w:before="0" w:after="283"/>
              <w:jc w:val="right"/>
              <w:rPr/>
            </w:pPr>
            <w:r>
              <w:rPr/>
              <w:t>4</w:t>
            </w:r>
          </w:p>
        </w:tc>
      </w:tr>
      <w:tr>
        <w:trPr/>
        <w:tc>
          <w:tcPr>
            <w:tcW w:w="1225" w:type="dxa"/>
            <w:tcBorders/>
            <w:vAlign w:val="center"/>
          </w:tcPr>
          <w:p>
            <w:pPr>
              <w:pStyle w:val="TableContents"/>
              <w:bidi w:val="0"/>
              <w:spacing w:before="0" w:after="283"/>
              <w:jc w:val="left"/>
              <w:rPr/>
            </w:pPr>
            <w:r>
              <w:rPr/>
              <w:t>Section 2.4</w:t>
            </w:r>
          </w:p>
        </w:tc>
        <w:tc>
          <w:tcPr>
            <w:tcW w:w="8824" w:type="dxa"/>
            <w:tcBorders/>
            <w:vAlign w:val="center"/>
          </w:tcPr>
          <w:p>
            <w:pPr>
              <w:pStyle w:val="TableContents"/>
              <w:bidi w:val="0"/>
              <w:spacing w:before="0" w:after="283"/>
              <w:jc w:val="left"/>
              <w:rPr/>
            </w:pPr>
            <w:r>
              <w:rPr/>
              <w:t>Interest</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2.5 </w:t>
            </w:r>
          </w:p>
        </w:tc>
        <w:tc>
          <w:tcPr>
            <w:tcW w:w="8824" w:type="dxa"/>
            <w:tcBorders/>
            <w:vAlign w:val="center"/>
          </w:tcPr>
          <w:p>
            <w:pPr>
              <w:pStyle w:val="TableContents"/>
              <w:bidi w:val="0"/>
              <w:spacing w:before="0" w:after="283"/>
              <w:jc w:val="left"/>
              <w:rPr/>
            </w:pPr>
            <w:r>
              <w:rPr/>
              <w:t>Place of Payment</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2.6 </w:t>
            </w:r>
          </w:p>
        </w:tc>
        <w:tc>
          <w:tcPr>
            <w:tcW w:w="8824" w:type="dxa"/>
            <w:tcBorders/>
            <w:vAlign w:val="center"/>
          </w:tcPr>
          <w:p>
            <w:pPr>
              <w:pStyle w:val="TableContents"/>
              <w:bidi w:val="0"/>
              <w:spacing w:before="0" w:after="283"/>
              <w:jc w:val="left"/>
              <w:rPr/>
            </w:pPr>
            <w:r>
              <w:rPr/>
              <w:t>Optional Redemption</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2.7 </w:t>
            </w:r>
          </w:p>
        </w:tc>
        <w:tc>
          <w:tcPr>
            <w:tcW w:w="8824" w:type="dxa"/>
            <w:tcBorders/>
            <w:vAlign w:val="center"/>
          </w:tcPr>
          <w:p>
            <w:pPr>
              <w:pStyle w:val="TableContents"/>
              <w:bidi w:val="0"/>
              <w:spacing w:before="0" w:after="283"/>
              <w:jc w:val="left"/>
              <w:rPr/>
            </w:pPr>
            <w:r>
              <w:rPr/>
              <w:t>Change of Control Repurchase</w:t>
            </w:r>
          </w:p>
        </w:tc>
        <w:tc>
          <w:tcPr>
            <w:tcW w:w="156" w:type="dxa"/>
            <w:tcBorders/>
            <w:vAlign w:val="center"/>
          </w:tcPr>
          <w:p>
            <w:pPr>
              <w:pStyle w:val="TableContents"/>
              <w:bidi w:val="0"/>
              <w:spacing w:before="0" w:after="283"/>
              <w:jc w:val="right"/>
              <w:rPr/>
            </w:pPr>
            <w:r>
              <w:rPr/>
              <w:t>5</w:t>
            </w:r>
          </w:p>
        </w:tc>
      </w:tr>
      <w:tr>
        <w:trPr/>
        <w:tc>
          <w:tcPr>
            <w:tcW w:w="1225" w:type="dxa"/>
            <w:tcBorders/>
            <w:vAlign w:val="center"/>
          </w:tcPr>
          <w:p>
            <w:pPr>
              <w:pStyle w:val="TableContents"/>
              <w:bidi w:val="0"/>
              <w:spacing w:before="0" w:after="283"/>
              <w:jc w:val="left"/>
              <w:rPr/>
            </w:pPr>
            <w:r>
              <w:rPr/>
              <w:t>Section 2.8 </w:t>
            </w:r>
          </w:p>
        </w:tc>
        <w:tc>
          <w:tcPr>
            <w:tcW w:w="8824" w:type="dxa"/>
            <w:tcBorders/>
            <w:vAlign w:val="center"/>
          </w:tcPr>
          <w:p>
            <w:pPr>
              <w:pStyle w:val="TableContents"/>
              <w:bidi w:val="0"/>
              <w:spacing w:before="0" w:after="283"/>
              <w:jc w:val="left"/>
              <w:rPr/>
            </w:pPr>
            <w:r>
              <w:rPr/>
              <w:t>Issue Date</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2.9 </w:t>
            </w:r>
          </w:p>
        </w:tc>
        <w:tc>
          <w:tcPr>
            <w:tcW w:w="8824" w:type="dxa"/>
            <w:tcBorders/>
            <w:vAlign w:val="center"/>
          </w:tcPr>
          <w:p>
            <w:pPr>
              <w:pStyle w:val="TableContents"/>
              <w:bidi w:val="0"/>
              <w:spacing w:before="0" w:after="283"/>
              <w:jc w:val="left"/>
              <w:rPr/>
            </w:pPr>
            <w:r>
              <w:rPr/>
              <w:t>Issue Price</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2.10 </w:t>
            </w:r>
          </w:p>
        </w:tc>
        <w:tc>
          <w:tcPr>
            <w:tcW w:w="8824" w:type="dxa"/>
            <w:tcBorders/>
            <w:vAlign w:val="center"/>
          </w:tcPr>
          <w:p>
            <w:pPr>
              <w:pStyle w:val="TableContents"/>
              <w:bidi w:val="0"/>
              <w:spacing w:before="0" w:after="283"/>
              <w:jc w:val="left"/>
              <w:rPr/>
            </w:pPr>
            <w:r>
              <w:rPr/>
              <w:t>Definitive and Global Notes</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2.11 </w:t>
            </w:r>
          </w:p>
        </w:tc>
        <w:tc>
          <w:tcPr>
            <w:tcW w:w="8824" w:type="dxa"/>
            <w:tcBorders/>
            <w:vAlign w:val="center"/>
          </w:tcPr>
          <w:p>
            <w:pPr>
              <w:pStyle w:val="TableContents"/>
              <w:bidi w:val="0"/>
              <w:spacing w:before="0" w:after="283"/>
              <w:jc w:val="left"/>
              <w:rPr/>
            </w:pPr>
            <w:r>
              <w:rPr/>
              <w:t>Denomination</w:t>
            </w:r>
          </w:p>
        </w:tc>
        <w:tc>
          <w:tcPr>
            <w:tcW w:w="156" w:type="dxa"/>
            <w:tcBorders/>
            <w:vAlign w:val="center"/>
          </w:tcPr>
          <w:p>
            <w:pPr>
              <w:pStyle w:val="TableContents"/>
              <w:bidi w:val="0"/>
              <w:spacing w:before="0" w:after="283"/>
              <w:jc w:val="right"/>
              <w:rPr/>
            </w:pPr>
            <w:r>
              <w:rPr/>
              <w:t>7</w:t>
            </w:r>
          </w:p>
        </w:tc>
      </w:tr>
      <w:tr>
        <w:trPr/>
        <w:tc>
          <w:tcPr>
            <w:tcW w:w="1225" w:type="dxa"/>
            <w:tcBorders/>
            <w:vAlign w:val="center"/>
          </w:tcPr>
          <w:p>
            <w:pPr>
              <w:pStyle w:val="TableContents"/>
              <w:bidi w:val="0"/>
              <w:spacing w:before="0" w:after="283"/>
              <w:jc w:val="left"/>
              <w:rPr/>
            </w:pPr>
            <w:r>
              <w:rPr/>
              <w:t>Section 2.12 </w:t>
            </w:r>
          </w:p>
        </w:tc>
        <w:tc>
          <w:tcPr>
            <w:tcW w:w="8824" w:type="dxa"/>
            <w:tcBorders/>
            <w:vAlign w:val="center"/>
          </w:tcPr>
          <w:p>
            <w:pPr>
              <w:pStyle w:val="TableContents"/>
              <w:bidi w:val="0"/>
              <w:spacing w:before="0" w:after="283"/>
              <w:jc w:val="left"/>
              <w:rPr/>
            </w:pPr>
            <w:r>
              <w:rPr/>
              <w:t>Defeasance and Discharge of Covenants upon Deposit of Moneys, U.S. Government Obligations</w:t>
            </w:r>
          </w:p>
        </w:tc>
        <w:tc>
          <w:tcPr>
            <w:tcW w:w="156"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$600,000,000 aggregate principal amount of 5.750% Senior Notes due 2032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Second Supplemental Indenture shall modify the Indenture only with respect to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w:t>
      </w:r>
      <w:r>
        <w:rPr>
          <w:rFonts w:ascii="Times New Roman;Times;Serif" w:hAnsi="Times New Roman;Times;Serif"/>
          <w:b/>
          <w:i w:val="false"/>
          <w:caps/>
          <w:sz w:val="20"/>
          <w:u w:val="single"/>
        </w:rPr>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this Second Supplemental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Second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(as defined below), as amended, supplemented, amended and restated,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means the series of transactions pursuant to the Merger Agreement pursuant to which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December 10, 2031 (one month prior to the Maturity Date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means Qorvo,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means this Second Supplemental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u w:val="single"/>
              </w:rPr>
              <w:t>H.15</w:t>
            </w:r>
            <w:r>
              <w:rPr/>
              <w:t>”) under the caption “U.S. government securities–Treasury constant maturities–Nominal” (or any successor caption or heading) (“</w:t>
            </w:r>
            <w:r>
              <w:rPr>
                <w:u w:val="single"/>
              </w:rPr>
              <w:t>H.15 TCM</w:t>
            </w:r>
            <w:r>
              <w:rPr/>
              <w:t>”). In determining the Treasury Rate, the Issuer shall select, as applicable: (1) the yield for the Treasury constant maturity on H.15 exactly equal to the period from the Redemption Date to the Par Call Date (the “</w:t>
            </w:r>
            <w:r>
              <w:rPr>
                <w:u w:val="single"/>
              </w:rPr>
              <w:t>Remaining Life</w:t>
            </w:r>
            <w:r>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II</w:t>
      </w:r>
      <w:r>
        <w:rPr>
          <w:rFonts w:ascii="Times New Roman;Times;Serif" w:hAnsi="Times New Roman;Times;Serif"/>
          <w:b/>
          <w:i w:val="false"/>
          <w:caps/>
          <w:sz w:val="20"/>
          <w:u w:val="single"/>
        </w:rPr>
        <w:br/>
        <w:br/>
        <w:t>TERMS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“5.750% Senior Notes due 2032” to be issued on the date hereof and (iii) shall be in the form attached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Senior Notes that may be authenticated and delivered under this Second Supplemental Indenture shall be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January 10, 2032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5.750% per year. Interest shall accrue on the Senior Notes from the most recent Interest Payment Date to or for which interest has been paid or duly provided for (or if no interest has been paid or duly provided for, from the Issue Date of the Senior Notes), payable semiannually in arrears on January 10 and July 10 of each year, beginning on January 10, 2027. The Record Dates for payment of interest shall be December 26 and June 25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The Senior Notes shall be redeemable at any time, and from time to time, by the Issuer pursuant to the optional redemption provisions of this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25 basis points, less (b) interest accrued to the date of redemption,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 xml:space="preserve">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On the repurchase date following a Change of Control Repurchase Event, the Issuer shall, to the extent 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accept for payment all the Senior Notes or portions of the Senior Notes properly tendered (and not withdrawn) pursuant to its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             </w:t>
      </w:r>
      <w:r>
        <w:rPr>
          <w:rFonts w:ascii="Times New Roman;Times;Serif" w:hAnsi="Times New Roman;Times;Serif"/>
          <w:b w:val="false"/>
          <w:i w:val="false"/>
          <w:caps w:val="false"/>
          <w:smallCaps w:val="false"/>
          <w:sz w:val="20"/>
        </w:rPr>
        <w:t>deposit with the Paying Agent an amount equal to the aggregate purchase price in respect of all the Senior Notes or portions of the Senior Notes so accepted for payment;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(iii)            </w:t>
      </w:r>
      <w:r>
        <w:rPr>
          <w:rFonts w:ascii="Times New Roman;Times;Serif" w:hAnsi="Times New Roman;Times;Serif"/>
          <w:b w:val="false"/>
          <w:i w:val="false"/>
          <w:caps w:val="false"/>
          <w:smallCaps w:val="false"/>
          <w:sz w:val="20"/>
        </w:rPr>
        <w:t>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2.8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2.9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99.932% of the aggregate principal amount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2.10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2.11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2.12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Sub-clause (b) of the first paragraph of Section 3.02 of the Indenture is hereby supplemented to add after “9.07”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Second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last sentence of the third to last paragraph of Section 3.02 of the Indenture is hereby supplemented to add to the end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Second Supplemental Indenture upon the occurrence of a Change of Control.”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Second Supplemental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319" w:type="dxa"/>
        <w:jc w:val="left"/>
        <w:tblInd w:w="0" w:type="dxa"/>
        <w:tblLayout w:type="fixed"/>
        <w:tblCellMar>
          <w:top w:w="0" w:type="dxa"/>
          <w:left w:w="0" w:type="dxa"/>
          <w:bottom w:w="0" w:type="dxa"/>
          <w:right w:w="0" w:type="dxa"/>
        </w:tblCellMar>
      </w:tblPr>
      <w:tblGrid>
        <w:gridCol w:w="80"/>
        <w:gridCol w:w="342"/>
        <w:gridCol w:w="584"/>
        <w:gridCol w:w="4313"/>
      </w:tblGrid>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Carter</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TRUST COMPANY, NATIONAL ASSOCIATION,</w:t>
            </w:r>
            <w:r>
              <w:rPr>
                <w:rFonts w:ascii="Times New Roman;Times;Serif" w:hAnsi="Times New Roman;Times;Serif"/>
                <w:b w:val="false"/>
                <w:i w:val="false"/>
                <w:caps w:val="false"/>
                <w:smallCaps w:val="false"/>
                <w:sz w:val="20"/>
              </w:rPr>
              <w:br/>
              <w:t>as Trustee</w:t>
            </w:r>
          </w:p>
        </w:tc>
      </w:tr>
      <w:tr>
        <w:trPr/>
        <w:tc>
          <w:tcPr>
            <w:tcW w:w="80"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8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caps w:val="false"/>
                <w:smallCaps w:val="false"/>
              </w:rPr>
            </w:pPr>
            <w:r>
              <w:rPr>
                <w:caps w:val="false"/>
                <w:smallCaps w:val="false"/>
              </w:rPr>
              <w:t> </w:t>
            </w:r>
          </w:p>
        </w:tc>
        <w:tc>
          <w:tcPr>
            <w:tcW w:w="5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 due 2032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83088MAQ5</w:t>
        <w:br/>
        <w:t>ISIN No. US83088MAQ50</w:t>
        <w:br/>
        <w:t>Principal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January 10,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10 and July 10, beginning on January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December 26 and June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2889" w:type="dxa"/>
        <w:jc w:val="left"/>
        <w:tblInd w:w="0" w:type="dxa"/>
        <w:tblLayout w:type="fixed"/>
        <w:tblCellMar>
          <w:top w:w="0" w:type="dxa"/>
          <w:left w:w="0" w:type="dxa"/>
          <w:bottom w:w="0" w:type="dxa"/>
          <w:right w:w="0" w:type="dxa"/>
        </w:tblCellMar>
      </w:tblPr>
      <w:tblGrid>
        <w:gridCol w:w="80"/>
        <w:gridCol w:w="740"/>
        <w:gridCol w:w="1260"/>
        <w:gridCol w:w="809"/>
      </w:tblGrid>
      <w:tr>
        <w:trPr/>
        <w:tc>
          <w:tcPr>
            <w:tcW w:w="80" w:type="dxa"/>
            <w:tcBorders/>
            <w:vAlign w:val="center"/>
          </w:tcPr>
          <w:p>
            <w:pPr>
              <w:pStyle w:val="TableContents"/>
              <w:bidi w:val="0"/>
              <w:spacing w:before="0" w:after="283"/>
              <w:jc w:val="left"/>
              <w:rPr/>
            </w:pPr>
            <w:r>
              <w:rPr/>
              <w:t> </w:t>
            </w:r>
          </w:p>
        </w:tc>
        <w:tc>
          <w:tcPr>
            <w:tcW w:w="280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80" w:type="dxa"/>
            <w:tcBorders/>
            <w:vAlign w:val="center"/>
          </w:tcPr>
          <w:p>
            <w:pPr>
              <w:pStyle w:val="TableContents"/>
              <w:bidi w:val="0"/>
              <w:spacing w:before="0" w:after="283"/>
              <w:jc w:val="left"/>
              <w:rPr/>
            </w:pPr>
            <w:r>
              <w:rPr/>
              <w:t> </w:t>
            </w:r>
          </w:p>
        </w:tc>
        <w:tc>
          <w:tcPr>
            <w:tcW w:w="280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0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0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15" w:type="dxa"/>
        <w:jc w:val="left"/>
        <w:tblInd w:w="0" w:type="dxa"/>
        <w:tblLayout w:type="fixed"/>
        <w:tblCellMar>
          <w:top w:w="0" w:type="dxa"/>
          <w:left w:w="0" w:type="dxa"/>
          <w:bottom w:w="0" w:type="dxa"/>
          <w:right w:w="0" w:type="dxa"/>
        </w:tblCellMar>
      </w:tblPr>
      <w:tblGrid>
        <w:gridCol w:w="65"/>
        <w:gridCol w:w="650"/>
      </w:tblGrid>
      <w:tr>
        <w:trPr/>
        <w:tc>
          <w:tcPr>
            <w:tcW w:w="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5" w:type="dxa"/>
        <w:jc w:val="left"/>
        <w:tblInd w:w="0" w:type="dxa"/>
        <w:tblLayout w:type="fixed"/>
        <w:tblCellMar>
          <w:top w:w="0" w:type="dxa"/>
          <w:left w:w="0" w:type="dxa"/>
          <w:bottom w:w="0" w:type="dxa"/>
          <w:right w:w="0" w:type="dxa"/>
        </w:tblCellMar>
      </w:tblPr>
      <w:tblGrid>
        <w:gridCol w:w="95"/>
      </w:tblGrid>
      <w:tr>
        <w:trPr/>
        <w:tc>
          <w:tcPr>
            <w:tcW w:w="95" w:type="dxa"/>
            <w:tcBorders/>
            <w:vAlign w:val="center"/>
          </w:tcPr>
          <w:p>
            <w:pPr>
              <w:pStyle w:val="TableContents"/>
              <w:bidi w:val="0"/>
              <w:spacing w:before="0" w:after="283"/>
              <w:jc w:val="center"/>
              <w:rPr/>
            </w:pPr>
            <w:r>
              <w:rPr/>
              <w:t> </w:t>
            </w:r>
          </w:p>
        </w:tc>
      </w:tr>
    </w:tbl>
    <w:tbl>
      <w:tblPr>
        <w:tblW w:w="95" w:type="dxa"/>
        <w:jc w:val="left"/>
        <w:tblInd w:w="0" w:type="dxa"/>
        <w:tblLayout w:type="fixed"/>
        <w:tblCellMar>
          <w:top w:w="0" w:type="dxa"/>
          <w:left w:w="0" w:type="dxa"/>
          <w:bottom w:w="0" w:type="dxa"/>
          <w:right w:w="0" w:type="dxa"/>
        </w:tblCellMar>
      </w:tblPr>
      <w:tblGrid>
        <w:gridCol w:w="95"/>
      </w:tblGrid>
      <w:tr>
        <w:trPr/>
        <w:tc>
          <w:tcPr>
            <w:tcW w:w="9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Second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2445" w:type="dxa"/>
        <w:jc w:val="left"/>
        <w:tblInd w:w="0" w:type="dxa"/>
        <w:tblLayout w:type="fixed"/>
        <w:tblCellMar>
          <w:top w:w="0" w:type="dxa"/>
          <w:left w:w="0" w:type="dxa"/>
          <w:bottom w:w="0" w:type="dxa"/>
          <w:right w:w="0" w:type="dxa"/>
        </w:tblCellMar>
      </w:tblPr>
      <w:tblGrid>
        <w:gridCol w:w="65"/>
        <w:gridCol w:w="365"/>
        <w:gridCol w:w="2015"/>
      </w:tblGrid>
      <w:tr>
        <w:trPr/>
        <w:tc>
          <w:tcPr>
            <w:tcW w:w="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0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875"/>
        <w:gridCol w:w="65"/>
        <w:gridCol w:w="1250"/>
        <w:gridCol w:w="65"/>
        <w:gridCol w:w="1250"/>
        <w:gridCol w:w="65"/>
        <w:gridCol w:w="1505"/>
        <w:gridCol w:w="65"/>
        <w:gridCol w:w="1115"/>
      </w:tblGrid>
      <w:tr>
        <w:trPr/>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w:t>
              <w:br/>
              <w:t>Amount of this</w:t>
              <w:br/>
              <w:t>Global Note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 xml:space="preserve">increase in </w:t>
              <w:br/>
              <w:t>Principal</w:t>
              <w:br/>
              <w:t>Amount of this</w:t>
              <w:br/>
              <w:t>Global Note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Global</w:t>
              <w:br/>
              <w:t xml:space="preserve">Note following </w:t>
              <w:br/>
              <w:t>such decrease or</w:t>
              <w:br/>
              <w:t>increase</w:t>
            </w:r>
          </w:p>
        </w:tc>
        <w:tc>
          <w:tcPr>
            <w:tcW w:w="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of </w:t>
              <w:br/>
              <w:t>authorized</w:t>
              <w:br/>
              <w:t xml:space="preserve">signatory of </w:t>
              <w:br/>
              <w:t>Trustee</w:t>
            </w:r>
          </w:p>
        </w:tc>
      </w:tr>
      <w:tr>
        <w:trPr/>
        <w:tc>
          <w:tcPr>
            <w:tcW w:w="87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5.750% Senior Notes due 2032</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January 10 and July 10 of each year, beginning on January 10, 2027. The Record Dates for payment of interest shall be December 26 and June 25 of each year. Interest on this Senior Note shall accrue from the most recent date to which interest has been paid or duly provided for or, if no interest has been paid or duly provided for, from August 10, 2026 until the principal hereof is due.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03" w:type="dxa"/>
            <w:tcBorders/>
            <w:vAlign w:val="center"/>
          </w:tcPr>
          <w:p>
            <w:pPr>
              <w:pStyle w:val="TableContents"/>
              <w:bidi w:val="0"/>
              <w:spacing w:before="0" w:after="283"/>
              <w:jc w:val="both"/>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Second Supplemental Indenture, dated as of August 10, 2026 (the “</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December 10, 2031 (one month prior to the Maturity Date of this Senior Note)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25 basis points, less (b) interest accrued to the date of redemption,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4"/>
        <w:gridCol w:w="9626"/>
      </w:tblGrid>
      <w:tr>
        <w:trPr/>
        <w:tc>
          <w:tcPr>
            <w:tcW w:w="1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626"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Debt Securities” in the prospectus, dated as of August 3, 2026, and to the section entitled “Description of the Notes” in the prospectus supplement, dated as of August 3, 2026; and (xii) to reflect the issuance of additional Notes as permitted by Section 2.01 and Section 2.02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strike w:val="false"/>
          <w:dstrike w:val="false"/>
          <w:u w:val="none"/>
          <w:effect w:val="none"/>
        </w:rPr>
      </w:pPr>
      <w:bookmarkStart w:id="10" w:name="tm2622643d2_ex4-4.htm"/>
      <w:bookmarkStart w:id="11" w:name="kstm2622643d2_ex44"/>
      <w:bookmarkEnd w:id="10"/>
      <w:bookmarkEnd w:id="11"/>
      <w:r>
        <w:rPr>
          <w:caps w:val="false"/>
          <w:smallCaps w:val="false"/>
          <w:strike w:val="false"/>
          <w:dstrike w:val="false"/>
          <w:u w:val="none"/>
          <w:effect w:val="non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Exhibit 4.4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05"/>
        <w:gridCol w:w="8770"/>
        <w:gridCol w:w="155"/>
      </w:tblGrid>
      <w:tr>
        <w:trPr/>
        <w:tc>
          <w:tcPr>
            <w:tcW w:w="10050" w:type="dxa"/>
            <w:gridSpan w:val="3"/>
            <w:tcBorders/>
            <w:vAlign w:val="center"/>
          </w:tcPr>
          <w:p>
            <w:pPr>
              <w:pStyle w:val="TableContents"/>
              <w:bidi w:val="0"/>
              <w:spacing w:before="0" w:after="283"/>
              <w:jc w:val="left"/>
              <w:rPr/>
            </w:pPr>
            <w:r>
              <w:rPr/>
              <w:t>Article I DEFINITIONS</w:t>
            </w:r>
          </w:p>
        </w:tc>
        <w:tc>
          <w:tcPr>
            <w:tcW w:w="155" w:type="dxa"/>
            <w:tcBorders/>
            <w:vAlign w:val="center"/>
          </w:tcPr>
          <w:p>
            <w:pPr>
              <w:pStyle w:val="TableContents"/>
              <w:bidi w:val="0"/>
              <w:spacing w:before="0" w:after="283"/>
              <w:jc w:val="right"/>
              <w:rPr/>
            </w:pPr>
            <w:r>
              <w:rPr/>
              <w:t>1</w:t>
            </w:r>
          </w:p>
        </w:tc>
      </w:tr>
      <w:tr>
        <w:trPr/>
        <w:tc>
          <w:tcPr>
            <w:tcW w:w="10050" w:type="dxa"/>
            <w:gridSpan w:val="3"/>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1.1</w:t>
            </w:r>
          </w:p>
        </w:tc>
        <w:tc>
          <w:tcPr>
            <w:tcW w:w="8770" w:type="dxa"/>
            <w:tcBorders/>
            <w:vAlign w:val="center"/>
          </w:tcPr>
          <w:p>
            <w:pPr>
              <w:pStyle w:val="TableContents"/>
              <w:bidi w:val="0"/>
              <w:spacing w:before="0" w:after="283"/>
              <w:jc w:val="left"/>
              <w:rPr/>
            </w:pPr>
            <w:r>
              <w:rPr/>
              <w:t>Definitions</w:t>
            </w:r>
          </w:p>
        </w:tc>
        <w:tc>
          <w:tcPr>
            <w:tcW w:w="155" w:type="dxa"/>
            <w:tcBorders/>
            <w:vAlign w:val="center"/>
          </w:tcPr>
          <w:p>
            <w:pPr>
              <w:pStyle w:val="TableContents"/>
              <w:bidi w:val="0"/>
              <w:spacing w:before="0" w:after="283"/>
              <w:jc w:val="right"/>
              <w:rPr/>
            </w:pPr>
            <w:r>
              <w:rPr/>
              <w:t>1</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10050" w:type="dxa"/>
            <w:gridSpan w:val="3"/>
            <w:tcBorders/>
            <w:vAlign w:val="center"/>
          </w:tcPr>
          <w:p>
            <w:pPr>
              <w:pStyle w:val="TableContents"/>
              <w:bidi w:val="0"/>
              <w:spacing w:before="0" w:after="283"/>
              <w:jc w:val="left"/>
              <w:rPr/>
            </w:pPr>
            <w:r>
              <w:rPr/>
              <w:t>Article II TERMS OF THE NOTES</w:t>
            </w:r>
          </w:p>
        </w:tc>
        <w:tc>
          <w:tcPr>
            <w:tcW w:w="155" w:type="dxa"/>
            <w:tcBorders/>
            <w:vAlign w:val="center"/>
          </w:tcPr>
          <w:p>
            <w:pPr>
              <w:pStyle w:val="TableContents"/>
              <w:bidi w:val="0"/>
              <w:spacing w:before="0" w:after="283"/>
              <w:jc w:val="right"/>
              <w:rPr/>
            </w:pPr>
            <w:r>
              <w:rPr/>
              <w:t>5</w:t>
            </w:r>
          </w:p>
        </w:tc>
      </w:tr>
      <w:tr>
        <w:trPr/>
        <w:tc>
          <w:tcPr>
            <w:tcW w:w="10050" w:type="dxa"/>
            <w:gridSpan w:val="3"/>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w:t>
            </w:r>
          </w:p>
        </w:tc>
        <w:tc>
          <w:tcPr>
            <w:tcW w:w="8770" w:type="dxa"/>
            <w:tcBorders/>
            <w:vAlign w:val="center"/>
          </w:tcPr>
          <w:p>
            <w:pPr>
              <w:pStyle w:val="TableContents"/>
              <w:bidi w:val="0"/>
              <w:spacing w:before="0" w:after="283"/>
              <w:jc w:val="left"/>
              <w:rPr/>
            </w:pPr>
            <w:r>
              <w:rPr/>
              <w:t>Title</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2.2</w:t>
            </w:r>
          </w:p>
        </w:tc>
        <w:tc>
          <w:tcPr>
            <w:tcW w:w="8770" w:type="dxa"/>
            <w:tcBorders/>
            <w:vAlign w:val="center"/>
          </w:tcPr>
          <w:p>
            <w:pPr>
              <w:pStyle w:val="TableContents"/>
              <w:bidi w:val="0"/>
              <w:spacing w:before="0" w:after="283"/>
              <w:jc w:val="left"/>
              <w:rPr/>
            </w:pPr>
            <w:r>
              <w:rPr/>
              <w:t>Aggregate Principal Amount</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2.3</w:t>
            </w:r>
          </w:p>
        </w:tc>
        <w:tc>
          <w:tcPr>
            <w:tcW w:w="8770" w:type="dxa"/>
            <w:tcBorders/>
            <w:vAlign w:val="center"/>
          </w:tcPr>
          <w:p>
            <w:pPr>
              <w:pStyle w:val="TableContents"/>
              <w:bidi w:val="0"/>
              <w:spacing w:before="0" w:after="283"/>
              <w:jc w:val="left"/>
              <w:rPr/>
            </w:pPr>
            <w:r>
              <w:rPr/>
              <w:t>Maturity</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2.4</w:t>
            </w:r>
          </w:p>
        </w:tc>
        <w:tc>
          <w:tcPr>
            <w:tcW w:w="8770" w:type="dxa"/>
            <w:tcBorders/>
            <w:vAlign w:val="center"/>
          </w:tcPr>
          <w:p>
            <w:pPr>
              <w:pStyle w:val="TableContents"/>
              <w:bidi w:val="0"/>
              <w:spacing w:before="0" w:after="283"/>
              <w:jc w:val="left"/>
              <w:rPr/>
            </w:pPr>
            <w:r>
              <w:rPr/>
              <w:t>Interest</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2.5</w:t>
            </w:r>
          </w:p>
        </w:tc>
        <w:tc>
          <w:tcPr>
            <w:tcW w:w="8770" w:type="dxa"/>
            <w:tcBorders/>
            <w:vAlign w:val="center"/>
          </w:tcPr>
          <w:p>
            <w:pPr>
              <w:pStyle w:val="TableContents"/>
              <w:bidi w:val="0"/>
              <w:spacing w:before="0" w:after="283"/>
              <w:jc w:val="left"/>
              <w:rPr/>
            </w:pPr>
            <w:r>
              <w:rPr/>
              <w:t>Place of Payment</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2.6</w:t>
            </w:r>
          </w:p>
        </w:tc>
        <w:tc>
          <w:tcPr>
            <w:tcW w:w="8770" w:type="dxa"/>
            <w:tcBorders/>
            <w:vAlign w:val="center"/>
          </w:tcPr>
          <w:p>
            <w:pPr>
              <w:pStyle w:val="TableContents"/>
              <w:bidi w:val="0"/>
              <w:spacing w:before="0" w:after="283"/>
              <w:jc w:val="left"/>
              <w:rPr/>
            </w:pPr>
            <w:r>
              <w:rPr/>
              <w:t>Optional Redemption</w:t>
            </w:r>
          </w:p>
        </w:tc>
        <w:tc>
          <w:tcPr>
            <w:tcW w:w="155" w:type="dxa"/>
            <w:tcBorders/>
            <w:vAlign w:val="center"/>
          </w:tcPr>
          <w:p>
            <w:pPr>
              <w:pStyle w:val="TableContents"/>
              <w:bidi w:val="0"/>
              <w:spacing w:before="0" w:after="283"/>
              <w:jc w:val="right"/>
              <w:rPr/>
            </w:pPr>
            <w:r>
              <w:rPr/>
              <w:t>5</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2.7</w:t>
            </w:r>
          </w:p>
        </w:tc>
        <w:tc>
          <w:tcPr>
            <w:tcW w:w="8770" w:type="dxa"/>
            <w:tcBorders/>
            <w:vAlign w:val="center"/>
          </w:tcPr>
          <w:p>
            <w:pPr>
              <w:pStyle w:val="TableContents"/>
              <w:bidi w:val="0"/>
              <w:spacing w:before="0" w:after="283"/>
              <w:jc w:val="left"/>
              <w:rPr/>
            </w:pPr>
            <w:r>
              <w:rPr/>
              <w:t>Change of Control Repurchase</w:t>
            </w:r>
          </w:p>
        </w:tc>
        <w:tc>
          <w:tcPr>
            <w:tcW w:w="155" w:type="dxa"/>
            <w:tcBorders/>
            <w:vAlign w:val="center"/>
          </w:tcPr>
          <w:p>
            <w:pPr>
              <w:pStyle w:val="TableContents"/>
              <w:bidi w:val="0"/>
              <w:spacing w:before="0" w:after="283"/>
              <w:jc w:val="right"/>
              <w:rPr/>
            </w:pPr>
            <w:r>
              <w:rPr/>
              <w:t>6</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2.8</w:t>
            </w:r>
          </w:p>
        </w:tc>
        <w:tc>
          <w:tcPr>
            <w:tcW w:w="8770" w:type="dxa"/>
            <w:tcBorders/>
            <w:vAlign w:val="center"/>
          </w:tcPr>
          <w:p>
            <w:pPr>
              <w:pStyle w:val="TableContents"/>
              <w:bidi w:val="0"/>
              <w:spacing w:before="0" w:after="283"/>
              <w:jc w:val="left"/>
              <w:rPr/>
            </w:pPr>
            <w:r>
              <w:rPr/>
              <w:t>Special Mandatory Redemption</w:t>
            </w:r>
          </w:p>
        </w:tc>
        <w:tc>
          <w:tcPr>
            <w:tcW w:w="155" w:type="dxa"/>
            <w:tcBorders/>
            <w:vAlign w:val="center"/>
          </w:tcPr>
          <w:p>
            <w:pPr>
              <w:pStyle w:val="TableContents"/>
              <w:bidi w:val="0"/>
              <w:spacing w:before="0" w:after="283"/>
              <w:jc w:val="right"/>
              <w:rPr/>
            </w:pPr>
            <w:r>
              <w:rPr/>
              <w:t>7</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2.9</w:t>
            </w:r>
          </w:p>
        </w:tc>
        <w:tc>
          <w:tcPr>
            <w:tcW w:w="8770" w:type="dxa"/>
            <w:tcBorders/>
            <w:vAlign w:val="center"/>
          </w:tcPr>
          <w:p>
            <w:pPr>
              <w:pStyle w:val="TableContents"/>
              <w:bidi w:val="0"/>
              <w:spacing w:before="0" w:after="283"/>
              <w:jc w:val="left"/>
              <w:rPr/>
            </w:pPr>
            <w:r>
              <w:rPr/>
              <w:t>Issue Date</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2.10</w:t>
            </w:r>
          </w:p>
        </w:tc>
        <w:tc>
          <w:tcPr>
            <w:tcW w:w="8770" w:type="dxa"/>
            <w:tcBorders/>
            <w:vAlign w:val="center"/>
          </w:tcPr>
          <w:p>
            <w:pPr>
              <w:pStyle w:val="TableContents"/>
              <w:bidi w:val="0"/>
              <w:spacing w:before="0" w:after="283"/>
              <w:jc w:val="left"/>
              <w:rPr/>
            </w:pPr>
            <w:r>
              <w:rPr/>
              <w:t>Issue Price</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2.11</w:t>
            </w:r>
          </w:p>
        </w:tc>
        <w:tc>
          <w:tcPr>
            <w:tcW w:w="8770" w:type="dxa"/>
            <w:tcBorders/>
            <w:vAlign w:val="center"/>
          </w:tcPr>
          <w:p>
            <w:pPr>
              <w:pStyle w:val="TableContents"/>
              <w:bidi w:val="0"/>
              <w:spacing w:before="0" w:after="283"/>
              <w:jc w:val="left"/>
              <w:rPr/>
            </w:pPr>
            <w:r>
              <w:rPr/>
              <w:t>Definitive and Global Notes</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2.12</w:t>
            </w:r>
          </w:p>
        </w:tc>
        <w:tc>
          <w:tcPr>
            <w:tcW w:w="8770" w:type="dxa"/>
            <w:tcBorders/>
            <w:vAlign w:val="center"/>
          </w:tcPr>
          <w:p>
            <w:pPr>
              <w:pStyle w:val="TableContents"/>
              <w:bidi w:val="0"/>
              <w:spacing w:before="0" w:after="283"/>
              <w:jc w:val="left"/>
              <w:rPr/>
            </w:pPr>
            <w:r>
              <w:rPr/>
              <w:t>Denomination</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2.13</w:t>
            </w:r>
          </w:p>
        </w:tc>
        <w:tc>
          <w:tcPr>
            <w:tcW w:w="8770" w:type="dxa"/>
            <w:tcBorders/>
            <w:vAlign w:val="center"/>
          </w:tcPr>
          <w:p>
            <w:pPr>
              <w:pStyle w:val="TableContents"/>
              <w:bidi w:val="0"/>
              <w:spacing w:before="0" w:after="283"/>
              <w:jc w:val="left"/>
              <w:rPr/>
            </w:pPr>
            <w:r>
              <w:rPr/>
              <w:t>Defeasance and Discharge of Covenants upon Deposit of Moneys, U.S. Government Obligations</w:t>
            </w:r>
          </w:p>
        </w:tc>
        <w:tc>
          <w:tcPr>
            <w:tcW w:w="155" w:type="dxa"/>
            <w:tcBorders/>
            <w:vAlign w:val="center"/>
          </w:tcPr>
          <w:p>
            <w:pPr>
              <w:pStyle w:val="TableContents"/>
              <w:bidi w:val="0"/>
              <w:spacing w:before="0" w:after="283"/>
              <w:jc w:val="right"/>
              <w:rPr/>
            </w:pPr>
            <w:r>
              <w:rPr/>
              <w:t>8</w:t>
            </w:r>
          </w:p>
        </w:tc>
      </w:tr>
      <w:tr>
        <w:trPr/>
        <w:tc>
          <w:tcPr>
            <w:tcW w:w="7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Section 2.14</w:t>
            </w:r>
          </w:p>
        </w:tc>
        <w:tc>
          <w:tcPr>
            <w:tcW w:w="8770" w:type="dxa"/>
            <w:tcBorders/>
            <w:vAlign w:val="center"/>
          </w:tcPr>
          <w:p>
            <w:pPr>
              <w:pStyle w:val="TableContents"/>
              <w:bidi w:val="0"/>
              <w:spacing w:before="0" w:after="283"/>
              <w:jc w:val="left"/>
              <w:rPr/>
            </w:pPr>
            <w:r>
              <w:rPr/>
              <w:t>Events of Default</w:t>
            </w:r>
          </w:p>
        </w:tc>
        <w:tc>
          <w:tcPr>
            <w:tcW w:w="155" w:type="dxa"/>
            <w:tcBorders/>
            <w:vAlign w:val="center"/>
          </w:tcPr>
          <w:p>
            <w:pPr>
              <w:pStyle w:val="TableContents"/>
              <w:bidi w:val="0"/>
              <w:spacing w:before="0" w:after="283"/>
              <w:jc w:val="right"/>
              <w:rPr/>
            </w:pPr>
            <w:r>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SUPPLEMENTAL INDENTURE, between Skyworks Solutions, Inc., a Delaware corporation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having its principal office at 5260 California Avenue, Irvine, California 92617, and U.S. Bank Trust Company,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is made and entered into as of this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and the Trustee executed and delivered an Indenture dated as of August 10,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to provide for the issuance by the Issuer from time to time of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capitalized terms used herein, not otherwise defined, shall have the same meanings given them in the Indenture, as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authorized the issuance of up to $600,000,000 aggregate principal amount of 6.250% Senior Notes due 2036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desires to establish the terms of the Senior Notes in accordance with Section 2.01 of the Indenture;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Third Supplemental Indenture shall modify the Indenture only with respect to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mutually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w:t>
      </w:r>
      <w:r>
        <w:rPr>
          <w:rFonts w:ascii="Times New Roman;Times;Serif" w:hAnsi="Times New Roman;Times;Serif"/>
          <w:b/>
          <w:i w:val="false"/>
          <w:caps/>
          <w:sz w:val="20"/>
          <w:u w:val="single"/>
        </w:rPr>
        <w:br/>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For all purposes of this Third Supplemental Indenture, except as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Repurchase Event</w:t>
      </w:r>
      <w:r>
        <w:rPr>
          <w:rFonts w:ascii="Times New Roman;Times;Serif" w:hAnsi="Times New Roman;Times;Serif"/>
          <w:b w:val="false"/>
          <w:i w:val="false"/>
          <w:caps w:val="false"/>
          <w:smallCaps w:val="false"/>
          <w:sz w:val="20"/>
        </w:rPr>
        <w:t>” means the occurrence of both a Change of Control and a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in the contiguous United States at which at any particular time this Third Supplemental Indenture shall be principally administered, which office at the date hereof is located at U.S. Bank Trust Company, National Association, 633 West Fifth Street, 24th Floor, Los Angeles, CA 90071, Attn. B. Scarbrough (Skyworks 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w:t>
      </w:r>
      <w:r>
        <w:rPr>
          <w:rFonts w:ascii="Times New Roman;Times;Serif" w:hAnsi="Times New Roman;Times;Serif"/>
          <w:b w:val="false"/>
          <w:i w:val="false"/>
          <w:caps w:val="false"/>
          <w:smallCaps w:val="false"/>
          <w:sz w:val="20"/>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has the meaning set forth in Section 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27, 2025, by and among the Issuer, Comet Acquisition Corp., a Delaware corporation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Comet Acquisition II, LLC, a Delaware limited liability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Qorvo (as defined below), as amended, supplemented, amended and restated,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means the series of transactions pursuant to the Merger Agreement pursuant to which (i) Merger Sub I will be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and (ii) immediately following the First Merger, and as the second step in a single integrated transaction with the First Merger, Qorvo will be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as the surviving entity in the Second Merger and a wholly owned subsidiary of the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May 10, 2036 (three months prior to the Maturity Date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means Qorvo,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Ratings Event</w:t>
      </w:r>
      <w:r>
        <w:rPr>
          <w:rFonts w:ascii="Times New Roman;Times;Serif" w:hAnsi="Times New Roman;Times;Serif"/>
          <w:b w:val="false"/>
          <w:i w:val="false"/>
          <w:caps w:val="false"/>
          <w:smallCaps w:val="false"/>
          <w:sz w:val="20"/>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means any date as of which the Holder of a Senior Note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has the meaning assigned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Group, Inc., or any successor to the rating agency business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has the meaning assigned in Section 2.8(b).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has the meaning assigned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means this Third Supplemental Indenture,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the yield determined by the Issuer in accordance with the following two paragraphs: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u w:val="single"/>
              </w:rPr>
              <w:t>H.15</w:t>
            </w:r>
            <w:r>
              <w:rPr/>
              <w:t>”) under the caption “U.S. government securities–Treasury constant maturities–Nominal” (or any successor caption or heading) (“</w:t>
            </w:r>
            <w:r>
              <w:rPr>
                <w:u w:val="single"/>
              </w:rPr>
              <w:t>H.15 TCM</w:t>
            </w:r>
            <w:r>
              <w:rPr/>
              <w:t>”). In determining the Treasury Rate, the Issuer shall select, as applicable: (1) the yield for the Treasury constant maturity on H.15 exactly equal to the period from the Redemption Date to the Par Call Date (the “</w:t>
            </w:r>
            <w:r>
              <w:rPr>
                <w:u w:val="single"/>
              </w:rPr>
              <w:t>Remaining Life</w:t>
            </w:r>
            <w:r>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any specified Person as of any date means the capital stock of such Person that is at the time entitled to vote generally in the election of the board of directors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color w:val="000000"/>
          <w:sz w:val="20"/>
        </w:rPr>
        <w:t>Article II</w:t>
      </w:r>
      <w:r>
        <w:rPr>
          <w:rFonts w:ascii="Times New Roman;Times;Serif" w:hAnsi="Times New Roman;Times;Serif"/>
          <w:b/>
          <w:i w:val="false"/>
          <w:caps/>
          <w:sz w:val="20"/>
          <w:u w:val="single"/>
        </w:rPr>
        <w:br/>
        <w:br/>
        <w:t>TERMS OF 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The Senior Notes (i) are hereby established under the Indenture, (ii) shall constitute a series of Notes having the title “6.250% Senior Notes due 2036” to be issued on the date hereof and (iii) shall be in the form attached as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2.2           </w:t>
      </w:r>
      <w:r>
        <w:rPr>
          <w:rFonts w:ascii="Times New Roman;Times;Serif" w:hAnsi="Times New Roman;Times;Serif"/>
          <w:b w:val="false"/>
          <w:i w:val="false"/>
          <w:caps w:val="false"/>
          <w:smallCaps w:val="false"/>
          <w:sz w:val="20"/>
          <w:u w:val="single"/>
        </w:rPr>
        <w:t>Aggregate Principal Amount</w:t>
      </w:r>
      <w:r>
        <w:rPr>
          <w:rFonts w:ascii="Times New Roman;Times;Serif" w:hAnsi="Times New Roman;Times;Serif"/>
          <w:b w:val="false"/>
          <w:i w:val="false"/>
          <w:caps w:val="false"/>
          <w:smallCaps w:val="false"/>
          <w:sz w:val="20"/>
        </w:rPr>
        <w:t>. The aggregate principal amount of the Senior Notes that may be authenticated and delivered under this Third Supplemental Indenture shall be unlimited.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2.3           </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The entire outstanding principal amount of the Senior Notes shall be payable on August 10, 2036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The Senior Notes shall accrue interest at a rate of 6.250% per year. Interest shall accrue on the Senior Notes from the most recent Interest Payment Date to or for which interest has been paid or duly provided for (or if no interest has been paid or duly provided for, from the Issue Date of the Senior Notes), payable semiannually in arrears on February 10 and August 10 of each year, beginning on February 10, 2027. The Record Dates for payment of interest shall be January 26 and July 26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2.5            </w:t>
      </w:r>
      <w:r>
        <w:rPr>
          <w:rFonts w:ascii="Times New Roman;Times;Serif" w:hAnsi="Times New Roman;Times;Serif"/>
          <w:b w:val="false"/>
          <w:i w:val="false"/>
          <w:caps w:val="false"/>
          <w:smallCaps w:val="false"/>
          <w:sz w:val="20"/>
          <w:u w:val="single"/>
        </w:rPr>
        <w:t>Place of Payment</w:t>
      </w:r>
      <w:r>
        <w:rPr>
          <w:rFonts w:ascii="Times New Roman;Times;Serif" w:hAnsi="Times New Roman;Times;Serif"/>
          <w:b w:val="false"/>
          <w:i w:val="false"/>
          <w:caps w:val="false"/>
          <w:smallCaps w:val="false"/>
          <w:sz w:val="20"/>
        </w:rPr>
        <w:t>. The place where the principal of (and premium, if any) and interest, if any, with respect to the Senior Notes shall be payable shall be the Corporate Trust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2.6           </w:t>
      </w:r>
      <w:r>
        <w:rPr>
          <w:rFonts w:ascii="Times New Roman;Times;Serif" w:hAnsi="Times New Roman;Times;Serif"/>
          <w:b w:val="false"/>
          <w:i w:val="false"/>
          <w:caps w:val="false"/>
          <w:smallCaps w:val="false"/>
          <w:sz w:val="20"/>
          <w:u w:val="single"/>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Senior Notes shall be redeemable at any time, and from time to time, by the Issuer pursuant to the optional redemption provisions of this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w:t>
      </w:r>
      <w:r>
        <w:rPr>
          <w:rFonts w:ascii="Times New Roman;Times;Serif" w:hAnsi="Times New Roman;Times;Serif"/>
          <w:b w:val="false"/>
          <w:i w:val="false"/>
          <w:caps w:val="false"/>
          <w:smallCaps w:val="false"/>
          <w:sz w:val="20"/>
        </w:rPr>
        <w:t>30 basis points, less (b) interest accrued to the date of redemption,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pursuant to this Section 2.6(b) shall be made pursuant to the provisions of Section 2.01(1)(v)(f) and Article X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2.7           </w:t>
      </w:r>
      <w:r>
        <w:rPr>
          <w:rFonts w:ascii="Times New Roman;Times;Serif" w:hAnsi="Times New Roman;Times;Serif"/>
          <w:b w:val="false"/>
          <w:i w:val="false"/>
          <w:caps w:val="false"/>
          <w:smallCaps w:val="false"/>
          <w:sz w:val="20"/>
          <w:u w:val="single"/>
        </w:rPr>
        <w:t>Change of Control Repurchase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 xml:space="preserve">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any accrued and unpaid interest on the Senior Notes repurchased to, but not including, the date of repurchase.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sz w:val="20"/>
        </w:rPr>
        <w:t>On the repurchase date following a Change of Control Repurchase Event, the Issuer shall, to the extent lawful: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sz w:val="20"/>
        </w:rPr>
        <w:t>accept for payment all the Senior Notes or portions of the Senior Notes properly tendered (and not withdrawn) pursuant to its offer;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          </w:t>
      </w:r>
      <w:r>
        <w:rPr>
          <w:rFonts w:ascii="Times New Roman;Times;Serif" w:hAnsi="Times New Roman;Times;Serif"/>
          <w:b w:val="false"/>
          <w:i w:val="false"/>
          <w:caps w:val="false"/>
          <w:smallCaps w:val="false"/>
          <w:sz w:val="20"/>
        </w:rPr>
        <w:t>deposit with the Paying Agent an amount equal to the aggregate purchase price in respect of all the Senior Notes or portions of the Senior Notes so accepted for payment;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(iii)         </w:t>
      </w:r>
      <w:r>
        <w:rPr>
          <w:rFonts w:ascii="Times New Roman;Times;Serif" w:hAnsi="Times New Roman;Times;Serif"/>
          <w:b w:val="false"/>
          <w:i w:val="false"/>
          <w:caps w:val="false"/>
          <w:smallCaps w:val="false"/>
          <w:sz w:val="20"/>
        </w:rPr>
        <w:t>deliver or cause to be delivered to the Trustee the Senior Notes properly accepted, together with an Officer’s Certificate stating the aggregate principal amount of Senior Notes being purchased by the Issuer.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sz w:val="20"/>
        </w:rPr>
        <w:t>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sz w:val="20"/>
        </w:rPr>
        <w:t>Should the Issuer choose to exercise its rights under Section 3.01 or 3.02 of the Indenture, it shall no longer be obligated to make an offer to repurchase the Senior Notes following a Change of Control Repurchase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2.8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If  (i) the consummation of the Mergers does not occur on or before 11:59 p.m. Pacific Time on November 3, 2027, (ii) the Issuer notifies the Trustee and the Holders of the Senior Notes that the Issuer will not pursue the consummation of the Mergers or (iii) the Merger Agreement has been terminated without the consummation of the Mergers (any event described in clause (i), (ii) or (iii), a “</w:t>
      </w:r>
      <w:r>
        <w:rPr>
          <w:rFonts w:ascii="Times New Roman;Times;Serif" w:hAnsi="Times New Roman;Times;Serif"/>
          <w:b w:val="false"/>
          <w:i w:val="false"/>
          <w:caps w:val="false"/>
          <w:smallCaps w:val="false"/>
          <w:sz w:val="20"/>
          <w:u w:val="single"/>
        </w:rPr>
        <w:t>Special Mandatory Redemption Trigger</w:t>
      </w:r>
      <w:r>
        <w:rPr>
          <w:rFonts w:ascii="Times New Roman;Times;Serif" w:hAnsi="Times New Roman;Times;Serif"/>
          <w:b w:val="false"/>
          <w:i w:val="false"/>
          <w:caps w:val="false"/>
          <w:smallCaps w:val="false"/>
          <w:sz w:val="20"/>
        </w:rPr>
        <w:t>”), the Issuer will be required to redeem the Senior Notes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on the Special Mandatory Redemption Date at a redemption price equal to 101% of the aggregate principal amount of the Senior Notes, plus accrued and unpaid interest, if any, to, but not including,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In the event that the Issuer becomes obligated to redeem the Senior Notes pursuant to this Section 2.8, the Issuer will promptly, and in any event not more than ten Business Days after the date on which a Special Mandatory Redemption Trigger occurred, deliver notice to the Trustee and the Holders of the Senior Notes of the Special Mandatory Redemption and the date upon which the Senior Notes will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date shall be no earlier than five days and no later than thirty days following the date of such notice, unless some longer minimum period may be required by DTC) together with a notice of Special Mandatory Redemption for the Trustee to deliver to each registered Holder of Senior Notes to be redeemed. At the Issuer’s request, given at least two Business Days before such notice is to be sent, the Trustee will then promptly mail, or electronically deliver, according to the procedures of DTC, such notice of Special Mandatory Redemption to each registered Holder of the Senior Notes to be redeemed. Unless the Issuer defaults in payment of the Special Mandatory Redemption Price, on and after such Special Mandatory Redemption Date, interest will cease to accrue on the Senior Notes to be redeemed.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sz w:val="20"/>
        </w:rPr>
        <w:t>Notwithstanding the foregoing, installments of interest on the Senior Notes that are due and payable on Interest Payment Dates falling on or prior to the Special Mandatory Redemption Date will be payable on such Interest Payment Dates to the registered Holders as of the close of business on the relevant Record Dates in accordance with the Senior Notes and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Section 2.9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The issue date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of the Senior Notes is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2.10         </w:t>
      </w:r>
      <w:r>
        <w:rPr>
          <w:rFonts w:ascii="Times New Roman;Times;Serif" w:hAnsi="Times New Roman;Times;Serif"/>
          <w:b w:val="false"/>
          <w:i w:val="false"/>
          <w:caps w:val="false"/>
          <w:smallCaps w:val="false"/>
          <w:sz w:val="20"/>
          <w:u w:val="single"/>
        </w:rPr>
        <w:t>Issue Price</w:t>
      </w:r>
      <w:r>
        <w:rPr>
          <w:rFonts w:ascii="Times New Roman;Times;Serif" w:hAnsi="Times New Roman;Times;Serif"/>
          <w:b w:val="false"/>
          <w:i w:val="false"/>
          <w:caps w:val="false"/>
          <w:smallCaps w:val="false"/>
          <w:sz w:val="20"/>
        </w:rPr>
        <w:t>. The issue price of the Senior Notes is 98.680% of the aggregate principal amount of the Senior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2.11         </w:t>
      </w:r>
      <w:r>
        <w:rPr>
          <w:rFonts w:ascii="Times New Roman;Times;Serif" w:hAnsi="Times New Roman;Times;Serif"/>
          <w:b w:val="false"/>
          <w:i w:val="false"/>
          <w:caps w:val="false"/>
          <w:smallCaps w:val="false"/>
          <w:sz w:val="20"/>
          <w:u w:val="single"/>
        </w:rPr>
        <w:t>Definitive and Global Notes</w:t>
      </w:r>
      <w:r>
        <w:rPr>
          <w:rFonts w:ascii="Times New Roman;Times;Serif" w:hAnsi="Times New Roman;Times;Serif"/>
          <w:b w:val="false"/>
          <w:i w:val="false"/>
          <w:caps w:val="false"/>
          <w:smallCaps w:val="false"/>
          <w:sz w:val="20"/>
        </w:rPr>
        <w:t>. The Senior Notes are issuable in whole or in part in the form of Global Notes and the Depositary for such Global Notes shall be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2.12         </w:t>
      </w:r>
      <w:r>
        <w:rPr>
          <w:rFonts w:ascii="Times New Roman;Times;Serif" w:hAnsi="Times New Roman;Times;Serif"/>
          <w:b w:val="false"/>
          <w:i w:val="false"/>
          <w:caps w:val="false"/>
          <w:smallCaps w:val="false"/>
          <w:sz w:val="20"/>
          <w:u w:val="single"/>
        </w:rPr>
        <w:t>Denomination</w:t>
      </w:r>
      <w:r>
        <w:rPr>
          <w:rFonts w:ascii="Times New Roman;Times;Serif" w:hAnsi="Times New Roman;Times;Serif"/>
          <w:b w:val="false"/>
          <w:i w:val="false"/>
          <w:caps w:val="false"/>
          <w:smallCaps w:val="false"/>
          <w:sz w:val="20"/>
        </w:rPr>
        <w:t>. The Senior Notes shall be issued in registered form in minimum denominations of $2,000 and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2.13         </w:t>
      </w:r>
      <w:r>
        <w:rPr>
          <w:rFonts w:ascii="Times New Roman;Times;Serif" w:hAnsi="Times New Roman;Times;Serif"/>
          <w:b w:val="false"/>
          <w:i w:val="false"/>
          <w:caps w:val="false"/>
          <w:smallCaps w:val="false"/>
          <w:sz w:val="20"/>
          <w:u w:val="single"/>
        </w:rPr>
        <w:t>Defeasance and Discharge of Covenants upon Deposit of Moneys, U.S. Government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Sub-clause (b) of the first paragraph of Section 3.02 of the Indenture is hereby supplemented to add after “9.07”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and Section 2.7 of the Third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The last sentence of the third to last paragraph of Section 3.02 of the Indenture is hereby supplemented to add to the end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and the Issuer shall no longer be obligated to make an offer under Section 2.7 of the Third Supplemental Indenture upon the occurrence of a Change of Control.”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Section 2.14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In addition to the Events of Default set forth in Section 4.01 of the Indenture, the Senior Notes shall include the following additional Event of Default designated as clause (7) of such Section, which shall be deemed an Event of Default under Section 4.01 of the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color w:val="000000"/>
        </w:rPr>
        <w:t>“</w:t>
      </w:r>
      <w:r>
        <w:rPr>
          <w:rFonts w:ascii="Times New Roman;Times;Serif" w:hAnsi="Times New Roman;Times;Serif"/>
          <w:b w:val="false"/>
          <w:i w:val="false"/>
          <w:caps w:val="false"/>
          <w:smallCaps w:val="false"/>
          <w:color w:val="000000"/>
          <w:sz w:val="20"/>
        </w:rPr>
        <w:t xml:space="preserve">(7) a failure by the Issuer to redeem the Senior Notes following the occurrence of a Special Mandatory Redemption Trigger in conformity with </w:t>
      </w:r>
      <w:r>
        <w:rPr>
          <w:rFonts w:ascii="Times New Roman;Times;Serif" w:hAnsi="Times New Roman;Times;Serif"/>
          <w:b w:val="false"/>
          <w:i w:val="false"/>
          <w:caps w:val="false"/>
          <w:smallCaps w:val="false"/>
          <w:sz w:val="20"/>
        </w:rPr>
        <w:t>Section 2.8 of the Third Supplemental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Third Supplemental Indenture to be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75"/>
        <w:gridCol w:w="365"/>
        <w:gridCol w:w="545"/>
        <w:gridCol w:w="4025"/>
      </w:tblGrid>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tbl>
      <w:tblPr>
        <w:tblW w:w="5314" w:type="dxa"/>
        <w:jc w:val="left"/>
        <w:tblInd w:w="0" w:type="dxa"/>
        <w:tblLayout w:type="fixed"/>
        <w:tblCellMar>
          <w:top w:w="0" w:type="dxa"/>
          <w:left w:w="0" w:type="dxa"/>
          <w:bottom w:w="0" w:type="dxa"/>
          <w:right w:w="0" w:type="dxa"/>
        </w:tblCellMar>
      </w:tblPr>
      <w:tblGrid>
        <w:gridCol w:w="75"/>
        <w:gridCol w:w="689"/>
        <w:gridCol w:w="1029"/>
        <w:gridCol w:w="3521"/>
      </w:tblGrid>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BANK TRUST COMPANY, NATIONAL ASSOCIATION,</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23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5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Bradley E. Scarbrough</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caps w:val="false"/>
                <w:smallCaps w:val="false"/>
              </w:rPr>
            </w:pPr>
            <w:r>
              <w:rPr>
                <w:caps w:val="false"/>
                <w:smallCaps w:val="false"/>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E. Scarbrough</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caps w:val="false"/>
                <w:smallCaps w:val="false"/>
              </w:rPr>
            </w:pPr>
            <w:r>
              <w:rPr>
                <w:caps w:val="false"/>
                <w:smallCaps w:val="false"/>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35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Senior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GLOBAL NOTE WITHIN THE MEANING OF THE INDENTURE REFERRED TO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Note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83088MAR3</w:t>
        <w:br/>
        <w:t>ISIN No. US83088MAR34</w:t>
        <w:br/>
        <w:t>Principal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promises to pay to Cede &amp; Co., or registered assigns, the principal sum listed on the Schedule of Increases or Decreases in Global Note attached hereto on August 10, 2036.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February 10 and August 10, beginning on February 10,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26 and July 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Senior Note are set forth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960"/>
        <w:gridCol w:w="1849"/>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4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Trustee, certifies that this is one of the Senior Notes referred to in the Third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320"/>
        <w:gridCol w:w="17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6220" w:type="dxa"/>
        <w:jc w:val="left"/>
        <w:tblInd w:w="0" w:type="dxa"/>
        <w:tblLayout w:type="fixed"/>
        <w:tblCellMar>
          <w:top w:w="0" w:type="dxa"/>
          <w:left w:w="0" w:type="dxa"/>
          <w:bottom w:w="28" w:type="dxa"/>
          <w:right w:w="0" w:type="dxa"/>
        </w:tblCellMar>
      </w:tblPr>
      <w:tblGrid>
        <w:gridCol w:w="875"/>
        <w:gridCol w:w="60"/>
        <w:gridCol w:w="1250"/>
        <w:gridCol w:w="60"/>
        <w:gridCol w:w="1250"/>
        <w:gridCol w:w="60"/>
        <w:gridCol w:w="1505"/>
        <w:gridCol w:w="60"/>
        <w:gridCol w:w="1100"/>
      </w:tblGrid>
      <w:tr>
        <w:trPr/>
        <w:tc>
          <w:tcPr>
            <w:tcW w:w="8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w:t>
              <w:br/>
              <w:t>Amount of this</w:t>
              <w:br/>
              <w:t>Global 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w:t>
              <w:br/>
              <w:t>Amount of this</w:t>
              <w:br/>
              <w:t>Global Note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Global</w:t>
              <w:br/>
              <w:t>Note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 xml:space="preserve">signatory of </w:t>
              <w:br/>
              <w:t>Trustee</w:t>
            </w:r>
          </w:p>
        </w:tc>
      </w:tr>
      <w:tr>
        <w:trPr/>
        <w:tc>
          <w:tcPr>
            <w:tcW w:w="87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Notes due 2036</w:t>
      </w:r>
    </w:p>
    <w:p>
      <w:pPr>
        <w:pStyle w:val="TextBody"/>
        <w:bidi w:val="0"/>
        <w:spacing w:before="0" w:after="0"/>
        <w:ind w:left="0" w:right="0" w:firstLine="72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5"/>
        <w:gridCol w:w="1859"/>
        <w:gridCol w:w="7931"/>
      </w:tblGrid>
      <w:tr>
        <w:trPr/>
        <w:tc>
          <w:tcPr>
            <w:tcW w:w="415"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31" w:type="dxa"/>
            <w:tcBorders/>
            <w:vAlign w:val="center"/>
          </w:tcPr>
          <w:p>
            <w:pPr>
              <w:pStyle w:val="TableContents"/>
              <w:bidi w:val="0"/>
              <w:spacing w:before="0" w:after="283"/>
              <w:jc w:val="both"/>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a Delaware corporation (such corporation, and its successors and assigns under the Indenture hereinafter referred to, being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promises to pay interest on the principal amount of this Senior Note at the rate per annum shown above. The Issuer shall pay interest semiannually on February 10 and August 10 of each year, beginning on February 10, 2027. The Record Dates for payment of interest shall be January 26 and July 26 of each year. Interest on this Senior Note shall accrue from the most recent date to which interest has been paid or duly provided for or, if no interest has been paid or duly provided for, from August 10, 2026 until the principal hereof is due. Interest shall be computed on the basis of a 360-day year of twelve 30-day months.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820"/>
        <w:gridCol w:w="9203"/>
      </w:tblGrid>
      <w:tr>
        <w:trPr/>
        <w:tc>
          <w:tcPr>
            <w:tcW w:w="182"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03" w:type="dxa"/>
            <w:tcBorders/>
            <w:vAlign w:val="center"/>
          </w:tcPr>
          <w:p>
            <w:pPr>
              <w:pStyle w:val="TableContents"/>
              <w:bidi w:val="0"/>
              <w:spacing w:before="0" w:after="283"/>
              <w:jc w:val="both"/>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66" w:type="dxa"/>
            <w:tcBorders/>
            <w:vAlign w:val="center"/>
          </w:tcPr>
          <w:p>
            <w:pPr>
              <w:pStyle w:val="TableContents"/>
              <w:bidi w:val="0"/>
              <w:spacing w:before="0" w:after="283"/>
              <w:jc w:val="both"/>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Trust Company, National Association, a national banking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shall act as Paying Agent and Registrar. The Issuer may act as Paying Agent.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517"/>
        <w:gridCol w:w="8349"/>
      </w:tblGrid>
      <w:tr>
        <w:trPr/>
        <w:tc>
          <w:tcPr>
            <w:tcW w:w="33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349" w:type="dxa"/>
            <w:tcBorders/>
            <w:vAlign w:val="center"/>
          </w:tcPr>
          <w:p>
            <w:pPr>
              <w:pStyle w:val="TableContents"/>
              <w:bidi w:val="0"/>
              <w:spacing w:before="0" w:after="283"/>
              <w:jc w:val="both"/>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issued this Senior Note under an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Issuer and the Trustee, as supplemented by the Third Supplemental Indenture, dated as of August 10, 2026 (the “</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terms of this Senior Note include those stated in the Indenture, and those made part of the Indenture by reference to the Trust Indenture Act of 1939 (15 U.S.C. §§ 77aaa-77bbbb) as in effect on the date of the Indenture (the “</w:t>
      </w:r>
      <w:r>
        <w:rPr>
          <w:rFonts w:ascii="Times New Roman;Times;Serif" w:hAnsi="Times New Roman;Times;Serif"/>
          <w:b w:val="false"/>
          <w:i w:val="false"/>
          <w:caps w:val="false"/>
          <w:smallCaps w:val="false"/>
          <w:sz w:val="20"/>
          <w:u w:val="single"/>
        </w:rPr>
        <w:t>TIA</w:t>
      </w:r>
      <w:r>
        <w:rPr>
          <w:rFonts w:ascii="Times New Roman;Times;Serif" w:hAnsi="Times New Roman;Times;Serif"/>
          <w:b w:val="false"/>
          <w:i w:val="false"/>
          <w:caps w:val="false"/>
          <w:smallCaps w:val="false"/>
          <w:sz w:val="20"/>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9"/>
        <w:gridCol w:w="760"/>
        <w:gridCol w:w="9276"/>
      </w:tblGrid>
      <w:tr>
        <w:trPr/>
        <w:tc>
          <w:tcPr>
            <w:tcW w:w="16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276" w:type="dxa"/>
            <w:tcBorders/>
            <w:vAlign w:val="center"/>
          </w:tcPr>
          <w:p>
            <w:pPr>
              <w:pStyle w:val="TableContents"/>
              <w:bidi w:val="0"/>
              <w:spacing w:before="0" w:after="283"/>
              <w:jc w:val="both"/>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May 10, 2036 (three months prior to the Maturity Date of this Senior Note) (the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30 basis points, less (b) interest accrued to the date of redemption,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Senior Notes to be redeemed,</w:t>
      </w:r>
    </w:p>
    <w:p>
      <w:pPr>
        <w:pStyle w:val="TextBody"/>
        <w:bidi w:val="0"/>
        <w:spacing w:before="0" w:after="0"/>
        <w:ind w:left="36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each case, accrued and unpaid interest thereon to, but not including, the Redemption Date.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535"/>
        <w:gridCol w:w="9551"/>
      </w:tblGrid>
      <w:tr>
        <w:trPr/>
        <w:tc>
          <w:tcPr>
            <w:tcW w:w="11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551" w:type="dxa"/>
            <w:tcBorders/>
            <w:vAlign w:val="center"/>
          </w:tcPr>
          <w:p>
            <w:pPr>
              <w:pStyle w:val="TableContents"/>
              <w:bidi w:val="0"/>
              <w:spacing w:before="0" w:after="283"/>
              <w:jc w:val="both"/>
              <w:rPr>
                <w:u w:val="single"/>
              </w:rPr>
            </w:pPr>
            <w:r>
              <w:rPr>
                <w:u w:val="single"/>
              </w:rPr>
              <w:t>Special Mandatory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may be required to redeem all outstanding Senior Notes upon the occurrence of a Special Mandatory Redemption Trigger, as described in Section 2.8 of the Third Supplemental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1132"/>
        <w:gridCol w:w="8821"/>
      </w:tblGrid>
      <w:tr>
        <w:trPr/>
        <w:tc>
          <w:tcPr>
            <w:tcW w:w="252"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8821" w:type="dxa"/>
            <w:tcBorders/>
            <w:vAlign w:val="center"/>
          </w:tcPr>
          <w:p>
            <w:pPr>
              <w:pStyle w:val="TableContents"/>
              <w:bidi w:val="0"/>
              <w:spacing w:before="0" w:after="283"/>
              <w:jc w:val="both"/>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is not subject to any sinking fund.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740"/>
        <w:gridCol w:w="9300"/>
      </w:tblGrid>
      <w:tr>
        <w:trPr/>
        <w:tc>
          <w:tcPr>
            <w:tcW w:w="1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300"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Issuer elects to redeem this Senior Note pursuant to Section 5 hereof, notice of redemption shall be given by the Issuer or, at the Issuer’s request, by the Trustee in the name and at the expense of the Issuer to the Holders;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87" w:type="dxa"/>
            <w:tcBorders/>
            <w:vAlign w:val="center"/>
          </w:tcPr>
          <w:p>
            <w:pPr>
              <w:pStyle w:val="TableContents"/>
              <w:bidi w:val="0"/>
              <w:spacing w:before="0" w:after="283"/>
              <w:jc w:val="both"/>
              <w:rPr>
                <w:u w:val="single"/>
              </w:rPr>
            </w:pPr>
            <w:r>
              <w:rPr>
                <w:u w:val="single"/>
              </w:rPr>
              <w:t>Repurchase of this Senior Note at the Option of Holders upon Change of Control Repurchase Event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745"/>
        <w:gridCol w:w="9358"/>
      </w:tblGrid>
      <w:tr>
        <w:trPr/>
        <w:tc>
          <w:tcPr>
            <w:tcW w:w="10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58" w:type="dxa"/>
            <w:tcBorders/>
            <w:vAlign w:val="center"/>
          </w:tcPr>
          <w:p>
            <w:pPr>
              <w:pStyle w:val="TableContents"/>
              <w:bidi w:val="0"/>
              <w:spacing w:before="0" w:after="283"/>
              <w:jc w:val="both"/>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021"/>
        <w:gridCol w:w="9043"/>
      </w:tblGrid>
      <w:tr>
        <w:trPr/>
        <w:tc>
          <w:tcPr>
            <w:tcW w:w="14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43" w:type="dxa"/>
            <w:tcBorders/>
            <w:vAlign w:val="center"/>
          </w:tcPr>
          <w:p>
            <w:pPr>
              <w:pStyle w:val="TableContents"/>
              <w:bidi w:val="0"/>
              <w:spacing w:before="0" w:after="283"/>
              <w:jc w:val="both"/>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registered Holder of this Senior Note may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8" w:type="dxa"/>
            <w:tcBorders/>
            <w:vAlign w:val="center"/>
          </w:tcPr>
          <w:p>
            <w:pPr>
              <w:pStyle w:val="TableContents"/>
              <w:bidi w:val="0"/>
              <w:spacing w:before="0" w:after="283"/>
              <w:jc w:val="both"/>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978"/>
        <w:gridCol w:w="9092"/>
      </w:tblGrid>
      <w:tr>
        <w:trPr/>
        <w:tc>
          <w:tcPr>
            <w:tcW w:w="1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092" w:type="dxa"/>
            <w:tcBorders/>
            <w:vAlign w:val="center"/>
          </w:tcPr>
          <w:p>
            <w:pPr>
              <w:pStyle w:val="TableContents"/>
              <w:bidi w:val="0"/>
              <w:spacing w:before="0" w:after="283"/>
              <w:jc w:val="both"/>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but not including, the Maturity Date or Redemption Date, as the case may be.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1205"/>
        <w:gridCol w:w="8834"/>
      </w:tblGrid>
      <w:tr>
        <w:trPr/>
        <w:tc>
          <w:tcPr>
            <w:tcW w:w="1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8834" w:type="dxa"/>
            <w:tcBorders/>
            <w:vAlign w:val="center"/>
          </w:tcPr>
          <w:p>
            <w:pPr>
              <w:pStyle w:val="TableContents"/>
              <w:bidi w:val="0"/>
              <w:spacing w:before="0" w:after="283"/>
              <w:jc w:val="both"/>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Debt Securities” in the prospectus, dated as of August 3, 2026, and to the section entitled “Description of the Notes” in the prospectus supplement, dated as of August 3, 2026; and (xii) to reflect the issuance of additional Notes as permitted by Section 2.01 and Section 2.02 of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2"/>
        <w:gridCol w:w="1106"/>
        <w:gridCol w:w="8947"/>
      </w:tblGrid>
      <w:tr>
        <w:trPr/>
        <w:tc>
          <w:tcPr>
            <w:tcW w:w="15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8947" w:type="dxa"/>
            <w:tcBorders/>
            <w:vAlign w:val="center"/>
          </w:tcPr>
          <w:p>
            <w:pPr>
              <w:pStyle w:val="TableContents"/>
              <w:bidi w:val="0"/>
              <w:spacing w:before="0" w:after="283"/>
              <w:jc w:val="both"/>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certain events of bankruptcy, insolvency or reorganization of the Issuer occurs, then the principal amount of all the Senior Notes then Outstanding and interest accrued thereon, if any, will become and be immediately due and payable without any declaration or other act on the part of the Trustee or the Holders of the Senior Notes,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the Holders of a majority in aggregate principal amount of the Outstanding Senior Notes may rescind and annul any such acceleration with respect to the Senior Notes and its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Senior Note may institute any action, unless and until: (i) such Holder has given the Trustee written notice of a continuing Event of Default with respect to the Senior Notes; (ii) 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827"/>
        <w:gridCol w:w="9264"/>
      </w:tblGrid>
      <w:tr>
        <w:trPr/>
        <w:tc>
          <w:tcPr>
            <w:tcW w:w="11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264" w:type="dxa"/>
            <w:tcBorders/>
            <w:vAlign w:val="center"/>
          </w:tcPr>
          <w:p>
            <w:pPr>
              <w:pStyle w:val="TableContents"/>
              <w:bidi w:val="0"/>
              <w:spacing w:before="0" w:after="283"/>
              <w:jc w:val="both"/>
              <w:rPr>
                <w:u w:val="single"/>
              </w:rPr>
            </w:pPr>
            <w:r>
              <w:rPr>
                <w:u w:val="single"/>
              </w:rPr>
              <w:t>Trustee Dealings with the Issuer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610"/>
        <w:gridCol w:w="8373"/>
      </w:tblGrid>
      <w:tr>
        <w:trPr/>
        <w:tc>
          <w:tcPr>
            <w:tcW w:w="222"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8373" w:type="dxa"/>
            <w:tcBorders/>
            <w:vAlign w:val="center"/>
          </w:tcPr>
          <w:p>
            <w:pPr>
              <w:pStyle w:val="TableContents"/>
              <w:bidi w:val="0"/>
              <w:spacing w:before="0" w:after="283"/>
              <w:jc w:val="both"/>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shall not be valid until an authorized signatory of the Trustee (or an authenticating agent) manually signs the certificate of authentication on the other side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506"/>
        <w:gridCol w:w="8491"/>
      </w:tblGrid>
      <w:tr>
        <w:trPr/>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8491" w:type="dxa"/>
            <w:tcBorders/>
            <w:vAlign w:val="center"/>
          </w:tcPr>
          <w:p>
            <w:pPr>
              <w:pStyle w:val="TableContents"/>
              <w:bidi w:val="0"/>
              <w:spacing w:before="0" w:after="283"/>
              <w:jc w:val="both"/>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SENIOR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969"/>
        <w:gridCol w:w="9103"/>
      </w:tblGrid>
      <w:tr>
        <w:trPr/>
        <w:tc>
          <w:tcPr>
            <w:tcW w:w="13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103" w:type="dxa"/>
            <w:tcBorders/>
            <w:vAlign w:val="center"/>
          </w:tcPr>
          <w:p>
            <w:pPr>
              <w:pStyle w:val="TableContents"/>
              <w:bidi w:val="0"/>
              <w:spacing w:before="0" w:after="283"/>
              <w:jc w:val="both"/>
              <w:rPr>
                <w:u w:val="single"/>
              </w:rPr>
            </w:pPr>
            <w:r>
              <w:rPr>
                <w:u w:val="single"/>
              </w:rPr>
              <w:t>CUSIP and ISIN Numbers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shall furnish to any Holder of this Senior Note upon written request and without charge to the Holder a copy of the Indenture which has in it the text of this Senior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2" w:name="tm2622643d2_ex5-1.htm"/>
      <w:bookmarkStart w:id="13" w:name="kstm2622643d2_ex51"/>
      <w:bookmarkEnd w:id="12"/>
      <w:bookmarkEnd w:id="13"/>
      <w:r>
        <w:rPr/>
        <w:t> </w:t>
      </w:r>
      <w:r>
        <w:br w:type="page"/>
      </w:r>
    </w:p>
    <w:p>
      <w:pPr>
        <w:pStyle w:val="TextBody"/>
        <w:bidi w:val="0"/>
        <w:jc w:val="right"/>
        <w:rPr>
          <w:b/>
          <w:sz w:val="20"/>
        </w:rPr>
      </w:pPr>
      <w:r>
        <w:rPr>
          <w:b/>
          <w:sz w:val="20"/>
        </w:rPr>
        <w:t>Exhibit 5.1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smallCaps/>
          <w:sz w:val="28"/>
        </w:rPr>
      </w:pPr>
      <w:r>
        <w:rPr>
          <w:rFonts w:ascii="Times New Roman;Times;Serif" w:hAnsi="Times New Roman;Times;Serif"/>
          <w:b w:val="false"/>
          <w:i w:val="false"/>
          <w:smallCaps/>
          <w:sz w:val="28"/>
        </w:rPr>
        <w:t>Skadden, Arps, Slate, Meagher &amp; Flom llp</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ONE MANHATTAN WEST</w:t>
      </w:r>
    </w:p>
    <w:tbl>
      <w:tblPr>
        <w:tblW w:w="6360" w:type="dxa"/>
        <w:jc w:val="left"/>
        <w:tblInd w:w="0" w:type="dxa"/>
        <w:tblLayout w:type="fixed"/>
        <w:tblCellMar>
          <w:top w:w="0" w:type="dxa"/>
          <w:left w:w="0" w:type="dxa"/>
          <w:bottom w:w="0" w:type="dxa"/>
          <w:right w:w="0" w:type="dxa"/>
        </w:tblCellMar>
      </w:tblPr>
      <w:tblGrid>
        <w:gridCol w:w="2045"/>
        <w:gridCol w:w="1970"/>
        <w:gridCol w:w="2345"/>
      </w:tblGrid>
      <w:tr>
        <w:trPr/>
        <w:tc>
          <w:tcPr>
            <w:tcW w:w="2045" w:type="dxa"/>
            <w:tcBorders/>
            <w:vAlign w:val="center"/>
          </w:tcPr>
          <w:p>
            <w:pPr>
              <w:pStyle w:val="TableContents"/>
              <w:bidi w:val="0"/>
              <w:spacing w:before="0" w:after="283"/>
              <w:jc w:val="left"/>
              <w:rPr>
                <w:sz w:val="20"/>
              </w:rPr>
            </w:pPr>
            <w:r>
              <w:rPr>
                <w:sz w:val="20"/>
              </w:rPr>
              <w:t>Skyworks Solutions, Inc.</w:t>
              <w:br/>
              <w:t>5260 California Avenue</w:t>
              <w:br/>
              <w:t>Irvine, California 92617</w:t>
            </w:r>
          </w:p>
        </w:tc>
        <w:tc>
          <w:tcPr>
            <w:tcW w:w="1970" w:type="dxa"/>
            <w:tcBorders/>
            <w:vAlign w:val="center"/>
          </w:tcPr>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NEW YORK, NY 10001</w:t>
            </w:r>
          </w:p>
          <w:p>
            <w:pPr>
              <w:pStyle w:val="TableContents"/>
              <w:bidi w:val="0"/>
              <w:spacing w:before="0" w:after="0"/>
              <w:ind w:left="0" w:right="0" w:hanging="0"/>
              <w:jc w:val="center"/>
              <w:rPr>
                <w:caps/>
              </w:rPr>
            </w:pPr>
            <w:r>
              <w:rPr>
                <w:caps/>
              </w:rPr>
              <w:t> </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Tel: (212) 735-3000</w:t>
            </w:r>
          </w:p>
          <w:p>
            <w:pPr>
              <w:pStyle w:val="TableContents"/>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Fax: (212) 735-2000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www.skadden.com</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c>
          <w:tcPr>
            <w:tcW w:w="234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FIRM/AFFILIATE OFFICES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PALO ALTO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ind w:left="0" w:right="0" w:hanging="0"/>
              <w:jc w:val="left"/>
              <w:rPr>
                <w:bdr w:val="single" w:sz="8" w:space="1" w:color="000000"/>
              </w:rPr>
            </w:pPr>
            <w:r>
              <w:rPr>
                <w:bdr w:val="single" w:sz="8" w:space="1" w:color="00000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ABU DHABI</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BRUSSELS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FRANKFURT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SEOUL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3"/>
        <w:gridCol w:w="9548"/>
      </w:tblGrid>
      <w:tr>
        <w:trPr/>
        <w:tc>
          <w:tcPr>
            <w:tcW w:w="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pPr>
            <w:r>
              <w:rPr/>
              <w:t>Re:</w:t>
            </w:r>
          </w:p>
        </w:tc>
        <w:tc>
          <w:tcPr>
            <w:tcW w:w="9548" w:type="dxa"/>
            <w:tcBorders/>
            <w:vAlign w:val="center"/>
          </w:tcPr>
          <w:p>
            <w:pPr>
              <w:pStyle w:val="TableContents"/>
              <w:bidi w:val="0"/>
              <w:spacing w:before="0" w:after="283"/>
              <w:jc w:val="left"/>
              <w:rPr/>
            </w:pPr>
            <w:r>
              <w:rPr/>
              <w:t>Skyworks Solutions, Inc.</w:t>
              <w:br/>
            </w:r>
            <w:r>
              <w:rPr>
                <w:u w:val="single"/>
              </w:rPr>
              <w:t>Registration Statement on Form S-3 (File No. 333-297918)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Skyworks Solutions,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public offering of (i) $800,000,000 aggregate principal amount of the Company’s 5.000%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(ii) $600,000,000 aggregate principal amount of the Company’s 5.750%% Senior Notes due 2032 (the “</w:t>
      </w:r>
      <w:r>
        <w:rPr>
          <w:rFonts w:ascii="Times New Roman;Times;Serif" w:hAnsi="Times New Roman;Times;Serif"/>
          <w:b w:val="false"/>
          <w:i w:val="false"/>
          <w:caps w:val="false"/>
          <w:smallCaps w:val="false"/>
          <w:sz w:val="20"/>
          <w:u w:val="single"/>
        </w:rPr>
        <w:t>2032 Notes</w:t>
      </w:r>
      <w:r>
        <w:rPr>
          <w:rFonts w:ascii="Times New Roman;Times;Serif" w:hAnsi="Times New Roman;Times;Serif"/>
          <w:b w:val="false"/>
          <w:i w:val="false"/>
          <w:caps w:val="false"/>
          <w:smallCaps w:val="false"/>
          <w:sz w:val="20"/>
        </w:rPr>
        <w:t>”) and (iii) $600,000,000 aggregate principal amount of the Company’s 6.250%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and, collectively with the 2028 Notes and the 2032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to be issued under the Indenture, dated as of August 10, 2026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the Company and U.S. Bank Trust Company, National Association,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the First Supplemental Indenture with respect to the 2028 Notes (the “</w:t>
      </w:r>
      <w:r>
        <w:rPr>
          <w:rFonts w:ascii="Times New Roman;Times;Serif" w:hAnsi="Times New Roman;Times;Serif"/>
          <w:b w:val="false"/>
          <w:i w:val="false"/>
          <w:caps w:val="false"/>
          <w:smallCaps w:val="false"/>
          <w:sz w:val="20"/>
          <w:u w:val="single"/>
        </w:rPr>
        <w:t>First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2028 Notes Indenture</w:t>
      </w:r>
      <w:r>
        <w:rPr>
          <w:rFonts w:ascii="Times New Roman;Times;Serif" w:hAnsi="Times New Roman;Times;Serif"/>
          <w:b w:val="false"/>
          <w:i w:val="false"/>
          <w:caps w:val="false"/>
          <w:smallCaps w:val="false"/>
          <w:sz w:val="20"/>
        </w:rPr>
        <w:t>”), the Second Supplemental Indenture with respect to the 2032 Notes (the “</w:t>
      </w:r>
      <w:r>
        <w:rPr>
          <w:rFonts w:ascii="Times New Roman;Times;Serif" w:hAnsi="Times New Roman;Times;Serif"/>
          <w:b w:val="false"/>
          <w:i w:val="false"/>
          <w:caps w:val="false"/>
          <w:smallCaps w:val="false"/>
          <w:sz w:val="20"/>
          <w:u w:val="single"/>
        </w:rPr>
        <w:t>Second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2032 Notes Indenture</w:t>
      </w:r>
      <w:r>
        <w:rPr>
          <w:rFonts w:ascii="Times New Roman;Times;Serif" w:hAnsi="Times New Roman;Times;Serif"/>
          <w:b w:val="false"/>
          <w:i w:val="false"/>
          <w:caps w:val="false"/>
          <w:smallCaps w:val="false"/>
          <w:sz w:val="20"/>
        </w:rPr>
        <w:t>”) and the Third Supplemental Indenture with respect to the 2036 Notes (the “</w:t>
      </w:r>
      <w:r>
        <w:rPr>
          <w:rFonts w:ascii="Times New Roman;Times;Serif" w:hAnsi="Times New Roman;Times;Serif"/>
          <w:b w:val="false"/>
          <w:i w:val="false"/>
          <w:caps w:val="false"/>
          <w:smallCaps w:val="false"/>
          <w:sz w:val="20"/>
          <w:u w:val="single"/>
        </w:rPr>
        <w:t>Third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val="false"/>
          <w:i w:val="false"/>
          <w:caps w:val="false"/>
          <w:smallCaps w:val="false"/>
          <w:sz w:val="20"/>
          <w:u w:val="single"/>
        </w:rPr>
        <w:t>2036 Notes Indenture</w:t>
      </w:r>
      <w:r>
        <w:rPr>
          <w:rFonts w:ascii="Times New Roman;Times;Serif" w:hAnsi="Times New Roman;Times;Serif"/>
          <w:b w:val="false"/>
          <w:i w:val="false"/>
          <w:caps w:val="false"/>
          <w:smallCaps w:val="false"/>
          <w:sz w:val="20"/>
        </w:rPr>
        <w:t>”; the 2028 Notes Indenture, the 2032 Notes Indenture and the 2036 Notes Indenture, collectively, the “</w:t>
      </w:r>
      <w:r>
        <w:rPr>
          <w:rFonts w:ascii="Times New Roman;Times;Serif" w:hAnsi="Times New Roman;Times;Serif"/>
          <w:b w:val="false"/>
          <w:i w:val="false"/>
          <w:caps w:val="false"/>
          <w:smallCaps w:val="false"/>
          <w:sz w:val="20"/>
          <w:u w:val="single"/>
        </w:rPr>
        <w:t>Indentures</w:t>
      </w:r>
      <w:r>
        <w:rPr>
          <w:rFonts w:ascii="Times New Roman;Times;Serif" w:hAnsi="Times New Roman;Times;Serif"/>
          <w:b w:val="false"/>
          <w:i w:val="false"/>
          <w:caps w:val="false"/>
          <w:smallCaps w:val="false"/>
          <w:sz w:val="20"/>
        </w:rPr>
        <w:t>”), each dated as of August 10, 2026, between the Company and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 of 1933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stated herein, we have examined and relied upon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sz w:val="20"/>
        </w:rPr>
        <w:t>the registration statement on Form S-3ASR (File No. 333-297918) of the Company relating to the Notes and other securities of the Company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August 3, 2026 under the Securities Act allowing for delayed offerings pursuant to Rule 415 of the General Rules and Regulations under the Securities Act (the “</w:t>
      </w:r>
      <w:r>
        <w:rPr>
          <w:rFonts w:ascii="Times New Roman;Times;Serif" w:hAnsi="Times New Roman;Times;Serif"/>
          <w:b w:val="false"/>
          <w:i w:val="false"/>
          <w:caps w:val="false"/>
          <w:smallCaps w:val="false"/>
          <w:sz w:val="20"/>
          <w:u w:val="single"/>
        </w:rPr>
        <w:t>Rules and Regulations</w:t>
      </w:r>
      <w:r>
        <w:rPr>
          <w:rFonts w:ascii="Times New Roman;Times;Serif" w:hAnsi="Times New Roman;Times;Serif"/>
          <w:b w:val="false"/>
          <w:i w:val="false"/>
          <w:caps w:val="false"/>
          <w:smallCaps w:val="false"/>
          <w:sz w:val="20"/>
        </w:rPr>
        <w:t>”), including the information deemed to be a part of the registration statement pursuant to Rule 430B of the Rules and Regulations (such registration statement being hereinafter referred to as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sz w:val="20"/>
        </w:rPr>
        <w:t>the prospectus, dated August 3, 2026 (the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which forms a part of and is included in the Registration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the preliminary prospectus supplement, dated August 3, 2026 (together with the Base Prospectus, the “</w:t>
      </w:r>
      <w:r>
        <w:rPr>
          <w:rFonts w:ascii="Times New Roman;Times;Serif" w:hAnsi="Times New Roman;Times;Serif"/>
          <w:b w:val="false"/>
          <w:i w:val="false"/>
          <w:caps w:val="false"/>
          <w:smallCaps w:val="false"/>
          <w:sz w:val="20"/>
          <w:u w:val="single"/>
        </w:rPr>
        <w:t>Preliminary Prospectus</w:t>
      </w:r>
      <w:r>
        <w:rPr>
          <w:rFonts w:ascii="Times New Roman;Times;Serif" w:hAnsi="Times New Roman;Times;Serif"/>
          <w:b w:val="false"/>
          <w:i w:val="false"/>
          <w:caps w:val="false"/>
          <w:smallCaps w:val="false"/>
          <w:sz w:val="20"/>
        </w:rPr>
        <w:t>”), relating to the offering of the Notes, in the form filed with the Commission pursuant to Rule 424(b) of the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the prospectus supplement, dated August 4, 2026 (together with the Base Prospectus,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relating to the offering of the Notes, in the form filed with the Commission pursuant to Rule 424(b) of the Rules and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(e)               </w:t>
      </w:r>
      <w:r>
        <w:rPr>
          <w:rFonts w:ascii="Times New Roman;Times;Serif" w:hAnsi="Times New Roman;Times;Serif"/>
          <w:b w:val="false"/>
          <w:i w:val="false"/>
          <w:caps w:val="false"/>
          <w:smallCaps w:val="false"/>
          <w:sz w:val="20"/>
        </w:rPr>
        <w:t>an executed copy of the Underwriting Agreement, dated August 4, 2026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among the Company and Goldman Sachs &amp; Co. LLC, BofA Securities, Inc., J.P. Morgan Securities LLC and Wells Fargo Securities, LLC, as representatives of the several Underwriters named therein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relating to the sale by the Company to the Underwriters of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sz w:val="20"/>
        </w:rPr>
        <w:t>executed copies of the Indentures;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sz w:val="20"/>
        </w:rPr>
        <w:t>the global certificates evidencing the Notes, executed by the Company and registered in the name of Cede &amp; Co. (the “</w:t>
      </w:r>
      <w:r>
        <w:rPr>
          <w:rFonts w:ascii="Times New Roman;Times;Serif" w:hAnsi="Times New Roman;Times;Serif"/>
          <w:b w:val="false"/>
          <w:i w:val="false"/>
          <w:caps w:val="false"/>
          <w:smallCaps w:val="false"/>
          <w:sz w:val="20"/>
          <w:u w:val="single"/>
        </w:rPr>
        <w:t>Note Certificates</w:t>
      </w:r>
      <w:r>
        <w:rPr>
          <w:rFonts w:ascii="Times New Roman;Times;Serif" w:hAnsi="Times New Roman;Times;Serif"/>
          <w:b w:val="false"/>
          <w:i w:val="false"/>
          <w:caps w:val="false"/>
          <w:smallCaps w:val="false"/>
          <w:sz w:val="20"/>
        </w:rPr>
        <w:t>”), delivered by the Company to the Trustee for authentication and delivery;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sz w:val="20"/>
        </w:rPr>
        <w:t>an executed copy of a certificate of Robert J. Terry, Secretary of the Company, dated the date hereof (the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(i)               </w:t>
      </w:r>
      <w:r>
        <w:rPr>
          <w:rFonts w:ascii="Times New Roman;Times;Serif" w:hAnsi="Times New Roman;Times;Serif"/>
          <w:b w:val="false"/>
          <w:i w:val="false"/>
          <w:caps w:val="false"/>
          <w:smallCaps w:val="false"/>
          <w:sz w:val="20"/>
        </w:rPr>
        <w:t>a copy of the Company’s Restated Certificate of Incorporation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certified by the Secretary of State of the State of Delaware as of July 31, 2026 and certified pursuant to the Secretary’s Certificate as being in effect on the date of the resolutions referred to below and as of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(j)               </w:t>
      </w:r>
      <w:r>
        <w:rPr>
          <w:rFonts w:ascii="Times New Roman;Times;Serif" w:hAnsi="Times New Roman;Times;Serif"/>
          <w:b w:val="false"/>
          <w:i w:val="false"/>
          <w:caps w:val="false"/>
          <w:smallCaps w:val="false"/>
          <w:sz w:val="20"/>
        </w:rPr>
        <w:t>a copy of the Company’s Fourth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certified pursuant to the Secretary’s Certificate as being in effect on the date of the resolutions referred to below and as of the date 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(k)               </w:t>
      </w:r>
      <w:r>
        <w:rPr>
          <w:rFonts w:ascii="Times New Roman;Times;Serif" w:hAnsi="Times New Roman;Times;Serif"/>
          <w:b w:val="false"/>
          <w:i w:val="false"/>
          <w:caps w:val="false"/>
          <w:smallCaps w:val="false"/>
          <w:sz w:val="20"/>
        </w:rPr>
        <w:t>a copy of certain resolutions of the Board of Directors of the Company, certified pursuant to the Secretary’s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contained in the Underwriting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express any opinion with respect to the laws of any jurisdiction other than (i) the laws, of the State of New York and (ii)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(all of the foregoing being referred to as “</w:t>
      </w:r>
      <w:r>
        <w:rPr>
          <w:rFonts w:ascii="Times New Roman;Times;Serif" w:hAnsi="Times New Roman;Times;Serif"/>
          <w:b w:val="false"/>
          <w:i w:val="false"/>
          <w:caps w:val="false"/>
          <w:smallCaps w:val="false"/>
          <w:sz w:val="20"/>
          <w:u w:val="single"/>
        </w:rPr>
        <w:t>Opined-on Law</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Underwriting Agreement, the Indentures and the Note Certificates.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and assumptions stated herein, we are of the opinion that the Note Certificates have been duly authorized by all requisite action on the part of the Company and duly executed by the Company under the DGCL, and when duly authenticated by the Trustee and issued and delivered by the Company against payment therefor in accordance with the terms of the Underwriting Agreement and the applicable Indenture, will constitute valid and binding obligations of the Company, enforceable against the Company in accordance with their terms under the laws of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stated herein is subject to the following assumptions and qualifications: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governmental orders and by general principles of equity (regardless of whether enforcement is sought in equity or at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(c)               </w:t>
      </w:r>
      <w:r>
        <w:rPr>
          <w:rFonts w:ascii="Times New Roman;Times;Serif" w:hAnsi="Times New Roman;Times;Serif"/>
          <w:b w:val="false"/>
          <w:i w:val="false"/>
          <w:caps w:val="false"/>
          <w:smallCaps w:val="false"/>
          <w:sz w:val="20"/>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               </w:t>
      </w:r>
      <w:r>
        <w:rPr>
          <w:rFonts w:ascii="Times New Roman;Times;Serif" w:hAnsi="Times New Roman;Times;Serif"/>
          <w:b w:val="false"/>
          <w:i w:val="false"/>
          <w:caps w:val="false"/>
          <w:smallCaps w:val="false"/>
          <w:sz w:val="20"/>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sz w:val="20"/>
        </w:rPr>
        <w:t>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(f)               </w:t>
      </w:r>
      <w:r>
        <w:rPr>
          <w:rFonts w:ascii="Times New Roman;Times;Serif" w:hAnsi="Times New Roman;Times;Serif"/>
          <w:b w:val="false"/>
          <w:i w:val="false"/>
          <w:caps w:val="false"/>
          <w:smallCaps w:val="false"/>
          <w:sz w:val="20"/>
        </w:rPr>
        <w:t>the opinion stated herein is limited to the agreements and documents specifically identified in the opinion contained herein (the “</w:t>
      </w:r>
      <w:r>
        <w:rPr>
          <w:rFonts w:ascii="Times New Roman;Times;Serif" w:hAnsi="Times New Roman;Times;Serif"/>
          <w:b w:val="false"/>
          <w:i w:val="false"/>
          <w:caps w:val="false"/>
          <w:smallCaps w:val="false"/>
          <w:sz w:val="20"/>
          <w:u w:val="single"/>
        </w:rPr>
        <w:t>Specified Documents</w:t>
      </w:r>
      <w:r>
        <w:rPr>
          <w:rFonts w:ascii="Times New Roman;Times;Serif" w:hAnsi="Times New Roman;Times;Serif"/>
          <w:b w:val="false"/>
          <w:i w:val="false"/>
          <w:caps w:val="false"/>
          <w:smallCaps w:val="false"/>
          <w:sz w:val="20"/>
        </w:rPr>
        <w:t>”)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(g)               </w:t>
      </w:r>
      <w:r>
        <w:rPr>
          <w:rFonts w:ascii="Times New Roman;Times;Serif" w:hAnsi="Times New Roman;Times;Serif"/>
          <w:b w:val="false"/>
          <w:i w:val="false"/>
          <w:caps w:val="false"/>
          <w:smallCaps w:val="false"/>
          <w:sz w:val="20"/>
        </w:rPr>
        <w:t>this opinion letter shall be interpreted in accordance with customary practice of United States lawyers who regularly give opinions in transactions of this type;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sz w:val="20"/>
        </w:rPr>
        <w:t>subsequent to the effectiveness of the Base Indenture and immediately prior to the effectiveness of the First Supplemental Indenture, the Second Supplemental Indenture and the Third Supplemental Indenture, respectively, the Indenture has not been amended, restated, supplemented or otherwise modified in any way that affects or relates to the Note Certificates other than by the applicable Transaction Documents relating to each series of Notes;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sz w:val="20"/>
        </w:rPr>
        <w:t>to the extent that any opinion relates to the enforceability of the choice of New York law and choice of New York forum provisions contained in any Transaction Document, the opinion stated herein is subject to the qualification that such enforceability may be subject to, in each case, (i) the exceptions and limitations in New York General Obligations Law Sections 5-1401 and 5-1402 and (ii) principles of comity and constitutionality.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rendering the foregoing opinion we have also assumed that, at all applicable times: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sz w:val="20"/>
        </w:rPr>
        <w:t>neither the execution and delivery by the Company of the Transaction Documents nor the performance by the Company of its obligations thereunder, including the issuance and sale of the Notes: (i) constituted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for the year ended October 3, 2025), (ii) contravened or will contravene any order or decree of any governmental authority to which the Company or its properties is subject, or (iii) violated or will violate any law, rule or regulation to which the Company or its properties is subject (except that we do not make the assumption set forth in this clause (iii) with respect to the Opined-on Law);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sz w:val="20"/>
        </w:rPr>
        <w:t>neither the execution and delivery by the Company of the Transaction Documents nor the performance by the Company of its obligations thereunder, including the issuance and sale of the Notes, required or will require the consent, approval, licensing or authorization of, or any filing, recording or registration with, any governmental authority under any law, rule or regulation of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w:t>
        <w:br/>
        <w:t>August 10, 2026</w:t>
        <w:br/>
        <w:t>Page 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“Legal Matters” in the Preliminary Prospectus and the Prospectus. In giving this consent, we do not thereby admit that we are within the category of persons whose consent is required under Section 7 of the Securities Act or the Rules and Regulations. We also hereby consent to the filing of this opinion letter with the Commission as an exhibit to the Company’s Current Report on Form 8-K being filed on the date hereof and incorporated by reference into the Registration Statement. This opinion letter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507" w:right="0" w:hanging="0"/>
        <w:jc w:val="left"/>
        <w:rPr>
          <w:caps w:val="false"/>
          <w:smallCaps w:val="false"/>
        </w:rPr>
      </w:pPr>
      <w:r>
        <w:rPr>
          <w:caps w:val="false"/>
          <w:smallCaps w:val="false"/>
        </w:rPr>
        <w:t> </w:t>
      </w:r>
    </w:p>
    <w:tbl>
      <w:tblPr>
        <w:tblW w:w="3875" w:type="dxa"/>
        <w:jc w:val="left"/>
        <w:tblInd w:w="0" w:type="dxa"/>
        <w:tblLayout w:type="fixed"/>
        <w:tblCellMar>
          <w:top w:w="0" w:type="dxa"/>
          <w:left w:w="0" w:type="dxa"/>
          <w:bottom w:w="0" w:type="dxa"/>
          <w:right w:w="0" w:type="dxa"/>
        </w:tblCellMar>
      </w:tblPr>
      <w:tblGrid>
        <w:gridCol w:w="75"/>
        <w:gridCol w:w="3800"/>
      </w:tblGrid>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Skadden, Arps, Slate, Meagher &amp; Flom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73491</Words>
  <Characters>374030</Characters>
  <CharactersWithSpaces>455368</CharactersWithSpaces>
  <Paragraphs>4413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