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2643d1_8k.htm"/>
      <w:bookmarkStart w:id="1" w:name="kstm262264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80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bookmarkStart w:id="4" w:name="xdx_90D_edei--EntityRegistrantName_c2026"/>
      <w:bookmarkEnd w:id="4"/>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375"/>
        <w:gridCol w:w="60"/>
        <w:gridCol w:w="2210"/>
        <w:gridCol w:w="60"/>
        <w:gridCol w:w="2780"/>
      </w:tblGrid>
      <w:tr>
        <w:trPr/>
        <w:tc>
          <w:tcPr>
            <w:tcW w:w="2375" w:type="dxa"/>
            <w:tcBorders>
              <w:bottom w:val="single" w:sz="8" w:space="0" w:color="000000"/>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bookmarkStart w:id="6" w:name="xdx_90A_edei--EntityFileNumber_c20260804"/>
            <w:bookmarkEnd w:id="6"/>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bookmarkStart w:id="7" w:name="xdx_906_edei--EntityTaxIdentificationNum"/>
            <w:bookmarkEnd w:id="7"/>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5260 California Avenue</w:t>
        <w:br/>
      </w:r>
      <w:bookmarkStart w:id="9" w:name="xdx_90D_edei--EntityAddressCityOrTown_c2"/>
      <w:bookmarkEnd w:id="9"/>
      <w:r>
        <w:rPr>
          <w:rFonts w:ascii="Times New Roman;Times;Serif" w:hAnsi="Times New Roman;Times;Serif"/>
          <w:b/>
          <w:i w:val="false"/>
          <w:caps w:val="false"/>
          <w:smallCaps w:val="false"/>
          <w:sz w:val="20"/>
        </w:rPr>
        <w:t xml:space="preserve">Irvine, </w:t>
      </w:r>
      <w:bookmarkStart w:id="10" w:name="xdx_900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804__20"/>
      <w:bookmarkEnd w:id="12"/>
      <w:r>
        <w:rPr>
          <w:rFonts w:ascii="Times New Roman;Times;Serif" w:hAnsi="Times New Roman;Times;Serif"/>
          <w:b/>
          <w:i w:val="false"/>
          <w:caps w:val="false"/>
          <w:smallCaps w:val="false"/>
          <w:sz w:val="20"/>
        </w:rPr>
        <w:t xml:space="preserve">949) </w:t>
      </w:r>
      <w:bookmarkStart w:id="13" w:name="xdx_906_edei--LocalPhoneNumber_c20260804"/>
      <w:bookmarkEnd w:id="13"/>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xdx_906_edei--WrittenCommunications_c202"/>
      <w:bookmarkEnd w:id="14"/>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5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A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0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bookmarkStart w:id="18" w:name="xdx_90D_edei--Security12bTitle_c20260804"/>
            <w:bookmarkEnd w:id="18"/>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6_edei--TradingSymbol_c20260804__2"/>
            <w:bookmarkEnd w:id="19"/>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6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30"/>
        <w:gridCol w:w="37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Skyworks Solutions, Inc., a Delaware corporation (the “Company”), issued $800,000,000 5.000% Senior Notes due 2028 (the “2028 Notes”), $600,000,000 5.750% Senior Notes due 2032 (the “2032 Notes”) and $600,000,000 6.250% Senior Notes due 2036 (the “2036 Notes” and, collectively with the 2028 Notes and the 2032 Notes, the “Notes”), pursuant to the Company’s registration statement on Form S-3ASR (File No. 333-297918) filed with the Securities and Exchange Commission (the “SEC”) on August 3, 2026. The Company intends to use the net proceeds received from the sale of the Notes, together with its existing cash and cash equivalents, to finance the cash consideration of approximately $3.00 billion for the Mergers (as defined below). In the event the consummation of the Mergers does not occur, the Company intends to use the net proceeds from the 2032 Notes for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Notes are governed by an Indenture, dated as of August 10, 2026 (the “Base Indenture”), as supplemented by a First Supplemental Indenture with respect to the 2028 Notes, a Second Supplemental Indenture with respect to the 2032 Notes and a Third Supplemental Indenture with respect to the 2036 Notes, each dated as of August 10, 2026 (collectively, the “Supplemental Indentures” and, collectively with the Base Indenture, the “Indenture”), in each case by and between the Company and U.S. Bank Trust Company, National Association, as trustee. The Indenture contains customary covenants that, among other things, limit the ability of the Company, with certain exceptions, to incur debt secured by liens, engage in sale and leaseback transactions and enter into certain consolidations, mergers and transfers of all or substantially all of the assets of the Company and its subsidiaries, taken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 portion of the Notes of any series at any time and from time to time prior to maturity, in whole or in part, for cash at the applicable redemption prices set forth in the applicable Supplemental Indenture. If the Company undergoes a change of control repurchase event, as defined in the Indenture, with respect to a series of Notes, holders may require the Company to repurchase the Notes of such series in whole or in part for cash at a price equal to 101% of the principal amount of the Notes to be purchased, plus any accrued and unpaid interest to, but not including, the repurchase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 the consummation of the acquisition (the “Mergers”) of Qorvo, Inc., a Delaware corporation (“Qorvo”), pursuant to the Agreement and Plan of Merger, dated as of October 27, 2025, as amended, supplemented, amended and restated, restated or otherwise modified from time to time (the “Merger Agreement”), by and among the Company, Comet Acquisition Corp., a Delaware corporation, Comet Acquisition II, LLC, a Delaware limited liability company, and Qorvo does not occur on or before 11:59 p.m. Pacific Time on November 3, 2027, (ii) the Company notifies the trustee and the holders of the 2028 Notes and the 2036 Notes that it will not pursue the consummation of the Mergers, or (iii) the Merger Agreement has been terminated without the consummation of the Mergers, the 2028 Notes and the 2036 Notes will be subject to a special mandatory redemption upon the terms and at the redemption price set forth in the Supplemental Indenture governing such series of Notes. The 2032 Notes will not be subject to any special mandatory redemption if the Mergers are not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events of default, including failure to make required payments of principal and interest, certain events of bankruptcy and insolvency and default in the performance or breach of any covenant or warranty contained in the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2028 Notes will bear interest from and including August 10, 2026 at the rate of 5.000% per annum, the 2032 Notes will bear interest from and including August 10, 2026 at the rate of 5.750% per annum and the 2036 Notes will bear interest from and including August 10, 2026 at the rate of 6.250% per annum.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the Company’s senior unsecured obligations and are equal in right of payment with its other senior unsecured debt. The Notes are effectively subordinated to the Company’s secured debt, to the extent of the value of the assets securing that debt. The Notes are not obligations of any of the Company’s subsidiaries and, accordingly, are structurally subordinated to all obligations of the Company’s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summaries of the Base Indenture, the First Supplemental Indenture, the Second Supplemental Indenture, the Third Supplemental Indenture and the Notes do not purport to be complete discussions of those agreements or related documents and are qualified in their entirety by reference to the full text of those agreements, copies of which are filed herewith as Exhibits 4.1, 4.2, 4.3, 4.4, 4.5, 4.6 and 4.7, respectively, and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contained under Item 1.01 above is hereby incorporated by reference in its entirety into this Item 2.03.</w:t>
      </w:r>
    </w:p>
    <w:p>
      <w:pPr>
        <w:pStyle w:val="TextBody"/>
        <w:bidi w:val="0"/>
        <w:spacing w:before="0" w:after="0"/>
        <w:ind w:left="0" w:right="0" w:firstLine="72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entered into an Underwriting Agreement, dated August 4, 2026 (the “Underwriting Agreement”), by and among the Company and Goldman Sachs &amp; Co. LLC, BofA Securities, Inc., J.P. Morgan Securities LLC and Wells Fargo Securities, LLC, as representatives of the several underwriters named therein, with respect to the sale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summary of the Underwriting Agreement does not purport to be a complete discussion of that agreement or related documents and is qualified in its entirety by reference to the full text of that agreement, a copy of which is filed herewith as Exhibit 1.1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about the intended use of proceeds of the Notes and about the Mergers, within the meaning of Section 27A of the Securities Act of 1933, as amended, and Section 21E of the Securities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Although forward-looking statements in this report reflect the good faith judgment of the Company’s management as of the date the statement is first made, such statements can only be based on facts and factors then known and understood by the Company. Consequently, forward-looking statements involve inherent risks and uncertainties, and actual results and outcomes may differ materially and adversely from the results and outcomes discussed in or anticipated by the forward-looking statements. A number of important factors could cause actual results to differ materially and adversely from those in the forward-looking statements. You should consider the risks and uncertainties discussed in the Company’s Annual Report on Form 10-K for the year ended October 3, 2025, under the heading “Risk Factors” and in the other documents filed by the Company with the SEC in evaluating the Company’s forward-looking statements. The Company has no plans, and undertakes no obligation, to revise or update its forward-looking statements to reflect any event or circumstance that may arise after the date of this report. The Company cautions readers not to place undue reliance upon any such forward-looking statements, which speak only as of the date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has filed with the SEC a registration statement on Form S-4, which includes a proxy statement of Qorvo that also constitutes a prospectus for the shares of Company common stock to be offered in the Mergers (collectively, the “Mergers Registration Statement and Proxy Statement/Prospectus”). Each of the Company and Qorvo may also file other relevant documents with the SEC regarding the Mergers. This communication is not a substitute for the proxy statement/prospectus or registration statement or any other document that the Company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THE COMPANY, QORVO, THE MERGERS AND RELATED MATTERS. Investors and security holders can obtain free copies of the Mergers Registration Statement and Proxy Statement/Prospectus and other documents containing important information about the Company, Qorvo and the Mergers filed with the SEC through the website maintained by the SEC at www.sec.gov. The documents filed by the Company with the SEC also may be obtained free of charge at the Company’s website at https://www.skyworksinc.com/investors or upon written request to the Company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hyperlink w:anchor="tm2622643d1_ex1-1.htm">
              <w:r>
                <w:rPr>
                  <w:rStyle w:val="InternetLink"/>
                  <w:rFonts w:ascii="Times New Roman;Times;Serif" w:hAnsi="Times New Roman;Times;Serif"/>
                  <w:b/>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1-1.htm">
              <w:r>
                <w:rPr>
                  <w:rStyle w:val="InternetLink"/>
                  <w:rFonts w:ascii="Times New Roman;Times;Serif" w:hAnsi="Times New Roman;Times;Serif"/>
                  <w:sz w:val="20"/>
                </w:rPr>
                <w:t>Underwriting Agreement, dated as of August 4, 2026, by and among the Company and Goldman Sachs &amp; Co. LLC, BofA Securities, Inc., J.P. Morgan Securities LLC and Wells Fargo Securities, LLC, as representatives of the several underwriters named therein</w:t>
              </w:r>
            </w:hyperlink>
          </w:p>
        </w:tc>
      </w:tr>
      <w:tr>
        <w:trPr/>
        <w:tc>
          <w:tcPr>
            <w:tcW w:w="725" w:type="dxa"/>
            <w:tcBorders/>
            <w:tcMar>
              <w:bottom w:w="0" w:type="dxa"/>
            </w:tcMar>
            <w:vAlign w:val="center"/>
          </w:tcPr>
          <w:p>
            <w:pPr>
              <w:pStyle w:val="TableContents"/>
              <w:bidi w:val="0"/>
              <w:spacing w:before="0" w:after="283"/>
              <w:jc w:val="left"/>
              <w:rPr/>
            </w:pPr>
            <w:hyperlink w:anchor="tm2622643d1_ex4-1.htm">
              <w:r>
                <w:rPr>
                  <w:rStyle w:val="InternetLink"/>
                  <w:rFonts w:ascii="Times New Roman;Times;Serif" w:hAnsi="Times New Roman;Times;Serif"/>
                  <w:b/>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1.htm">
              <w:r>
                <w:rPr>
                  <w:rStyle w:val="InternetLink"/>
                  <w:rFonts w:ascii="Times New Roman;Times;Serif" w:hAnsi="Times New Roman;Times;Serif"/>
                  <w:sz w:val="20"/>
                </w:rPr>
                <w:t>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1_ex4-2.htm">
              <w:r>
                <w:rPr>
                  <w:rStyle w:val="InternetLink"/>
                  <w:rFonts w:ascii="Times New Roman;Times;Serif" w:hAnsi="Times New Roman;Times;Serif"/>
                  <w:b/>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2.htm">
              <w:r>
                <w:rPr>
                  <w:rStyle w:val="InternetLink"/>
                  <w:rFonts w:ascii="Times New Roman;Times;Serif" w:hAnsi="Times New Roman;Times;Serif"/>
                  <w:sz w:val="20"/>
                </w:rPr>
                <w:t>First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1_ex4-3.htm">
              <w:r>
                <w:rPr>
                  <w:rStyle w:val="InternetLink"/>
                  <w:rFonts w:ascii="Times New Roman;Times;Serif" w:hAnsi="Times New Roman;Times;Serif"/>
                  <w:b/>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3.htm">
              <w:r>
                <w:rPr>
                  <w:rStyle w:val="InternetLink"/>
                  <w:rFonts w:ascii="Times New Roman;Times;Serif" w:hAnsi="Times New Roman;Times;Serif"/>
                  <w:sz w:val="20"/>
                </w:rPr>
                <w:t>Second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1_ex4-4.htm">
              <w:r>
                <w:rPr>
                  <w:rStyle w:val="InternetLink"/>
                  <w:rFonts w:ascii="Times New Roman;Times;Serif" w:hAnsi="Times New Roman;Times;Serif"/>
                  <w:b/>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4.htm">
              <w:r>
                <w:rPr>
                  <w:rStyle w:val="InternetLink"/>
                  <w:rFonts w:ascii="Times New Roman;Times;Serif" w:hAnsi="Times New Roman;Times;Serif"/>
                  <w:sz w:val="20"/>
                </w:rPr>
                <w:t>Third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1_ex4-2.htm">
              <w:r>
                <w:rPr>
                  <w:rStyle w:val="InternetLink"/>
                  <w:rFonts w:ascii="Times New Roman;Times;Serif" w:hAnsi="Times New Roman;Times;Serif"/>
                  <w:b/>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2.htm">
              <w:r>
                <w:rPr>
                  <w:rStyle w:val="InternetLink"/>
                  <w:rFonts w:ascii="Times New Roman;Times;Serif" w:hAnsi="Times New Roman;Times;Serif"/>
                  <w:sz w:val="20"/>
                </w:rPr>
                <w:t>Form of 5.000% Senior Note due 2028 (included in Exhibit 4.2)</w:t>
              </w:r>
            </w:hyperlink>
          </w:p>
        </w:tc>
      </w:tr>
      <w:tr>
        <w:trPr/>
        <w:tc>
          <w:tcPr>
            <w:tcW w:w="725" w:type="dxa"/>
            <w:tcBorders/>
            <w:tcMar>
              <w:bottom w:w="0" w:type="dxa"/>
            </w:tcMar>
            <w:vAlign w:val="center"/>
          </w:tcPr>
          <w:p>
            <w:pPr>
              <w:pStyle w:val="TableContents"/>
              <w:bidi w:val="0"/>
              <w:spacing w:before="0" w:after="283"/>
              <w:jc w:val="left"/>
              <w:rPr/>
            </w:pPr>
            <w:hyperlink w:anchor="tm2622643d1_ex4-3.htm">
              <w:r>
                <w:rPr>
                  <w:rStyle w:val="InternetLink"/>
                  <w:rFonts w:ascii="Times New Roman;Times;Serif" w:hAnsi="Times New Roman;Times;Serif"/>
                  <w:b/>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3.htm">
              <w:r>
                <w:rPr>
                  <w:rStyle w:val="InternetLink"/>
                  <w:rFonts w:ascii="Times New Roman;Times;Serif" w:hAnsi="Times New Roman;Times;Serif"/>
                  <w:sz w:val="20"/>
                </w:rPr>
                <w:t>Form of 5.750% Senior Note due 2032 (included in Exhibit 4.3)</w:t>
              </w:r>
            </w:hyperlink>
          </w:p>
        </w:tc>
      </w:tr>
      <w:tr>
        <w:trPr/>
        <w:tc>
          <w:tcPr>
            <w:tcW w:w="725" w:type="dxa"/>
            <w:tcBorders/>
            <w:tcMar>
              <w:bottom w:w="0" w:type="dxa"/>
            </w:tcMar>
            <w:vAlign w:val="center"/>
          </w:tcPr>
          <w:p>
            <w:pPr>
              <w:pStyle w:val="TableContents"/>
              <w:bidi w:val="0"/>
              <w:spacing w:before="0" w:after="283"/>
              <w:jc w:val="left"/>
              <w:rPr/>
            </w:pPr>
            <w:hyperlink w:anchor="tm2622643d1_ex4-4.htm">
              <w:r>
                <w:rPr>
                  <w:rStyle w:val="InternetLink"/>
                  <w:rFonts w:ascii="Times New Roman;Times;Serif" w:hAnsi="Times New Roman;Times;Serif"/>
                  <w:b/>
                  <w:sz w:val="20"/>
                </w:rPr>
                <w:t>4.7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4-4.htm">
              <w:r>
                <w:rPr>
                  <w:rStyle w:val="InternetLink"/>
                  <w:rFonts w:ascii="Times New Roman;Times;Serif" w:hAnsi="Times New Roman;Times;Serif"/>
                  <w:sz w:val="20"/>
                </w:rPr>
                <w:t>Form of 6.250% Senior Note due 2036 (included in Exhibit 4.4)</w:t>
              </w:r>
            </w:hyperlink>
          </w:p>
        </w:tc>
      </w:tr>
      <w:tr>
        <w:trPr/>
        <w:tc>
          <w:tcPr>
            <w:tcW w:w="725" w:type="dxa"/>
            <w:tcBorders/>
            <w:tcMar>
              <w:bottom w:w="0" w:type="dxa"/>
            </w:tcMar>
            <w:vAlign w:val="center"/>
          </w:tcPr>
          <w:p>
            <w:pPr>
              <w:pStyle w:val="TableContents"/>
              <w:bidi w:val="0"/>
              <w:spacing w:before="0" w:after="283"/>
              <w:jc w:val="left"/>
              <w:rPr/>
            </w:pPr>
            <w:hyperlink w:anchor="tm2622643d1_ex5-1.htm">
              <w:r>
                <w:rPr>
                  <w:rStyle w:val="InternetLink"/>
                  <w:rFonts w:ascii="Times New Roman;Times;Serif" w:hAnsi="Times New Roman;Times;Serif"/>
                  <w:b/>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5-1.htm">
              <w:r>
                <w:rPr>
                  <w:rStyle w:val="InternetLink"/>
                  <w:rFonts w:ascii="Times New Roman;Times;Serif" w:hAnsi="Times New Roman;Times;Serif"/>
                  <w:sz w:val="20"/>
                </w:rPr>
                <w:t>Opinion of Skadden, Arps, Slate, Meagher &amp; Flom LLP</w:t>
              </w:r>
            </w:hyperlink>
          </w:p>
        </w:tc>
      </w:tr>
      <w:tr>
        <w:trPr/>
        <w:tc>
          <w:tcPr>
            <w:tcW w:w="725" w:type="dxa"/>
            <w:tcBorders/>
            <w:tcMar>
              <w:bottom w:w="0" w:type="dxa"/>
            </w:tcMar>
            <w:vAlign w:val="center"/>
          </w:tcPr>
          <w:p>
            <w:pPr>
              <w:pStyle w:val="TableContents"/>
              <w:bidi w:val="0"/>
              <w:spacing w:before="0" w:after="283"/>
              <w:jc w:val="left"/>
              <w:rPr/>
            </w:pPr>
            <w:hyperlink w:anchor="tm2622643d1_ex5-1.htm">
              <w:r>
                <w:rPr>
                  <w:rStyle w:val="InternetLink"/>
                  <w:rFonts w:ascii="Times New Roman;Times;Serif" w:hAnsi="Times New Roman;Times;Serif"/>
                  <w:b/>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1_ex5-1.htm">
              <w:r>
                <w:rPr>
                  <w:rStyle w:val="InternetLink"/>
                  <w:rFonts w:ascii="Times New Roman;Times;Serif" w:hAnsi="Times New Roman;Times;Serif"/>
                  <w:sz w:val="20"/>
                </w:rPr>
                <w:t>Consent of Skadden, Arps, Slate, Meagher &amp; Flom LLP (included in Exhibit 5.1)</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643d1_ex1-1.htm"/>
      <w:bookmarkStart w:id="23" w:name="kstm2622643d1_ex1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5.000% Senior Notes due 2028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 5.750% Senior Notes due 2032</w:t>
        <w:br/>
        <w:t>$600,000,000 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firstLine="648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listed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to the several Underwriters listed in Schedule 1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you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$800,000,000 principal amount of its 5.000%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$600,000,000 principal amount of its 5.750% Senior Notes due 2032 (the “</w:t>
      </w:r>
      <w:r>
        <w:rPr>
          <w:rFonts w:ascii="Times New Roman;Times;Serif" w:hAnsi="Times New Roman;Times;Serif"/>
          <w:b w:val="false"/>
          <w:i w:val="false"/>
          <w:caps w:val="false"/>
          <w:smallCaps w:val="false"/>
          <w:sz w:val="20"/>
          <w:u w:val="single"/>
        </w:rPr>
        <w:t>2032 Notes</w:t>
      </w:r>
      <w:r>
        <w:rPr>
          <w:rFonts w:ascii="Times New Roman;Times;Serif" w:hAnsi="Times New Roman;Times;Serif"/>
          <w:b w:val="false"/>
          <w:i w:val="false"/>
          <w:caps w:val="false"/>
          <w:smallCaps w:val="false"/>
          <w:sz w:val="20"/>
        </w:rPr>
        <w:t>”) and $600,000,000 principal amount of its 6.250%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and, together with the 2028 Notes and the 2032 Notes,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will be issued pursuant to an Indenture to be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by a First Supplemental Indenture to be dated as of August 10, 2026 with respect to the 2028 Notes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 Second Supplemental Indenture to be dated as of August 10, 2026 with respect to the 2032 Notes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a Third Supplemental Indenture to be dated as of August 10, 2026 with respect to the 2036 Notes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First Supplemental Indenture, the Second Supplemental Indenture and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and the rules and regulations of the Commission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 registration statement on Form S-3ASR (File No. 333-297918), on August 3, 2026, relating to the Securities.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Times;Serif" w:hAnsi="Times New Roman;Times;Serif"/>
          <w:b w:val="false"/>
          <w:i w:val="false"/>
          <w:caps w:val="false"/>
          <w:smallCaps w:val="false"/>
          <w:sz w:val="20"/>
          <w:u w:val="single"/>
        </w:rPr>
        <w:t>Rule 430 Information</w:t>
      </w:r>
      <w:r>
        <w:rPr>
          <w:rFonts w:ascii="Times New Roman;Times;Serif" w:hAnsi="Times New Roman;Times;Serif"/>
          <w:b w:val="false"/>
          <w:i w:val="false"/>
          <w:caps w:val="false"/>
          <w:smallCaps w:val="false"/>
          <w:sz w:val="20"/>
        </w:rPr>
        <w:t>”),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as used herein, the term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 the form first used (or made available upon request of purchasers pursuant to Rule 173 under the Securities Act) in connection with confirmation of sales of the Securities. Any reference in 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Times;Serif" w:hAnsi="Times New Roman;Times;Serif"/>
          <w:b w:val="false"/>
          <w:i w:val="false"/>
          <w:caps w:val="false"/>
          <w:smallCaps w:val="false"/>
          <w:sz w:val="20"/>
          <w:u w:val="single"/>
        </w:rPr>
        <w:t>amend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that are deemed to be incorporated by reference therein. Capitalized terms used but not defined herein shall have the meanings given to such terms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4:25 P.M., New York City time, on August 4, 2026, the time when sales of the Securities were first made (the “</w:t>
      </w:r>
      <w:r>
        <w:rPr>
          <w:rFonts w:ascii="Times New Roman;Times;Serif" w:hAnsi="Times New Roman;Times;Serif"/>
          <w:b w:val="false"/>
          <w:i w:val="false"/>
          <w:caps w:val="false"/>
          <w:smallCaps w:val="false"/>
          <w:sz w:val="20"/>
          <w:u w:val="single"/>
        </w:rPr>
        <w:t>Time of Sale</w:t>
      </w:r>
      <w:r>
        <w:rPr>
          <w:rFonts w:ascii="Times New Roman;Times;Serif" w:hAnsi="Times New Roman;Times;Serif"/>
          <w:b w:val="false"/>
          <w:i w:val="false"/>
          <w:caps w:val="false"/>
          <w:smallCaps w:val="false"/>
          <w:sz w:val="20"/>
        </w:rPr>
        <w:t>”), the Company had prepared the following information (collectively, the “</w:t>
      </w:r>
      <w:r>
        <w:rPr>
          <w:rFonts w:ascii="Times New Roman;Times;Serif" w:hAnsi="Times New Roman;Times;Serif"/>
          <w:b w:val="false"/>
          <w:i w:val="false"/>
          <w:caps w:val="false"/>
          <w:smallCaps w:val="false"/>
          <w:sz w:val="20"/>
          <w:u w:val="single"/>
        </w:rPr>
        <w:t>Time of Sale Information</w:t>
      </w:r>
      <w:r>
        <w:rPr>
          <w:rFonts w:ascii="Times New Roman;Times;Serif" w:hAnsi="Times New Roman;Times;Serif"/>
          <w:b w:val="false"/>
          <w:i w:val="false"/>
          <w:caps w:val="false"/>
          <w:smallCaps w:val="false"/>
          <w:sz w:val="20"/>
        </w:rPr>
        <w:t>”): a Preliminary Prospectus dated August 3, 2026, and each “</w:t>
      </w:r>
      <w:r>
        <w:rPr>
          <w:rFonts w:ascii="Times New Roman;Times;Serif" w:hAnsi="Times New Roman;Times;Serif"/>
          <w:b w:val="false"/>
          <w:i w:val="false"/>
          <w:caps w:val="false"/>
          <w:smallCaps w:val="false"/>
          <w:sz w:val="20"/>
          <w:u w:val="single"/>
        </w:rPr>
        <w:t>free-writing prospectus</w:t>
      </w:r>
      <w:r>
        <w:rPr>
          <w:rFonts w:ascii="Times New Roman;Times;Serif" w:hAnsi="Times New Roman;Times;Serif"/>
          <w:b w:val="false"/>
          <w:i w:val="false"/>
          <w:caps w:val="false"/>
          <w:smallCaps w:val="false"/>
          <w:sz w:val="20"/>
        </w:rPr>
        <w:t>” (as defined pursuant to Rule 405 under the Securities Act) listed on Annex A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and Plan of Merger, dated as of October 27, 2025 (as amended, supplemented, amended and restated, restated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Qorvo, Inc., a Delaware corporation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Comet Acquisition Corp., a Delaware corporation and a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which, subject to the satisfaction or waiver of the conditions specified therein,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Company. The Company intends to use the net proceeds from the offering of the Securities, together with existing cash and cash equivalents, to finance the cash consideration of approximately $3.00 billion for the Mergers. In the event the consummation of the Mergers does not occur, the Company intends to use the net proceeds from the 2032 Notes for general corporate purposes. Subject to the terms of the Indenture, the 2028 Notes and the 2036 Notes will be redeemed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in whole and not in part, at a price equal to 101% of the aggregate principal amount of such Notes, plus accrued and unpaid interest thereon to, but excluding, the date of the Special Mandatory Redemption, in the event that (i) the consummation of the Mergers does not occur on or before 11:59 p.m. Pacific Time on November 3, 2027, (ii) the Company notifies the Trustee and the holders of the 2028 Notes and the 2036 Notes that it will not pursue the consummation of the Mergers or (iii) the Merger Agreement has been terminated without the consummation of the Mergers. The 2032 Notes will not be subject to the Special Mandatory Redemption if the Mergers are not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(i) the respective principal amount of 2028 Notes set forth opposite such Underwriter’s name in Schedule 1 hereto at a price equal to 99.472% of the principal amount thereof plus accrued interest, if any, from August 10, 2026 to the Closing Date (as defined below), (ii) the respective principal amount of 2032 Notes set forth opposite such Underwriter’s name in Schedule 1 hereto at a price equal to 99.332% of the principal amount thereof plus accrued interest, if any, from August 10, 2026 to the Closing Date and (iii) the respective principal amount of 2036 Notes set forth opposite such Underwriter’s name in Schedule 1 hereto at a price equal to 98.030% of the principal amount thereof plus accrued interest, if any, from August 10, 2026 to the Closing Date. The Company will not be obligated to deliver any of the Securities except upon payment for all the Securities to be purchased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and delivery of the Securities will be made at the offices of Cravath, Swaine &amp; Moore LLP at 10:00 A.M., New York City time, on August 10,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for the Securities shall be made by wire transfer in immediately available funds to the account(s) specified by the Company to the Representatives against delivery to the nominee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for the account of the Underwriters, of one or more global notes representing each series of Securities (collectively,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with any transfer taxes payable in connection with the sale of the Securities duly paid by the Company. The Global Notes will be made available for inspection by the Representatives not later than 1:00 P.M., New York City time, on the business day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any Representative or any Underwriter of the Company, the transactions contemplated hereby or other matters relating to such transactions will be performed solely for the benefit of such Representative or such Underwriter, as the case may be, and shall not be on behalf of the Company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(it being understood that, prior to the Closing Date, all representations and warranties with respect to Qorvo and its subsidiaries are made to the knowledge of the Company) represents and warrants to each Underwriter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it being understood and agreed that the only such information furnished by any Underwriter consists of the information described as such in Section 7(b)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The Company (including its agents and representatives, other than the Underwriters in their capacity as such) has not prepared, made, used, authorized, approved or referred to and will not prepare, make, use, authorize, approve or refer to any “</w:t>
      </w:r>
      <w:r>
        <w:rPr>
          <w:rFonts w:ascii="Times New Roman;Times;Serif" w:hAnsi="Times New Roman;Times;Serif"/>
          <w:b w:val="false"/>
          <w:i w:val="false"/>
          <w:caps w:val="false"/>
          <w:smallCaps w:val="false"/>
          <w:sz w:val="20"/>
          <w:u w:val="single"/>
        </w:rPr>
        <w:t>written communication</w:t>
      </w:r>
      <w:r>
        <w:rPr>
          <w:rFonts w:ascii="Times New Roman;Times;Serif" w:hAnsi="Times New Roman;Times;Serif"/>
          <w:b w:val="false"/>
          <w:i w:val="false"/>
          <w:caps w:val="false"/>
          <w:smallCaps w:val="false"/>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xml:space="preserve">”)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or filed prior to the first use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at the Closing Date will comply in all material respects with the Securities Act and the Trust Indenture Act of 1939, as amended, and the rules and regulations of the Commission thereunder (collectively,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Incorporated Documents.</w:t>
      </w:r>
      <w:r>
        <w:rPr>
          <w:rFonts w:ascii="Times New Roman;Times;Serif" w:hAnsi="Times New Roman;Times;Serif"/>
          <w:b w:val="false"/>
          <w:i w:val="false"/>
          <w:caps w:val="false"/>
          <w:smallCaps w:val="false"/>
          <w:sz w:val="20"/>
        </w:rPr>
        <w:t xml:space="preserve"> The documents incorporated by reference in each of the Registration Statement, the Prospectus and the Time of Sale Information,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 except that the representations and warranties set forth in this paragraph do not apply to that part of the Registration Statement that constitutes the Statement of Eligibility (Form T-1) under the Trust Indenture Act,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and the related notes thereto of the Company and Qorvo included or incorporated by reference in each of the Registration Statement, the Time of Sale Information and the Prospectus comply in all material respects with the applicable requirements of the Securities Act and the Exchange Act, as applicable, and present fairly, in all material respects, the financial position of the Company or Qorvo, as applicable, and their respective subsidiaries as of the dates indicated and the results of their operations and the changes in their respective cash flows for the periods specified; such financial statements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thereby, and the supporting schedules included or incorporated by reference in each of the Registration Statement, the Prospectus and the Time of Sale Information present fairly, in all material respects, the information required to be stated therein; and the other financial information included or incorporated by reference in each of the Registration Statement, the Time of Sale Information and the Prospectus has been derived from the accounting records of the Company or Qorvo, as applicable, and their respective subsidiaries and presents fairly the information shown thereby. The unaudited pro forma financial statements, together with the related notes and any supporting schedules included or incorporated by reference in each of the Registration Statement, the Time of Sale Information and the Prospectus, fairly present the information shown therein and have been compiled on a basis substantially consistent with the audited financial statements of the Company included or incorporated by reference in each of the Registration Statement, the Time of Sale Information and the Prospectus; and such unaudited pro forma financial statements have been prepared, and the pro forma adjustments set forth therein have been applied, in accordance with the applicable accounting requirements of the Securities Act (including, without limitation, Regulation S-X promulgated by the Commission), the assumptions underlying such pro forma financial statements are reasonable and the pro forma adjustments have been properly applied to the historical amounts in the compilation of such statements. The interactive data in eXtensible Business Reporting Language included or incorporated by reference in the Registration Statement, the Prospectus and the Time of Sale Information fairly present the information called for in all material respects and has been prepared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most recent financial statements of the Company or Qorvo, as applicable, included or incorporated by reference in each of the Registration Statement, the Time of Sale Information and the Prospectus, (i) there has not been any change in the capital stock (other than the issuance of capital stock of the Company or Qorvo upon the exercise of stock options described as outstanding in, and the grant and/or vesting of options and awards under existing equity incentive plans described in, the Registration Statement, the Time of Sale Information and the Prospectus or the purchase of capital stock of the Company pursuant to stock repurchase programs described in the Registration Statement, the Time of Sale Information and the Prospectus) or long-term debt of the Company or Qorvo or any of their respective subsidiaries, or any dividend or distribution of any kind declared, set aside for payment, paid or made by the Company or Qorvo on any class of capital stock (other than dividends declared on capital stock of the Company or Qorvo in the ordinary course of business and consistent with past practice), or any material adverse change, or any development involving a prospective material adverse change, in or affecting the business, properties, management, financial position, results of operations or prospects of the Company and its subsidiaries (including Qorvo and its subsidiaries, assuming consummation of and giving effect to, the Mergers) taken as a whole; (ii) none of the Company, Qorvo or any of their respective subsidiaries has entered into any transaction or agreement that is material to the Company and its subsidiaries (including Qorvo and its subsidiaries, assuming consummation of and giving effect to, the Mergers) taken as a whole or incurred any liability or obligation, direct or contingent, that is material to the Company and its subsidiaries (including Qorvo and its subsidiaries, assuming consummation of and giving effect to, the Mergers) taken as a whole; and (iii) none of the Company, Qorvo or any of their respective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xml:space="preserve"> Each of the Company and its significant subsidiaries (as such term is defined in Rule 1-02(w) of Regulation S-X under the Exchange Act (each, a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and Qorvo and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reasonably be expected to have a material adverse effect on the business, properties, management, financial position, results of operations or prospects of the Company and its subsidiaries (including Qorvo and its subsidiaries, assuming consummation of and giving effect to, the Mergers) taken as a whole or on the performance by the Company of its obligations under this Agreement and the Securities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subsidiaries listed in Schedule 2 to this Agreement are the only significant subsidiaries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The Company has the authorized capitalization as set forth in each of the Registration Statement, the Time of Sale Information and the Prospectus under the heading “Capitalization”; and all the outstanding shares of capital stock or other equity interests of each subsidiary of the Company and Qorvo have been duly and validly authorized and issued, are fully paid and non-assessable (except, in the case of any foreign subsidiary for directors’ qualifying shares and except as otherwise described in each of the Registration Statement, the Time of Sale Information and the Prospectus) and are owned directly or indirectly by the Company or Qorvo, as applicable, free and clear of any lien, charge, encumbrance, security interest, restriction on voting or transfer or any other claim of any third party, except as described in each of the Registration Statement, the Time of Sale Information and the Prospectus or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full right, power and authority to execute and deliver this Agreement, the Securities and the Indenture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to perform its obligations hereunder and thereunder; and all action required to be taken for the due and proper authorization, execution and delivery of each of the Transaction Documents by the Company and the consummation of the transactions contemplated thereby by the Company has been duly and validly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 xml:space="preserve">The Indenture. </w:t>
      </w:r>
      <w:r>
        <w:rPr>
          <w:rFonts w:ascii="Times New Roman;Times;Serif" w:hAnsi="Times New Roman;Times;Serif"/>
          <w:b w:val="false"/>
          <w:i w:val="false"/>
          <w:caps w:val="false"/>
          <w:smallCaps w:val="false"/>
          <w:sz w:val="20"/>
        </w:rPr>
        <w:t>The Indenture will have been duly authorized by the Company and on the Closing Date will be duly executed and delivered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and on the Closing Date the Indenture will conform in all material respects to the requirements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The Securities</w:t>
      </w:r>
      <w:r>
        <w:rPr>
          <w:rFonts w:ascii="Times New Roman;Times;Serif" w:hAnsi="Times New Roman;Times;Serif"/>
          <w:b w:val="false"/>
          <w:i w:val="false"/>
          <w:caps w:val="false"/>
          <w:smallCaps w:val="false"/>
          <w:sz w:val="20"/>
        </w:rPr>
        <w:t>.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in all material respects to the description thereof contained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None of the Company or any of its significant subsidiaries, or Qorvo 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or Qorvo or any of its subsidiaries, is a party or by which the Company or any of its significant subsidiaries, or Qorvo or any of its subsidiaries, is bound or to which any property, right or asset of the Company or any of its significant subsidiaries, or Qorvo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each of the Transaction Documents to which it is a party, 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significant subsidiaries, as applicable, pursuant to, any indenture, mortgage, deed of trust, loan agreement or other agreement or instrument to which the Company or any of its significant subsidiaries is a party or by which the Company or any of its significant subsidiaries is bound or to which any property, right or asset of the Company or any of its subsidiaries is subject, (ii) result in any violation of the provisions of the charter or by-laws or similar organizational documents of the Company or any of its significant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(i) the registration of the Securities under the Securities Act, (ii) the qualification of the Indenture under the Trust Indenture Act and (iii) such consents, approvals, authorizations, orders and registrations or qualifications as may be required under applicable state securities laws in connection with the purchase and distribution of the Securities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described in each of the Registration Statement, the Time of Sale Information and the Prospectus, there are no legal, governmental or regulatory investigations or proceedings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to which the Company, Qorvo or any of their respective subsidiaries is a party or to which any property of the Company, Qorvo or any of their respective subsidiaries is the subject that, individually or in the aggregate, if determined adversely to the Company, Qorvo or any of their respective subsidiaries, would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and the Prospectus that are not so filed as exhibits to the Registration Statement or described in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xml:space="preserve"> (i) KPMG LLP (the “</w:t>
      </w:r>
      <w:r>
        <w:rPr>
          <w:rFonts w:ascii="Times New Roman;Times;Serif" w:hAnsi="Times New Roman;Times;Serif"/>
          <w:b w:val="false"/>
          <w:i w:val="false"/>
          <w:caps w:val="false"/>
          <w:smallCaps w:val="false"/>
          <w:sz w:val="20"/>
          <w:u w:val="single"/>
        </w:rPr>
        <w:t>Company Auditors</w:t>
      </w:r>
      <w:r>
        <w:rPr>
          <w:rFonts w:ascii="Times New Roman;Times;Serif" w:hAnsi="Times New Roman;Times;Serif"/>
          <w:b w:val="false"/>
          <w:i w:val="false"/>
          <w:caps w:val="false"/>
          <w:smallCaps w:val="false"/>
          <w:sz w:val="20"/>
        </w:rPr>
        <w:t>”), who have certified certain financial statements of the Company and its subsidiaries, are independent public accountants with respect to the Company and its subsidiaries within the applicable rules and regulations adopted by the Commission and the Public Company Accounting Oversight Board (United States) and as required by the Securities Act; and (ii) Ernst &amp; Young LLP (the “</w:t>
      </w:r>
      <w:r>
        <w:rPr>
          <w:rFonts w:ascii="Times New Roman;Times;Serif" w:hAnsi="Times New Roman;Times;Serif"/>
          <w:b w:val="false"/>
          <w:i w:val="false"/>
          <w:caps w:val="false"/>
          <w:smallCaps w:val="false"/>
          <w:sz w:val="20"/>
          <w:u w:val="single"/>
        </w:rPr>
        <w:t>Qorvo Auditors</w:t>
      </w:r>
      <w:r>
        <w:rPr>
          <w:rFonts w:ascii="Times New Roman;Times;Serif" w:hAnsi="Times New Roman;Times;Serif"/>
          <w:b w:val="false"/>
          <w:i w:val="false"/>
          <w:caps w:val="false"/>
          <w:smallCaps w:val="false"/>
          <w:sz w:val="20"/>
        </w:rPr>
        <w:t>”), who have certified certain financial statements of Qorvo and its subsidiaries, are independent public accountants with respect to Qorvo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xml:space="preserve"> The Company and its significant subsidiaries, and Qorvo and its subsidiaries, have good and marketable title in fee simple to, or have valid rights to lease or otherwise use, all items of real and personal property that are material to the respective businesses of the Company, Qorvo and their respective subsidiaries, in each case free and clear of all liens, charges, encumbrances, claims and defects and imperfections of title except those that (i) do not materially interfere with the use made and proposed to be made of such property by the Company, Qorvo and their respective subsidiaries or (ii) would not reasonably be expected,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Except as would not reasonably be expected, individually or in the aggregate, to have a Material Adverse Effect, (i) the Company and its significant subsidiaries, and Qorvo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used in the conduct of their respective businesses; (ii) the Company, Qorvo and their respective subsidiaries’ conduct of their respective businesses does not infringe, misappropriate or otherwise violate any Intellectual Property of any person; (iii) the Company, Qorvo and their respective subsidiaries have not received any written notice of any claim relating to Intellectual Property; and (iv) the Intellectual Property of the Company and its significant subsidiaries, and Qorvo and its subsidiaries, is not being infringed, misappropriated or otherwise violated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xml:space="preserve"> No relationship, direct or indirect, exists between or among the Company, Qorvo or any of their respective subsidiaries, on the one hand, and the directors, officers, stockholders, customers, suppliers or other affiliates of the Company, Qorvo or any of their respective subsidiaries, on the other, that is required by the Securities Act to be described in each of the Registration Statement and the Prospectus and that is not so described in such documents and in the Time of Sale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Neither the Company nor Qorvo is, or after giving effect to the offering and sale of the Securities and the application of the proceeds thereof as described in each of the Registration Statement, the Time of Sale Information and the Prospectus, will be, an “investment company” or an entity “controlled” by an “investment company” within the meaning of the Investment Company Act of 1940, as amended, and the rules and regulations of the Commission thereunder (collectively,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Except as described in the Registration Statement, the Time of Sale Information and the Prospectus or as is being contested in good faith and for which adequate reserve or accrual has been established in accordance with GAAP, the Company, Qorvo and their respective subsidiaries have paid all federal, state, local and foreign taxes and filed all tax returns required to be paid or filed through the date hereof; and except as otherwise disclosed in each of the Registration Statement, the Time of Sale Information and the Prospectus, the Company is not aware of any material tax deficiency that has been, or would reasonably be expected to be, asserted against the Company, Qorvo or any of their respective subsidiaries or any of their respective properties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The Company, Qorvo and their respective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reasonably be expected to, individually or in the aggregate, have a Material Adverse Effect; and except as described in each of the Registration Statement, the Time of Sale Information and the Prospectus, none of the Company, Qorvo or any of their respective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Qorvo or any of their respective subsidiaries exists or, to the knowledge of the Company, is contemplated or threatened and the Company is not aware of any existing or imminent labor disturbance by, or dispute with, the employees of any of the principal suppliers, contractors or customers of the Company, Qorvo or any of their respective subsidiaries, except as would not reasonably be expected to, individually or in the aggregate, have a Material Adverse Effect. None of the Company, Qorvo or any of their respective subsidiaries has received any notice of cancellation or termination with respect to any collective bargaining agreement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(i) The Company, Qorvo and their respective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to the knowledge of the Company, there are no costs or liabilities associated with Environmental Laws of or relating to the Company, Qorvo or their respective subsidiaries, except in the case of each of (i) and (ii) above, for any such matter as would not, individually or in the aggregate, reasonably be expected to have a Material Adverse Effect; and (iii) except as described in each of the Registration Statement, the Time of Sale Information and the Prospectus, (x) there is no proceeding that is pending, or that is known to be contemplated, against the Company, Qorvo or any of their respective subsidiaries under any Environmental Laws in which a governmental entity is also a party, other than such proceeding regarding which it is reasonably believed no monetary sanctions of $100,000 or more will be imposed, (y) the Company, Qorvo and their respective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Qorvo and their respective subsidiaries, and (z) none of the Company, Qorvo or their respective subsidiaries anticipates material capital expenditures relating to any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xml:space="preserve"> (i)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for which the Company, Qorvo or any member of their respective “Controlled Groups” (defined as any entity, whether or not incorporated, that is under common control with the Company or Qorvo, as applicable, within the meaning of Section 4001(a)(14) of ERISA or any entity that would be regarded as a single employer with the Company or Qorvo, as applicable, under Section 414(b), (c),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none of the Company, Qorvo or any member of their respective Controlled Groups has incurred, 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Qorvo or their respective Controlled Group affiliates in the current fiscal year of the Company, Qorvo and their respective Controlled Group affiliates compared to the amount of such contributions made in the Company’s, Qorvo’s and their respective Controlled Group affiliates’ most recently completed fiscal year; or (B) a material increase in the Company, Qorvo and their respective subsidiaries’ “accumulated post-retirement benefit obligations” (within the meaning of Accounting Standards Codification Topic 715-60) compared to the amount of such obligations in the Company’s, Qorvo’s and their respective subsidiaries’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Each of the Company, Qorvo and their respective subsidiaries maintain a system of “disclosure controls and procedures” (as defined in Rule 13a-15(e) of the Exchange Act) that complies with the requirements of the Exchange Act and that has been designed to ensure that information required to be disclosed by the Company or Qorvo, as applicable,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or Qorvo’s management, as applicable, as appropriate to allow timely decisions regarding required disclosure. Each of the Company, Qorvo and their respective subsidiaries have carried out evaluations of the effectiveness of their disclosure controls and procedures as required by Rule 13a-15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Each of the Company, Qorvo and their respective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Each of the Company, Qorvo and their respective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or Qorvo’s internal controls,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The Company, Qorvo and their respective subsidiaries have insurance covering their respective properties, operations, personnel and businesses, including business interruption insurance, which insurance is in amounts and insures against such losses and risks as are adequate to protect the Company, Qorvo and their respective subsidiaries and their respective businesses except as would not reasonably be expected to, individually or in the aggregate, have a Material Adverse Effect; and none of the Company, Qorvo or any of their respective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in each case except as would not reasonably be expected to,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None of the Company, Qorvo or any of their respective subsidiaries, or any director, officer or employee of the Company, Qorvo or any of their respective subsidiaries or, to the knowledge of the Company, any agent, affiliate or other person acting on behalf of the Company, Qorvo or any of their respective subsidiaries has (i) used any Company or Qorvo funds for any unlawful contribution, gift, entertainment or other unlawful expense relating to political activity; (ii) offered, promised or authorized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unlawful rebate, payoff, influence payment, kickback or other unlawful or improper payment or benefit. The Company, Qorvo and their respective subsidiaries have instituted, maintain and enforce policies and procedures designed to promote and ensure compliance with all applicable anti-bribery and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Qorvo and their respective subsidiaries are and have been conducted at all times in compliance with applicable financial recordkeeping and reporting requirements of the Currency and Foreign Transactions Reporting Act of 1970, as amended, applicable provisions of the USA PATRIOT Act of 2001, the Money Laundering Control Act of 1986, the Anti-Money Laundering Act of 2020 and the applicable money laundering statutes of all jurisdictions where the Company, Qorvo or any of their respective subsidiaries conduct business, the rules and regulations thereunder and any related or similar rules, regulations or guidelines, issued, administered or enforced by any governmental agency having jurisdiction over the Company, Qorvo and their respective subsidiaries (collectively, the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None of the Company, Qorvo or any of their respective subsidiaries, directors, officers or employees, or, to the knowledge of the Company, any agent, affiliate or other person acting on behalf of the Company, Qorvo or any of their respective subsidiaries is currently the subject or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Qorvo, or any of their respective subsidiaries located, organized or resident in a country or territory that is the subject or target of Sanctions, including, without limitation, Cuba, Iran, North Korea, Syria (with respect to Syria, only until July 1, 2025), the Crimea, the so-called Donetsk People’s Republic, the so-called Luhansk People’s Republic, the non-government controlled areas of the Zaporizhzhia and Kherson regions of Ukraine and any other Covered Region identified by Executive Order 14065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would reasonably be expected to result in a violation by any person (including any person participating in the transaction, whether as underwriter, initial purchaser, advisor, investor or otherwise) of Sanctions. Since April 24, 2019, the Company, Qorvo and their respective subsidiaries have not knowingly engaged in and are not now knowingly engaged in any dealings or transactions with any person that at the time of the dealing or transaction is or was the subject or target of Sanctions or with any Sanctioned Country, in each case in violation of any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No subsidiary of the Company or Qorvo is currently prohibited, directly or indirectly, under any agreement or other instrument to which it is a party or is subject, from paying any dividends to the Company or Qorvo, as applicable, from making any other distribution on such subsidiary’s capital stock or similar ownership interest, from repaying to the Company or Qorvo, as applicable, any loans or advances to such subsidiary from the Company or Qorvo, as applicable, or from transferring any of such subsidiary’s properties or assets to the Company or Qorvo, as applicable, or any other subsidiary of the Company or Qorvo, as applicable, except for any such prohibitions or restrictions as described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None of the Company 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No person has the right to require the Company or any of its subsidiaries to register any securities for sale under the Securities Act by reason of the filing of the Registration Statement with the Commission or the issuance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has not taken, directly or indirectly, any action designed to or that would reasonably be expected to cause or result in any stabilization or manipulation of the price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Nothing has come to the attention of the Company that has caused the Company to believe that the statistical and market-related data included or incorporated by reference in each of the Registration Statement, the Time of Sale Information and the Prospectus is not based on or derived from sources that are reliable and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Except as would not, individually or in the aggregate, reasonably be expected to result in a Material Adverse Effect, (i) the Company, Qorvo and their respective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Qorvo and their respective subsidiaries as currently conducted, free and clear of bugs, errors, defects, Trojan horses, time bombs, malware and other corruptants; (ii) the Company, Qorvo and their respective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used in connection with their businesses, and there have been no breaches, violations, outages or unauthorized uses of or accesses to same, except for those that have been or are expected to be remedied without material cost or liability or the duty to notify any other person, nor any incidents under internal review or investigations relating to the same; and (iii) the Company, Qorvo and their respective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There is and has been no failure on the part of the Company, Qorvo or any of their respective directors or officers, in their capacities as such, to comply in all material respects with any provision of the Sarbanes-Oxley Act of 2002, as amended,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The Company is not an ineligible issuer and is a well-known seasoned issuer, in each case as defined under the Securities Act, in each case at the times specified in the Securities Act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caps w:val="false"/>
          <w:smallCaps w:val="false"/>
          <w:sz w:val="20"/>
        </w:rPr>
        <w:t>Merger Agreement</w:t>
      </w:r>
      <w:r>
        <w:rPr>
          <w:rFonts w:ascii="Times New Roman;Times;Serif" w:hAnsi="Times New Roman;Times;Serif"/>
          <w:b w:val="false"/>
          <w:i w:val="false"/>
          <w:caps w:val="false"/>
          <w:smallCaps w:val="false"/>
          <w:sz w:val="20"/>
        </w:rPr>
        <w:t>. The Merger Agreement is in full force and effect, and the Company has not received any notice of breach or termination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within the time periods specified by Rule 424(b) and Rule 430A, 430B or 430C under the Securities Act, will file any Issuer Free Writing Prospectus (including the Pricing Term Sheet referred to in Annex B hereto) to the extent required by Rule 433 under the Securities Act and will file or furnish promptly all reports and any definitive proxy or information statements required to be filed or furnished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to each Representative and to each Underwriter (i) a conformed copy of the Registration Statement as originally filed and each amendment thereto, in each case including, upon request, all exhibits and consents filed therewith and (ii)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without the Representatives’ consent, which consent shall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 when the Registration Statement has become effective; and (ii) during the Prospectus Delivery Period (A) when any amendment to the Registration Statement has been filed or becomes effective; (B) when any supplement to the Prospectus or any Issuer Free Writing Prospectus or any amendment to the Prospectus or any Issuer Free Writing Prospectus has been filed; (C)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(D)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(E) of the occurrence of any event or development as a result of which the Prospectus, any of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(F) of the receipt by the Company of any notice of objection of the Commission to the use of the Registration Statement or any post-effective amendment thereto pursuant to Rule 401(g)(2) under the Securities Act; and (G)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possible the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or qualify to do business in any jurisdiction, (ii) file any general consent to service of process in any such jurisdiction or (iii) subject itself to taxation in any such jurisdiction if it is not otherwise so subject. The Company will promptly advise the Representatives of the receipt by the Company of any notification with respect to the suspension of the qualification of the Securities being offered in any jurisdiction or the initiation or threatening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Earning Statement. </w:t>
      </w:r>
      <w:r>
        <w:rPr>
          <w:rFonts w:ascii="Times New Roman;Times;Serif" w:hAnsi="Times New Roman;Times;Serif"/>
          <w:b w:val="false"/>
          <w:i w:val="false"/>
          <w:caps w:val="false"/>
          <w:smallCaps w:val="false"/>
          <w:sz w:val="20"/>
        </w:rPr>
        <w:t>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During the period from the date hereof through and including the business day following the Closing Date, the Company will not, without the prior written consent of the Representatives, offer, sell, contract to sell or otherwise dispose of any debt securities issued or guaranteed by the Company and having a tenor of more than one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Securities as described in each of the Registration Statement, the Time of Sale Information and the Prospectus under the heading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Company will assist the Underwriters in arranging for the Securities to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will not take, directly or indirectly, any action designed to or that could reasonably be expected to cause or result in any stabilization or manipulation of the price of the Securities (it being understood that the Company makes no representation as to the actions taken by or on behalf of any Underwriter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Record Retention</w:t>
      </w:r>
      <w:r>
        <w:rPr>
          <w:rFonts w:ascii="Times New Roman;Times;Serif" w:hAnsi="Times New Roman;Times;Serif"/>
          <w:b w:val="false"/>
          <w:i w:val="false"/>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represents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not and will not use, authorize use of, refer to, or participate in the planning for use of, any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Times;Serif" w:hAnsi="Times New Roman;Times;Serif"/>
          <w:b w:val="false"/>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Notwithstanding the foregoing, the Underwriters may use the Pricing Term Sheet referred to in Annex B hereto without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not subject to any pending proceeding under Section 8A of the Securities Act with respect to the offering (and will promptly notify the Company if any such proceeding against it is initiated during the Prospectus Delivery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Securities on the Closing Date as provided herein is subject to the performance by the Company of its covenants and other obligations hereunder and to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Downgrade.</w:t>
      </w:r>
      <w:r>
        <w:rPr>
          <w:rFonts w:ascii="Times New Roman;Times;Serif" w:hAnsi="Times New Roman;Times;Serif"/>
          <w:b w:val="false"/>
          <w:i w:val="false"/>
          <w:caps w:val="false"/>
          <w:smallCaps w:val="false"/>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Representatives shall have received on and as of the Closing Date a certificate of an executive officer of the Company who 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Comfort Letters of Company Auditors.</w:t>
      </w:r>
      <w:r>
        <w:rPr>
          <w:rFonts w:ascii="Times New Roman;Times;Serif" w:hAnsi="Times New Roman;Times;Serif"/>
          <w:b w:val="false"/>
          <w:i w:val="false"/>
          <w:caps w:val="false"/>
          <w:smallCaps w:val="false"/>
          <w:sz w:val="20"/>
        </w:rPr>
        <w:t xml:space="preserve"> On the date of this Agreement and on the Closing Date, the Company Auditors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the Company contained in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shall use a “cut-off” date no more than three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Comfort Letters of Qorvo Auditors.</w:t>
      </w:r>
      <w:r>
        <w:rPr>
          <w:rFonts w:ascii="Times New Roman;Times;Serif" w:hAnsi="Times New Roman;Times;Serif"/>
          <w:b w:val="false"/>
          <w:i w:val="false"/>
          <w:caps w:val="false"/>
          <w:smallCaps w:val="false"/>
          <w:sz w:val="20"/>
        </w:rPr>
        <w:t xml:space="preserve"> On the date of this Agreement and on the Closing Date, the Qorvo Auditors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Qorvo contained in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shall use a “cut-off” date no more than three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Opinion and 10b-5 Statement of Counsel for the Company.</w:t>
      </w:r>
      <w:r>
        <w:rPr>
          <w:rFonts w:ascii="Times New Roman;Times;Serif" w:hAnsi="Times New Roman;Times;Serif"/>
          <w:b w:val="false"/>
          <w:i w:val="false"/>
          <w:caps w:val="false"/>
          <w:smallCaps w:val="false"/>
          <w:sz w:val="20"/>
        </w:rPr>
        <w:t xml:space="preserve"> Skadden, Arps, Slate, Meagher &amp; Flom LLP and Affiliates, counsel for the Company, shall have furnished to the Representatives, at the request of the Company, their written opinion, tax opinion and 10b-5 statement, dated the Closing Date and addressed to the Underwriters, in form and substance reasonably satisfactory to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The Representatives shall have received on and as of the Closing Date an opinion and 10b-5 statement, addressed to the Underwriters, of Cravath, Swaine &amp; Moore LLP, counsel for the Underwriters, with respect to such matters as the Representatives may reasonably request, and such counsel shall have received such documents and information as they may reasonably request to enable them to pass upon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 Legal Impediment to Issuance.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satisfactory evidence of the good standing of the Company in its jurisdiction of organization and in such other jurisdictions as the Representatives may reasonably request, in each case in writing or by any standard form of telecommunication, from the appropriate governmental authorities of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Securities shall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Indenture and Securities</w:t>
      </w:r>
      <w:r>
        <w:rPr>
          <w:rFonts w:ascii="Times New Roman;Times;Serif" w:hAnsi="Times New Roman;Times;Serif"/>
          <w:b w:val="false"/>
          <w:i w:val="false"/>
          <w:caps w:val="false"/>
          <w:smallCaps w:val="false"/>
          <w:sz w:val="20"/>
        </w:rPr>
        <w:t>. The Indenture shall have been duly executed and delivered by a duly authorized officer of the Company and the Trustee, and the Securities shall have been duly executed and delivered by a duly authorized officer of the Company and duly authenticated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the Company shall have furnished to the Representatives such further certificates and documents as the Representatives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 under the Securities Act) not constituting an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of this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third paragraph, the third sentence of the seventh paragraph and the eighth paragraph under the caption “Underwriting”.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prior written consent of the Indemnified Person, settle or compromise or consent to the entry of any judgment with respect to any pending or threatened claim, action, suit or proceeding in respect of which any Indemnified Person is or could have been a party and indemnification or contribution could have been sought hereunder by such Indemnified Person, unless such settlement, compromise or consent (x) includes an unconditional release of such Indemnified Person, in form and substance reasonably satisfactory to such Indemnified Person, from all liability arising out of such claim, action, suit or proceeding and (y) does not include any statement as to or any admission of fault, culpability or a failure to act by or on behalf of any Indemnified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this Section 7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7 are not exclusive and shall not limit any rights or remedies that may otherwise be available to any Indemnified Person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Nasdaq Global Select Market,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(based on the principal amount of Securities that such Underwriter agreed to purchase hereunder) of the Securities of such defaulting Underwriter or Underwriters for which such arrangements have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9,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 (b)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 (c)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set forth in Rule 405 under the Securities Act; and (d) the term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 of Regulation S-X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Authority of the Representatives.</w:t>
      </w:r>
      <w:r>
        <w:rPr>
          <w:rFonts w:ascii="Times New Roman;Times;Serif" w:hAnsi="Times New Roman;Times;Serif"/>
          <w:b w:val="false"/>
          <w:i w:val="false"/>
          <w:caps w:val="false"/>
          <w:smallCaps w:val="false"/>
          <w:sz w:val="20"/>
        </w:rPr>
        <w:t xml:space="preserve"> Any action by the Underwriters hereunder may be taken by the Representatives, on behalf of the Underwriters, and any such action taken by the Representatives shall be binding upon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notices and other communications hereunder shall be in writing and shall be deemed to have been duly given if mailed or transmitted and confirmed by any standard form of telecommunication. Notices to the Underwriters shall be given to the Representatives c/o Goldman Sachs &amp; Co. LLC, 200 West Street, New York, NY 10282, Attention: Registration Department; c/o BofA Securities, Inc., 114 West 47th Street, NY8-114-07-01, New York, NY 10036, Attention: High Grade Transaction Management/Legal, Facsimile: (212) 901-7881; c/o J.P. Morgan Securities LLC, 270 Park Ave, New York, NY 10017, Attention: Investment Grade Syndicate Desk, Facsimile: (212) 834-6081; c/o Wells Fargo Securities, LLC, 550 South Tryon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Charlotte, NC 28202, Attention: Transaction Management, Email: tmgcapitalmarkets@wellsfargo.com. Notices to the Company shall be given to it at Skyworks Solutions, Inc. (fax: (949) 725-1772); Attention: General Counsel; with a copy to: Skadden, Arps, Slate, Meagher &amp; Flom LLP, 2000 Avenue of the Stars, Los Angeles, California, Attention: Michelle Gasaway (Michelle.Gasaway@skadden.com).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the Company is subject by a suit upon such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waives any right to trial by jury in any suit or proceeding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630"/>
        <w:jc w:val="both"/>
        <w:rPr>
          <w:caps w:val="false"/>
          <w:smallCaps w:val="false"/>
        </w:rPr>
      </w:pPr>
      <w:r>
        <w:rPr>
          <w:caps w:val="false"/>
          <w:smallCaps w:val="false"/>
        </w:rPr>
        <w:t> </w:t>
      </w:r>
    </w:p>
    <w:p>
      <w:pPr>
        <w:pStyle w:val="TextBody"/>
        <w:bidi w:val="0"/>
        <w:spacing w:before="0" w:after="0"/>
        <w:ind w:left="72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16(f):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Recognition of Financial Services and Markets (Resolution of Financial Institutions) Regulations 2024.</w:t>
      </w:r>
      <w:r>
        <w:rPr>
          <w:rFonts w:ascii="Times New Roman;Times;Serif" w:hAnsi="Times New Roman;Times;Serif"/>
          <w:b w:val="false"/>
          <w:i w:val="false"/>
          <w:caps w:val="false"/>
          <w:smallCaps w:val="false"/>
          <w:sz w:val="20"/>
        </w:rPr>
        <w:t xml:space="preserve"> Notwithstanding anything to the contrary in, and to the exclusion of any other term or condition of, this Agreement or any other agreement, arrangement, or understanding, each party to this Agreement agrees, in accordance with regulation 33 of the FSM Regulations, to be bound 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84"/>
        <w:gridCol w:w="9501"/>
      </w:tblGrid>
      <w:tr>
        <w:trPr/>
        <w:tc>
          <w:tcPr>
            <w:tcW w:w="1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01" w:type="dxa"/>
            <w:tcBorders/>
            <w:vAlign w:val="center"/>
          </w:tcPr>
          <w:p>
            <w:pPr>
              <w:pStyle w:val="TableContents"/>
              <w:bidi w:val="0"/>
              <w:spacing w:before="0" w:after="283"/>
              <w:jc w:val="both"/>
              <w:rPr/>
            </w:pPr>
            <w:r>
              <w:rPr/>
              <w:t>section 92 of the FSM 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suspension of the exercise of any termination right in this Agreement made by the MAS under section 93 of the FSM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qualifying pertinent financial institution or its subsidiary relating to this Agreement to the extent required by and in accordance with the FSM Regulations.</w:t>
      </w:r>
    </w:p>
    <w:p>
      <w:pPr>
        <w:pStyle w:val="TextBody"/>
        <w:bidi w:val="0"/>
        <w:spacing w:before="0" w:after="0"/>
        <w:ind w:left="72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16(g) shall be interpreted in accordance with the FSM Regulations and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16(g):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 Act</w:t>
      </w:r>
      <w:r>
        <w:rPr>
          <w:rFonts w:ascii="Times New Roman;Times;Serif" w:hAnsi="Times New Roman;Times;Serif"/>
          <w:b w:val="false"/>
          <w:i w:val="false"/>
          <w:caps w:val="false"/>
          <w:smallCaps w:val="false"/>
          <w:sz w:val="20"/>
        </w:rPr>
        <w:t>” shall mean the Financial Services and Markets Act 2022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 Regulations</w:t>
      </w:r>
      <w:r>
        <w:rPr>
          <w:rFonts w:ascii="Times New Roman;Times;Serif" w:hAnsi="Times New Roman;Times;Serif"/>
          <w:b w:val="false"/>
          <w:i w:val="false"/>
          <w:caps w:val="false"/>
          <w:smallCaps w:val="false"/>
          <w:sz w:val="20"/>
        </w:rPr>
        <w:t>” shall mean the Financial Services and Markets (Resolution of Financial Institutions) Regulations 2024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MAS</w:t>
      </w:r>
      <w:r>
        <w:rPr>
          <w:rFonts w:ascii="Times New Roman;Times;Serif" w:hAnsi="Times New Roman;Times;Serif"/>
          <w:b w:val="false"/>
          <w:i w:val="false"/>
          <w:caps w:val="false"/>
          <w:smallCaps w:val="false"/>
          <w:sz w:val="20"/>
        </w:rPr>
        <w:t>” shall mean the Monetary Authority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pertinent financial institution</w:t>
      </w:r>
      <w:r>
        <w:rPr>
          <w:rFonts w:ascii="Times New Roman;Times;Serif" w:hAnsi="Times New Roman;Times;Serif"/>
          <w:b w:val="false"/>
          <w:i w:val="false"/>
          <w:caps w:val="false"/>
          <w:smallCaps w:val="false"/>
          <w:sz w:val="20"/>
        </w:rPr>
        <w:t>” means a bank that is incorporated in Singapore and to which a direction is issued under section 52(1) of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right</w:t>
      </w:r>
      <w:r>
        <w:rPr>
          <w:rFonts w:ascii="Times New Roman;Times;Serif" w:hAnsi="Times New Roman;Times;Serif"/>
          <w:b w:val="false"/>
          <w:i w:val="false"/>
          <w:caps w:val="false"/>
          <w:smallCaps w:val="false"/>
          <w:sz w:val="20"/>
        </w:rPr>
        <w:t>” shall have the meaning set out in section 91 of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Electronic Signatures</w:t>
      </w:r>
      <w:r>
        <w:rPr>
          <w:rFonts w:ascii="Times New Roman;Times;Serif" w:hAnsi="Times New Roman;Times;Serif"/>
          <w:b w:val="false"/>
          <w:i w:val="false"/>
          <w:caps w:val="false"/>
          <w:smallCaps w:val="false"/>
          <w:sz w:val="20"/>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720"/>
        <w:jc w:val="both"/>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80"/>
        <w:gridCol w:w="365"/>
        <w:gridCol w:w="590"/>
        <w:gridCol w:w="4025"/>
      </w:tblGrid>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SKYWORKS SOLUTIONS, INC.</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61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Philip Carter</w:t>
            </w:r>
          </w:p>
        </w:tc>
      </w:tr>
      <w:tr>
        <w:trPr/>
        <w:tc>
          <w:tcPr>
            <w:tcW w:w="8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Philip Carter</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on behalf of the several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listed in Schedule 1 hereto.</w:t>
      </w:r>
    </w:p>
    <w:p>
      <w:pPr>
        <w:pStyle w:val="TextBody"/>
        <w:bidi w:val="0"/>
        <w:spacing w:before="0" w:after="0"/>
        <w:ind w:left="0" w:right="0" w:hanging="0"/>
        <w:jc w:val="both"/>
        <w:rPr>
          <w:caps w:val="false"/>
          <w:smallCaps w:val="false"/>
        </w:rPr>
      </w:pPr>
      <w:r>
        <w:rPr>
          <w:caps w:val="false"/>
          <w:smallCaps w:val="false"/>
        </w:rPr>
        <w:t> </w:t>
      </w:r>
    </w:p>
    <w:tbl>
      <w:tblPr>
        <w:tblW w:w="2724" w:type="dxa"/>
        <w:jc w:val="left"/>
        <w:tblInd w:w="0" w:type="dxa"/>
        <w:tblLayout w:type="fixed"/>
        <w:tblCellMar>
          <w:top w:w="0" w:type="dxa"/>
          <w:left w:w="0" w:type="dxa"/>
          <w:bottom w:w="0" w:type="dxa"/>
          <w:right w:w="0" w:type="dxa"/>
        </w:tblCellMar>
      </w:tblPr>
      <w:tblGrid>
        <w:gridCol w:w="362"/>
        <w:gridCol w:w="589"/>
        <w:gridCol w:w="1693"/>
        <w:gridCol w:w="80"/>
      </w:tblGrid>
      <w:tr>
        <w:trPr/>
        <w:tc>
          <w:tcPr>
            <w:tcW w:w="2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c>
          <w:tcPr>
            <w:tcW w:w="80" w:type="dxa"/>
            <w:tcBorders/>
            <w:vAlign w:val="center"/>
          </w:tcPr>
          <w:p>
            <w:pPr>
              <w:pStyle w:val="TableContents"/>
              <w:bidi w:val="0"/>
              <w:spacing w:before="0" w:after="283"/>
              <w:jc w:val="left"/>
              <w:rPr/>
            </w:pPr>
            <w:r>
              <w:rPr/>
              <w:t> </w:t>
            </w:r>
          </w:p>
        </w:tc>
      </w:tr>
      <w:tr>
        <w:trPr/>
        <w:tc>
          <w:tcPr>
            <w:tcW w:w="2644"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Zwart</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Zwart</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335"/>
        <w:gridCol w:w="545"/>
        <w:gridCol w:w="1565"/>
        <w:gridCol w:w="80"/>
      </w:tblGrid>
      <w:tr>
        <w:trPr/>
        <w:tc>
          <w:tcPr>
            <w:tcW w:w="244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 xml:space="preserve">BofA Securities, Inc. </w:t>
            </w:r>
          </w:p>
        </w:tc>
        <w:tc>
          <w:tcPr>
            <w:tcW w:w="80" w:type="dxa"/>
            <w:tcBorders/>
            <w:vAlign w:val="center"/>
          </w:tcPr>
          <w:p>
            <w:pPr>
              <w:pStyle w:val="TableContents"/>
              <w:bidi w:val="0"/>
              <w:spacing w:before="0" w:after="283"/>
              <w:jc w:val="left"/>
              <w:rPr/>
            </w:pPr>
            <w:r>
              <w:rPr/>
              <w:t> </w:t>
            </w:r>
          </w:p>
        </w:tc>
      </w:tr>
      <w:tr>
        <w:trPr/>
        <w:tc>
          <w:tcPr>
            <w:tcW w:w="2445"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Cody Kiechle</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Cody Kiechle</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43" w:type="dxa"/>
        <w:jc w:val="left"/>
        <w:tblInd w:w="0" w:type="dxa"/>
        <w:tblLayout w:type="fixed"/>
        <w:tblCellMar>
          <w:top w:w="0" w:type="dxa"/>
          <w:left w:w="0" w:type="dxa"/>
          <w:bottom w:w="0" w:type="dxa"/>
          <w:right w:w="0" w:type="dxa"/>
        </w:tblCellMar>
      </w:tblPr>
      <w:tblGrid>
        <w:gridCol w:w="371"/>
        <w:gridCol w:w="605"/>
        <w:gridCol w:w="1787"/>
        <w:gridCol w:w="80"/>
      </w:tblGrid>
      <w:tr>
        <w:trPr/>
        <w:tc>
          <w:tcPr>
            <w:tcW w:w="27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J.P. Morgan Securities LLC</w:t>
            </w:r>
          </w:p>
        </w:tc>
        <w:tc>
          <w:tcPr>
            <w:tcW w:w="80"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Som Bhattacharyya</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Som Bhattacharyya</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54" w:type="dxa"/>
        <w:jc w:val="left"/>
        <w:tblInd w:w="0" w:type="dxa"/>
        <w:tblLayout w:type="fixed"/>
        <w:tblCellMar>
          <w:top w:w="0" w:type="dxa"/>
          <w:left w:w="0" w:type="dxa"/>
          <w:bottom w:w="0" w:type="dxa"/>
          <w:right w:w="0" w:type="dxa"/>
        </w:tblCellMar>
      </w:tblPr>
      <w:tblGrid>
        <w:gridCol w:w="410"/>
        <w:gridCol w:w="667"/>
        <w:gridCol w:w="1897"/>
        <w:gridCol w:w="80"/>
      </w:tblGrid>
      <w:tr>
        <w:trPr/>
        <w:tc>
          <w:tcPr>
            <w:tcW w:w="297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Wells Fargo Securities, LLC</w:t>
            </w:r>
          </w:p>
        </w:tc>
        <w:tc>
          <w:tcPr>
            <w:tcW w:w="80" w:type="dxa"/>
            <w:tcBorders/>
            <w:vAlign w:val="center"/>
          </w:tcPr>
          <w:p>
            <w:pPr>
              <w:pStyle w:val="TableContents"/>
              <w:bidi w:val="0"/>
              <w:spacing w:before="0" w:after="283"/>
              <w:jc w:val="left"/>
              <w:rPr/>
            </w:pPr>
            <w:r>
              <w:rPr/>
              <w:t> </w:t>
            </w:r>
          </w:p>
        </w:tc>
      </w:tr>
      <w:tr>
        <w:trPr/>
        <w:tc>
          <w:tcPr>
            <w:tcW w:w="2974" w:type="dxa"/>
            <w:gridSpan w:val="3"/>
            <w:tcBorders/>
            <w:vAlign w:val="center"/>
          </w:tcPr>
          <w:p>
            <w:pPr>
              <w:pStyle w:val="TableContents"/>
              <w:bidi w:val="0"/>
              <w:spacing w:before="0" w:after="283"/>
              <w:ind w:left="0" w:right="0" w:hanging="0"/>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Liz Wilson</w:t>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Liz Wilson</w:t>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both"/>
        <w:rPr>
          <w:caps w:val="false"/>
          <w:smallCaps w:val="false"/>
        </w:rPr>
      </w:pPr>
      <w:r>
        <w:rPr>
          <w:caps w:val="false"/>
          <w:smallCaps w:val="false"/>
        </w:rPr>
        <w:t> </w:t>
      </w:r>
    </w:p>
    <w:tbl>
      <w:tblPr>
        <w:tblW w:w="7820" w:type="dxa"/>
        <w:jc w:val="left"/>
        <w:tblInd w:w="0" w:type="dxa"/>
        <w:tblLayout w:type="fixed"/>
        <w:tblCellMar>
          <w:top w:w="0" w:type="dxa"/>
          <w:left w:w="0" w:type="dxa"/>
          <w:bottom w:w="28" w:type="dxa"/>
          <w:right w:w="0" w:type="dxa"/>
        </w:tblCellMar>
      </w:tblPr>
      <w:tblGrid>
        <w:gridCol w:w="3875"/>
        <w:gridCol w:w="65"/>
        <w:gridCol w:w="125"/>
        <w:gridCol w:w="1055"/>
        <w:gridCol w:w="65"/>
        <w:gridCol w:w="65"/>
        <w:gridCol w:w="125"/>
        <w:gridCol w:w="1055"/>
        <w:gridCol w:w="65"/>
        <w:gridCol w:w="65"/>
        <w:gridCol w:w="125"/>
        <w:gridCol w:w="1055"/>
        <w:gridCol w:w="80"/>
      </w:tblGrid>
      <w:tr>
        <w:trPr/>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 xml:space="preserve">Amount of </w:t>
              <w:br/>
              <w:t>2028 Notes to</w:t>
              <w:br/>
              <w:t>be Purchased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2032 Notes to</w:t>
              <w:br/>
              <w:t>be Purchased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 xml:space="preserve">Amount of </w:t>
              <w:br/>
              <w:t>2036 Notes to</w:t>
              <w:br/>
              <w:t>be Purchased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Academy Securities, Inc. </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Oversea-Chinese Banking Corporation Limited</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China (Europe) S.A.</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HSBC Securities (USA) Inc. </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Subsidiaries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1.</w:t>
            </w:r>
          </w:p>
        </w:tc>
        <w:tc>
          <w:tcPr>
            <w:tcW w:w="9626" w:type="dxa"/>
            <w:tcBorders/>
            <w:vAlign w:val="center"/>
          </w:tcPr>
          <w:p>
            <w:pPr>
              <w:pStyle w:val="TableContents"/>
              <w:bidi w:val="0"/>
              <w:spacing w:before="0" w:after="283"/>
              <w:jc w:val="left"/>
              <w:rPr/>
            </w:pPr>
            <w:r>
              <w:rPr/>
              <w:t>Skyworks Filter Solutions Japan Co. Ltd.</w:t>
            </w:r>
          </w:p>
        </w:tc>
      </w:tr>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2.</w:t>
            </w:r>
          </w:p>
        </w:tc>
        <w:tc>
          <w:tcPr>
            <w:tcW w:w="9626" w:type="dxa"/>
            <w:tcBorders/>
            <w:vAlign w:val="center"/>
          </w:tcPr>
          <w:p>
            <w:pPr>
              <w:pStyle w:val="TableContents"/>
              <w:bidi w:val="0"/>
              <w:spacing w:before="0" w:after="283"/>
              <w:jc w:val="left"/>
              <w:rPr/>
            </w:pPr>
            <w:r>
              <w:rPr/>
              <w:t>Skyworks Global Pte. Ltd.</w:t>
            </w:r>
          </w:p>
        </w:tc>
      </w:tr>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3.</w:t>
            </w:r>
          </w:p>
        </w:tc>
        <w:tc>
          <w:tcPr>
            <w:tcW w:w="9626" w:type="dxa"/>
            <w:tcBorders/>
            <w:vAlign w:val="center"/>
          </w:tcPr>
          <w:p>
            <w:pPr>
              <w:pStyle w:val="TableContents"/>
              <w:bidi w:val="0"/>
              <w:spacing w:before="0" w:after="283"/>
              <w:jc w:val="left"/>
              <w:rPr/>
            </w:pPr>
            <w:r>
              <w:rPr/>
              <w:t>Skyworks Luxembourg S.a.r.l.</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Information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Pricing Term Sheet, dated August 4, 2026, substantially in the form of Annex 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w:t>
        <w:br/>
        <w:t>Dated August 4, 2026</w:t>
        <w:br/>
        <w:t>Filed pursuant to Rule 433</w:t>
        <w:br/>
        <w:t>Registration No. 333-297918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$800,000,000 5.000% Senior Notes due 2028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5.750% Senior Notes due 2032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 Sheet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5"/>
        <w:gridCol w:w="65"/>
        <w:gridCol w:w="2363"/>
        <w:gridCol w:w="65"/>
        <w:gridCol w:w="2976"/>
        <w:gridCol w:w="65"/>
        <w:gridCol w:w="3046"/>
      </w:tblGrid>
      <w:tr>
        <w:trPr/>
        <w:tc>
          <w:tcPr>
            <w:tcW w:w="162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5.000% Senior Notes due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5.750% Senior Notes due 2032</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6.250% Senior Notes due 2036</w:t>
            </w:r>
          </w:p>
        </w:tc>
      </w:tr>
      <w:tr>
        <w:trPr/>
        <w:tc>
          <w:tcPr>
            <w:tcW w:w="162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“2028 Notes”)</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“2032 Notes”)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“2036 Notes” and, together with the 2028 Notes and the 2032 Notes, the “notes”)</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$800,000,000</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5.750%</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6.250%</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Format:</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2032</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2036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99.722% of the principal amount</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99.932% of the principal amount</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98.680% of the principal amount</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Benchmark Spread to Treasury: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 basis points</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 basis points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180 basis points</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Issue: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 due July 31,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July 31, 2031</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May 15, 2036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100-03 &amp;frac18;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100-05+</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98-00 </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Yield:</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4.631%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and July 10, commencing January 10, 2027</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None.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T+15 basis points.</w:t>
            </w:r>
          </w:p>
          <w:p>
            <w:pPr>
              <w:pStyle w:val="TableContents"/>
              <w:bidi w:val="0"/>
              <w:spacing w:before="0" w:after="0"/>
              <w:ind w:left="0" w:right="0" w:hanging="0"/>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December 10, 2031 (the date that is one month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T+25 basis points.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May 10, 2036 (the date that is three months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T+30 basis points.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85"/>
        <w:gridCol w:w="65"/>
        <w:gridCol w:w="4357"/>
        <w:gridCol w:w="65"/>
        <w:gridCol w:w="1770"/>
        <w:gridCol w:w="65"/>
        <w:gridCol w:w="2498"/>
      </w:tblGrid>
      <w:tr>
        <w:trPr/>
        <w:tc>
          <w:tcPr>
            <w:tcW w:w="138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5.000% Senior Notes due 2028</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5.750% Senior Notes due 2032</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6.250% Senior Notes due 2036</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Mandatory Redemption: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2028 Notes then outstanding plus accrued and unpaid interest to, but not including, the date of the special mandatory redemption if (i) the consummation of the Mergers (as defined in the prospectus supplement) does not occur on or before 11:59 p.m. Pacific Time on November 3, 2027, (ii) the Issuer notifies the trustee and the holders of the 2028 Notes that the Issuer will not pursue the consummation of the Mergers or (iii) the Merger Agreement (as defined in the prospectus supplement) has been terminated without the consummation of the Mergers (any event described in clause (i), (ii) or (iii), a “Special Mandatory Redemption Trigger”).</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2036 Notes then outstanding plus accrued and unpaid interest to, but not including, the date of the special mandatory redemption upon the occurrence of a Special Mandatory Redemption Trigger.</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 Repurchase Event Put:</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83088MAP7</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83088MAQ5</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83088MAR3</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ISIN: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US83088MAP77</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US83088MAQ50</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US83088MAR34</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Ratings*: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Minimum Denomination: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BofA Securities, Inc.</w:t>
              <w:br/>
              <w:t>Citigroup Global Markets Inc.</w:t>
              <w:br/>
              <w:t>J.P. Morgan Securities LLC</w:t>
              <w:br/>
              <w:t>Wells Fargo Securities, LLC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Senior Co-Managers: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expects that delivery of the notes will be made against payment therefor on or about August 10, 2026, which will be the fourth business day following the date of pricing of the notes (such settlement cycle being herein referred to as “T+4”). Under Rule 15c6-1 of the Exchange Act, trades in the secondary market generally are required to settle in one business day, unless the parties to any such trade expressly agree otherwise. Accordingly, purchasers who wish to trade notes prior to the first business day before settlement will be required, by virtue of the fact that the notes initially will settle T+4, to specify an alternate settlement cycle at the time of any such trade to prevent a failed settlement. Purchasers of notes who wish to trade notes prior to the first business day before settlement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revised or withdrawn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**Oversea-Chinese Banking Corporation Limited (“OCBC”) is restricted in its securities dealings in the United States and will not underwrite, subscribe, agree to purchase or procure purchasers to purchase notes that are offered or sold in the United States.  Accordingly, OCBC shall not be obligated to, and shall not, underwrite, subscribe, agree to purchase or procure purchasers to purchase notes that may be offered or sold by other underwriters in the United States.  OCBC shall offer and sell the notes constituting part of its allotment solely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Bancorp Investments, Inc., is an affiliate of the trustee under the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an automatic shelf registration statement on Form S-3ASR, including a prospectus dated August 3, 2026 (File No. 333-297918) and a preliminary prospectus supplement dated August 3, 2026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SEC’s website at www.sec.gov. Alternatively, the Issuer, any underwriter or any dealer participating in this offering will arrange to send you the prospectus if you request it by calling Goldman Sachs &amp; Co. LLC toll-free at 1-866-471-2526, BofA Securities, Inc. toll-free at 1-800-294-1322, J.P. Morgan Securities LLC collect at 1-212-834-4533 or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22643d1_ex4-1.htm"/>
      <w:bookmarkStart w:id="25" w:name="kstm2622643d1_ex4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(as Issuer)</w:t>
        <w:br/>
        <w:t>and</w:t>
        <w:br/>
        <w:t>U.S. BANK TRUST COMPANY, NATIONAL ASSOCIATION</w:t>
        <w:br/>
        <w:t>(as Trustee)</w:t>
        <w:br/>
        <w:t>Indenture</w:t>
        <w:br/>
        <w:t>Dated as of August 10, 2026</w:t>
        <w:b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RECONCILIATION AND TIE BETWEEN TRUST INDENTURE ACT OF 1939</w:t>
        <w:br/>
        <w:t>AND INDENTURE, DATED AS OF AUGUST 10, 2026</w:t>
      </w:r>
    </w:p>
    <w:p>
      <w:pPr>
        <w:pStyle w:val="TextBody"/>
        <w:bidi w:val="0"/>
        <w:spacing w:before="0" w:after="0"/>
        <w:ind w:left="0" w:right="0" w:hanging="0"/>
        <w:jc w:val="center"/>
        <w:rPr>
          <w:caps w:val="false"/>
          <w:smallCaps w:val="false"/>
        </w:rPr>
      </w:pPr>
      <w:r>
        <w:rPr>
          <w:caps w:val="false"/>
          <w:smallCaps w:val="false"/>
        </w:rPr>
        <w:t> </w:t>
      </w:r>
    </w:p>
    <w:tbl>
      <w:tblPr>
        <w:tblW w:w="5965" w:type="dxa"/>
        <w:jc w:val="center"/>
        <w:tblInd w:w="0" w:type="dxa"/>
        <w:tblLayout w:type="fixed"/>
        <w:tblCellMar>
          <w:top w:w="0" w:type="dxa"/>
          <w:left w:w="0" w:type="dxa"/>
          <w:bottom w:w="28" w:type="dxa"/>
          <w:right w:w="0" w:type="dxa"/>
        </w:tblCellMar>
      </w:tblPr>
      <w:tblGrid>
        <w:gridCol w:w="3710"/>
        <w:gridCol w:w="60"/>
        <w:gridCol w:w="2195"/>
      </w:tblGrid>
      <w:tr>
        <w:trPr/>
        <w:tc>
          <w:tcPr>
            <w:tcW w:w="3710" w:type="dxa"/>
            <w:tcBorders>
              <w:bottom w:val="single" w:sz="8" w:space="0" w:color="000000"/>
            </w:tcBorders>
            <w:vAlign w:val="center"/>
          </w:tcPr>
          <w:p>
            <w:pPr>
              <w:pStyle w:val="TableContents"/>
              <w:bidi w:val="0"/>
              <w:spacing w:before="0" w:after="283"/>
              <w:jc w:val="left"/>
              <w:rPr/>
            </w:pPr>
            <w:r>
              <w:rPr/>
              <w:t>Section of Trust Indenture Act of 1939</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8" w:space="0" w:color="000000"/>
            </w:tcBorders>
            <w:vAlign w:val="center"/>
          </w:tcPr>
          <w:p>
            <w:pPr>
              <w:pStyle w:val="TableContents"/>
              <w:bidi w:val="0"/>
              <w:spacing w:before="0" w:after="283"/>
              <w:jc w:val="left"/>
              <w:rPr/>
            </w:pPr>
            <w:r>
              <w:rPr/>
              <w:t>Section(s) of Indenture</w:t>
            </w:r>
          </w:p>
        </w:tc>
      </w:tr>
      <w:tr>
        <w:trPr/>
        <w:tc>
          <w:tcPr>
            <w:tcW w:w="3710" w:type="dxa"/>
            <w:tcBorders/>
            <w:tcMar>
              <w:bottom w:w="0" w:type="dxa"/>
            </w:tcMar>
            <w:vAlign w:val="center"/>
          </w:tcPr>
          <w:p>
            <w:pPr>
              <w:pStyle w:val="TableContents"/>
              <w:bidi w:val="0"/>
              <w:spacing w:before="0" w:after="283"/>
              <w:jc w:val="left"/>
              <w:rPr/>
            </w:pPr>
            <w:r>
              <w:rPr/>
              <w:t>Section 310(a)(1)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(a)(3)</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(a)(4)</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(a)(5)</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5.08</w:t>
            </w:r>
          </w:p>
        </w:tc>
      </w:tr>
      <w:tr>
        <w:trPr/>
        <w:tc>
          <w:tcPr>
            <w:tcW w:w="3710" w:type="dxa"/>
            <w:tcBorders/>
            <w:tcMar>
              <w:bottom w:w="0" w:type="dxa"/>
            </w:tcMar>
            <w:vAlign w:val="center"/>
          </w:tcPr>
          <w:p>
            <w:pPr>
              <w:pStyle w:val="TableContents"/>
              <w:bidi w:val="0"/>
              <w:spacing w:before="0" w:after="283"/>
              <w:jc w:val="left"/>
              <w:rPr/>
            </w:pPr>
            <w:r>
              <w:rPr/>
              <w:t>Section 311(a)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5.13</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5.13</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Section 312(a)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6.01</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6.02</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6.02</w:t>
            </w:r>
          </w:p>
        </w:tc>
      </w:tr>
      <w:tr>
        <w:trPr/>
        <w:tc>
          <w:tcPr>
            <w:tcW w:w="3710" w:type="dxa"/>
            <w:tcBorders/>
            <w:tcMar>
              <w:bottom w:w="0" w:type="dxa"/>
            </w:tcMar>
            <w:vAlign w:val="center"/>
          </w:tcPr>
          <w:p>
            <w:pPr>
              <w:pStyle w:val="TableContents"/>
              <w:bidi w:val="0"/>
              <w:spacing w:before="0" w:after="283"/>
              <w:jc w:val="left"/>
              <w:rPr/>
            </w:pPr>
            <w:r>
              <w:rPr/>
              <w:t>Section 313(a)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Section 314(a)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6.05</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(c)(1)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(c)(2)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(c)(3)</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(e)</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Section 315(a)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5.02</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(e)</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4.14</w:t>
            </w:r>
          </w:p>
        </w:tc>
      </w:tr>
      <w:tr>
        <w:trPr/>
        <w:tc>
          <w:tcPr>
            <w:tcW w:w="3710" w:type="dxa"/>
            <w:tcBorders/>
            <w:tcMar>
              <w:bottom w:w="0" w:type="dxa"/>
            </w:tcMar>
            <w:vAlign w:val="center"/>
          </w:tcPr>
          <w:p>
            <w:pPr>
              <w:pStyle w:val="TableContents"/>
              <w:bidi w:val="0"/>
              <w:spacing w:before="0" w:after="283"/>
              <w:jc w:val="left"/>
              <w:rPr/>
            </w:pPr>
            <w:r>
              <w:rPr/>
              <w:t>Section 316(a)(1)(A)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4.12</w:t>
            </w:r>
          </w:p>
        </w:tc>
      </w:tr>
      <w:tr>
        <w:trPr/>
        <w:tc>
          <w:tcPr>
            <w:tcW w:w="3710" w:type="dxa"/>
            <w:tcBorders/>
            <w:tcMar>
              <w:bottom w:w="0" w:type="dxa"/>
            </w:tcMar>
            <w:vAlign w:val="center"/>
          </w:tcPr>
          <w:p>
            <w:pPr>
              <w:pStyle w:val="TableContents"/>
              <w:bidi w:val="0"/>
              <w:spacing w:before="0" w:after="283"/>
              <w:jc w:val="left"/>
              <w:rPr/>
            </w:pPr>
            <w:r>
              <w:rPr/>
              <w:t>(a)(1)(B)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4.13</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4.08</w:t>
            </w:r>
          </w:p>
        </w:tc>
      </w:tr>
      <w:tr>
        <w:trPr/>
        <w:tc>
          <w:tcPr>
            <w:tcW w:w="3710" w:type="dxa"/>
            <w:tcBorders/>
            <w:tcMar>
              <w:bottom w:w="0" w:type="dxa"/>
            </w:tcMar>
            <w:vAlign w:val="center"/>
          </w:tcPr>
          <w:p>
            <w:pPr>
              <w:pStyle w:val="TableContents"/>
              <w:bidi w:val="0"/>
              <w:spacing w:before="0" w:after="283"/>
              <w:jc w:val="left"/>
              <w:rPr/>
            </w:pPr>
            <w:r>
              <w:rPr/>
              <w:t>Section 317(a)(1)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4.03</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4.04</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9.03</w:t>
            </w:r>
          </w:p>
        </w:tc>
      </w:tr>
      <w:tr>
        <w:trPr/>
        <w:tc>
          <w:tcPr>
            <w:tcW w:w="3710" w:type="dxa"/>
            <w:tcBorders/>
            <w:tcMar>
              <w:bottom w:w="0" w:type="dxa"/>
            </w:tcMar>
            <w:vAlign w:val="center"/>
          </w:tcPr>
          <w:p>
            <w:pPr>
              <w:pStyle w:val="TableContents"/>
              <w:bidi w:val="0"/>
              <w:spacing w:before="0" w:after="283"/>
              <w:jc w:val="left"/>
              <w:rPr/>
            </w:pPr>
            <w:r>
              <w:rPr/>
              <w:t>Section 318(a)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745"/>
        <w:gridCol w:w="6275"/>
        <w:gridCol w:w="275"/>
      </w:tblGrid>
      <w:tr>
        <w:trPr/>
        <w:tc>
          <w:tcPr>
            <w:tcW w:w="8295" w:type="dxa"/>
            <w:gridSpan w:val="3"/>
            <w:tcBorders/>
            <w:vAlign w:val="center"/>
          </w:tcPr>
          <w:p>
            <w:pPr>
              <w:pStyle w:val="TableContents"/>
              <w:bidi w:val="0"/>
              <w:spacing w:before="0" w:after="283"/>
              <w:jc w:val="center"/>
              <w:rPr/>
            </w:pPr>
            <w:r>
              <w:rPr/>
              <w:t xml:space="preserve">Article I </w:t>
              <w:br/>
              <w:t>DEFINITIONS AND OTHER PROVISIONS OF GENERAL APPLICATION</w:t>
            </w:r>
          </w:p>
        </w:tc>
      </w:tr>
      <w:tr>
        <w:trPr/>
        <w:tc>
          <w:tcPr>
            <w:tcW w:w="1745" w:type="dxa"/>
            <w:tcBorders/>
            <w:vAlign w:val="center"/>
          </w:tcPr>
          <w:p>
            <w:pPr>
              <w:pStyle w:val="TableContents"/>
              <w:bidi w:val="0"/>
              <w:spacing w:before="0" w:after="283"/>
              <w:jc w:val="left"/>
              <w:rPr>
                <w:caps/>
              </w:rPr>
            </w:pPr>
            <w:r>
              <w:rPr>
                <w:caps/>
              </w:rPr>
              <w:t>Section 1.01.   </w:t>
            </w:r>
          </w:p>
        </w:tc>
        <w:tc>
          <w:tcPr>
            <w:tcW w:w="6275"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5</w:t>
            </w:r>
          </w:p>
        </w:tc>
      </w:tr>
      <w:tr>
        <w:trPr/>
        <w:tc>
          <w:tcPr>
            <w:tcW w:w="1745" w:type="dxa"/>
            <w:tcBorders/>
            <w:vAlign w:val="center"/>
          </w:tcPr>
          <w:p>
            <w:pPr>
              <w:pStyle w:val="TableContents"/>
              <w:bidi w:val="0"/>
              <w:spacing w:before="0" w:after="283"/>
              <w:jc w:val="left"/>
              <w:rPr>
                <w:caps/>
              </w:rPr>
            </w:pPr>
            <w:r>
              <w:rPr>
                <w:caps/>
              </w:rPr>
              <w:t>Section 1.02.   </w:t>
            </w:r>
          </w:p>
        </w:tc>
        <w:tc>
          <w:tcPr>
            <w:tcW w:w="6275" w:type="dxa"/>
            <w:tcBorders/>
            <w:vAlign w:val="center"/>
          </w:tcPr>
          <w:p>
            <w:pPr>
              <w:pStyle w:val="TableContents"/>
              <w:bidi w:val="0"/>
              <w:spacing w:before="0" w:after="283"/>
              <w:jc w:val="left"/>
              <w:rPr/>
            </w:pPr>
            <w:r>
              <w:rPr/>
              <w:t>Officer’s Certificates and Opinions</w:t>
            </w:r>
          </w:p>
        </w:tc>
        <w:tc>
          <w:tcPr>
            <w:tcW w:w="275" w:type="dxa"/>
            <w:tcBorders/>
            <w:vAlign w:val="center"/>
          </w:tcPr>
          <w:p>
            <w:pPr>
              <w:pStyle w:val="TableContents"/>
              <w:bidi w:val="0"/>
              <w:spacing w:before="0" w:after="283"/>
              <w:jc w:val="right"/>
              <w:rPr/>
            </w:pPr>
            <w:r>
              <w:rPr/>
              <w:t>12</w:t>
            </w:r>
          </w:p>
        </w:tc>
      </w:tr>
      <w:tr>
        <w:trPr/>
        <w:tc>
          <w:tcPr>
            <w:tcW w:w="1745" w:type="dxa"/>
            <w:tcBorders/>
            <w:vAlign w:val="center"/>
          </w:tcPr>
          <w:p>
            <w:pPr>
              <w:pStyle w:val="TableContents"/>
              <w:bidi w:val="0"/>
              <w:spacing w:before="0" w:after="283"/>
              <w:jc w:val="left"/>
              <w:rPr>
                <w:caps/>
              </w:rPr>
            </w:pPr>
            <w:r>
              <w:rPr>
                <w:caps/>
              </w:rPr>
              <w:t>Section 1.03.   </w:t>
            </w:r>
          </w:p>
        </w:tc>
        <w:tc>
          <w:tcPr>
            <w:tcW w:w="6275" w:type="dxa"/>
            <w:tcBorders/>
            <w:vAlign w:val="center"/>
          </w:tcPr>
          <w:p>
            <w:pPr>
              <w:pStyle w:val="TableContents"/>
              <w:bidi w:val="0"/>
              <w:spacing w:before="0" w:after="283"/>
              <w:jc w:val="left"/>
              <w:rPr/>
            </w:pPr>
            <w:r>
              <w:rPr/>
              <w:t>Form of Documents Delivered to Trustee</w:t>
            </w:r>
          </w:p>
        </w:tc>
        <w:tc>
          <w:tcPr>
            <w:tcW w:w="275" w:type="dxa"/>
            <w:tcBorders/>
            <w:vAlign w:val="center"/>
          </w:tcPr>
          <w:p>
            <w:pPr>
              <w:pStyle w:val="TableContents"/>
              <w:bidi w:val="0"/>
              <w:spacing w:before="0" w:after="283"/>
              <w:jc w:val="right"/>
              <w:rPr/>
            </w:pPr>
            <w:r>
              <w:rPr/>
              <w:t>13</w:t>
            </w:r>
          </w:p>
        </w:tc>
      </w:tr>
      <w:tr>
        <w:trPr/>
        <w:tc>
          <w:tcPr>
            <w:tcW w:w="1745" w:type="dxa"/>
            <w:tcBorders/>
            <w:vAlign w:val="center"/>
          </w:tcPr>
          <w:p>
            <w:pPr>
              <w:pStyle w:val="TableContents"/>
              <w:bidi w:val="0"/>
              <w:spacing w:before="0" w:after="283"/>
              <w:jc w:val="left"/>
              <w:rPr>
                <w:caps/>
              </w:rPr>
            </w:pPr>
            <w:r>
              <w:rPr>
                <w:caps/>
              </w:rPr>
              <w:t>Section 1.04.   </w:t>
            </w:r>
          </w:p>
        </w:tc>
        <w:tc>
          <w:tcPr>
            <w:tcW w:w="6275" w:type="dxa"/>
            <w:tcBorders/>
            <w:vAlign w:val="center"/>
          </w:tcPr>
          <w:p>
            <w:pPr>
              <w:pStyle w:val="TableContents"/>
              <w:bidi w:val="0"/>
              <w:spacing w:before="0" w:after="283"/>
              <w:jc w:val="left"/>
              <w:rPr/>
            </w:pPr>
            <w:r>
              <w:rPr/>
              <w:t>Acts of Holders</w:t>
            </w:r>
          </w:p>
        </w:tc>
        <w:tc>
          <w:tcPr>
            <w:tcW w:w="275" w:type="dxa"/>
            <w:tcBorders/>
            <w:vAlign w:val="center"/>
          </w:tcPr>
          <w:p>
            <w:pPr>
              <w:pStyle w:val="TableContents"/>
              <w:bidi w:val="0"/>
              <w:spacing w:before="0" w:after="283"/>
              <w:jc w:val="right"/>
              <w:rPr/>
            </w:pPr>
            <w:r>
              <w:rPr/>
              <w:t>13</w:t>
            </w:r>
          </w:p>
        </w:tc>
      </w:tr>
      <w:tr>
        <w:trPr/>
        <w:tc>
          <w:tcPr>
            <w:tcW w:w="1745" w:type="dxa"/>
            <w:tcBorders/>
            <w:vAlign w:val="center"/>
          </w:tcPr>
          <w:p>
            <w:pPr>
              <w:pStyle w:val="TableContents"/>
              <w:bidi w:val="0"/>
              <w:spacing w:before="0" w:after="283"/>
              <w:jc w:val="left"/>
              <w:rPr>
                <w:caps/>
              </w:rPr>
            </w:pPr>
            <w:r>
              <w:rPr>
                <w:caps/>
              </w:rPr>
              <w:t>Section 1.05.   </w:t>
            </w:r>
          </w:p>
        </w:tc>
        <w:tc>
          <w:tcPr>
            <w:tcW w:w="6275" w:type="dxa"/>
            <w:tcBorders/>
            <w:vAlign w:val="center"/>
          </w:tcPr>
          <w:p>
            <w:pPr>
              <w:pStyle w:val="TableContents"/>
              <w:bidi w:val="0"/>
              <w:spacing w:before="0" w:after="283"/>
              <w:jc w:val="left"/>
              <w:rPr/>
            </w:pPr>
            <w:r>
              <w:rPr/>
              <w:t>Notices, Etc., to Trustee and Issuer</w:t>
            </w:r>
          </w:p>
        </w:tc>
        <w:tc>
          <w:tcPr>
            <w:tcW w:w="275" w:type="dxa"/>
            <w:tcBorders/>
            <w:vAlign w:val="center"/>
          </w:tcPr>
          <w:p>
            <w:pPr>
              <w:pStyle w:val="TableContents"/>
              <w:bidi w:val="0"/>
              <w:spacing w:before="0" w:after="283"/>
              <w:jc w:val="right"/>
              <w:rPr/>
            </w:pPr>
            <w:r>
              <w:rPr/>
              <w:t>14</w:t>
            </w:r>
          </w:p>
        </w:tc>
      </w:tr>
      <w:tr>
        <w:trPr/>
        <w:tc>
          <w:tcPr>
            <w:tcW w:w="1745" w:type="dxa"/>
            <w:tcBorders/>
            <w:vAlign w:val="center"/>
          </w:tcPr>
          <w:p>
            <w:pPr>
              <w:pStyle w:val="TableContents"/>
              <w:bidi w:val="0"/>
              <w:spacing w:before="0" w:after="283"/>
              <w:jc w:val="left"/>
              <w:rPr>
                <w:caps/>
              </w:rPr>
            </w:pPr>
            <w:r>
              <w:rPr>
                <w:caps/>
              </w:rPr>
              <w:t>Section 1.06.   </w:t>
            </w:r>
          </w:p>
        </w:tc>
        <w:tc>
          <w:tcPr>
            <w:tcW w:w="6275" w:type="dxa"/>
            <w:tcBorders/>
            <w:vAlign w:val="center"/>
          </w:tcPr>
          <w:p>
            <w:pPr>
              <w:pStyle w:val="TableContents"/>
              <w:bidi w:val="0"/>
              <w:spacing w:before="0" w:after="283"/>
              <w:jc w:val="left"/>
              <w:rPr/>
            </w:pPr>
            <w:r>
              <w:rPr/>
              <w:t>Notice to Holders; Waiver</w:t>
            </w:r>
          </w:p>
        </w:tc>
        <w:tc>
          <w:tcPr>
            <w:tcW w:w="275" w:type="dxa"/>
            <w:tcBorders/>
            <w:vAlign w:val="center"/>
          </w:tcPr>
          <w:p>
            <w:pPr>
              <w:pStyle w:val="TableContents"/>
              <w:bidi w:val="0"/>
              <w:spacing w:before="0" w:after="283"/>
              <w:jc w:val="right"/>
              <w:rPr/>
            </w:pPr>
            <w:r>
              <w:rPr/>
              <w:t>14</w:t>
            </w:r>
          </w:p>
        </w:tc>
      </w:tr>
      <w:tr>
        <w:trPr/>
        <w:tc>
          <w:tcPr>
            <w:tcW w:w="1745" w:type="dxa"/>
            <w:tcBorders/>
            <w:vAlign w:val="center"/>
          </w:tcPr>
          <w:p>
            <w:pPr>
              <w:pStyle w:val="TableContents"/>
              <w:bidi w:val="0"/>
              <w:spacing w:before="0" w:after="283"/>
              <w:jc w:val="left"/>
              <w:rPr>
                <w:caps/>
              </w:rPr>
            </w:pPr>
            <w:r>
              <w:rPr>
                <w:caps/>
              </w:rPr>
              <w:t>Section 1.07.   </w:t>
            </w:r>
          </w:p>
        </w:tc>
        <w:tc>
          <w:tcPr>
            <w:tcW w:w="6275" w:type="dxa"/>
            <w:tcBorders/>
            <w:vAlign w:val="center"/>
          </w:tcPr>
          <w:p>
            <w:pPr>
              <w:pStyle w:val="TableContents"/>
              <w:bidi w:val="0"/>
              <w:spacing w:before="0" w:after="283"/>
              <w:jc w:val="left"/>
              <w:rPr/>
            </w:pPr>
            <w:r>
              <w:rPr/>
              <w:t>Conflict with Trust Indenture Act</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1.08.   </w:t>
            </w:r>
          </w:p>
        </w:tc>
        <w:tc>
          <w:tcPr>
            <w:tcW w:w="6275" w:type="dxa"/>
            <w:tcBorders/>
            <w:vAlign w:val="center"/>
          </w:tcPr>
          <w:p>
            <w:pPr>
              <w:pStyle w:val="TableContents"/>
              <w:bidi w:val="0"/>
              <w:spacing w:before="0" w:after="283"/>
              <w:jc w:val="left"/>
              <w:rPr/>
            </w:pPr>
            <w:r>
              <w:rPr/>
              <w:t>Effect of Headings and Table of Contents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1.09.   </w:t>
            </w:r>
          </w:p>
        </w:tc>
        <w:tc>
          <w:tcPr>
            <w:tcW w:w="6275" w:type="dxa"/>
            <w:tcBorders/>
            <w:vAlign w:val="center"/>
          </w:tcPr>
          <w:p>
            <w:pPr>
              <w:pStyle w:val="TableContents"/>
              <w:bidi w:val="0"/>
              <w:spacing w:before="0" w:after="283"/>
              <w:jc w:val="left"/>
              <w:rPr/>
            </w:pPr>
            <w:r>
              <w:rPr/>
              <w:t>Successors and Assigns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1.10.   </w:t>
            </w:r>
          </w:p>
        </w:tc>
        <w:tc>
          <w:tcPr>
            <w:tcW w:w="6275" w:type="dxa"/>
            <w:tcBorders/>
            <w:vAlign w:val="center"/>
          </w:tcPr>
          <w:p>
            <w:pPr>
              <w:pStyle w:val="TableContents"/>
              <w:bidi w:val="0"/>
              <w:spacing w:before="0" w:after="283"/>
              <w:jc w:val="left"/>
              <w:rPr/>
            </w:pPr>
            <w:r>
              <w:rPr/>
              <w:t>Separability Clause</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1.11.   </w:t>
            </w:r>
          </w:p>
        </w:tc>
        <w:tc>
          <w:tcPr>
            <w:tcW w:w="6275" w:type="dxa"/>
            <w:tcBorders/>
            <w:vAlign w:val="center"/>
          </w:tcPr>
          <w:p>
            <w:pPr>
              <w:pStyle w:val="TableContents"/>
              <w:bidi w:val="0"/>
              <w:spacing w:before="0" w:after="283"/>
              <w:jc w:val="left"/>
              <w:rPr/>
            </w:pPr>
            <w:r>
              <w:rPr/>
              <w:t>Benefits of Indenture</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1.12.   </w:t>
            </w:r>
          </w:p>
        </w:tc>
        <w:tc>
          <w:tcPr>
            <w:tcW w:w="6275" w:type="dxa"/>
            <w:tcBorders/>
            <w:vAlign w:val="center"/>
          </w:tcPr>
          <w:p>
            <w:pPr>
              <w:pStyle w:val="TableContents"/>
              <w:bidi w:val="0"/>
              <w:spacing w:before="0" w:after="283"/>
              <w:jc w:val="left"/>
              <w:rPr/>
            </w:pPr>
            <w:r>
              <w:rPr/>
              <w:t>Governing Law</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1.13.   </w:t>
            </w:r>
          </w:p>
        </w:tc>
        <w:tc>
          <w:tcPr>
            <w:tcW w:w="6275"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1.14.   </w:t>
            </w:r>
          </w:p>
        </w:tc>
        <w:tc>
          <w:tcPr>
            <w:tcW w:w="6275" w:type="dxa"/>
            <w:tcBorders/>
            <w:vAlign w:val="center"/>
          </w:tcPr>
          <w:p>
            <w:pPr>
              <w:pStyle w:val="TableContents"/>
              <w:bidi w:val="0"/>
              <w:spacing w:before="0" w:after="283"/>
              <w:jc w:val="left"/>
              <w:rPr/>
            </w:pPr>
            <w:r>
              <w:rPr/>
              <w:t>Legal Holidays</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1.15.   </w:t>
            </w:r>
          </w:p>
        </w:tc>
        <w:tc>
          <w:tcPr>
            <w:tcW w:w="6275" w:type="dxa"/>
            <w:tcBorders/>
            <w:vAlign w:val="center"/>
          </w:tcPr>
          <w:p>
            <w:pPr>
              <w:pStyle w:val="TableContents"/>
              <w:bidi w:val="0"/>
              <w:spacing w:before="0" w:after="283"/>
              <w:jc w:val="left"/>
              <w:rPr/>
            </w:pPr>
            <w:r>
              <w:rPr/>
              <w:t>Waiver of Jury Trial</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1.16.   </w:t>
            </w:r>
          </w:p>
        </w:tc>
        <w:tc>
          <w:tcPr>
            <w:tcW w:w="6275" w:type="dxa"/>
            <w:tcBorders/>
            <w:vAlign w:val="center"/>
          </w:tcPr>
          <w:p>
            <w:pPr>
              <w:pStyle w:val="TableContents"/>
              <w:bidi w:val="0"/>
              <w:spacing w:before="0" w:after="283"/>
              <w:jc w:val="left"/>
              <w:rPr/>
            </w:pPr>
            <w:r>
              <w:rPr/>
              <w:t>USA PATRIOT Act</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1.17.   </w:t>
            </w:r>
          </w:p>
        </w:tc>
        <w:tc>
          <w:tcPr>
            <w:tcW w:w="6275" w:type="dxa"/>
            <w:tcBorders/>
            <w:vAlign w:val="center"/>
          </w:tcPr>
          <w:p>
            <w:pPr>
              <w:pStyle w:val="TableContents"/>
              <w:bidi w:val="0"/>
              <w:spacing w:before="0" w:after="283"/>
              <w:jc w:val="left"/>
              <w:rPr/>
            </w:pPr>
            <w:r>
              <w:rPr/>
              <w:t>Acceptance of Trust</w:t>
            </w:r>
          </w:p>
        </w:tc>
        <w:tc>
          <w:tcPr>
            <w:tcW w:w="275" w:type="dxa"/>
            <w:tcBorders/>
            <w:vAlign w:val="center"/>
          </w:tcPr>
          <w:p>
            <w:pPr>
              <w:pStyle w:val="TableContents"/>
              <w:bidi w:val="0"/>
              <w:spacing w:before="0" w:after="283"/>
              <w:jc w:val="right"/>
              <w:rPr/>
            </w:pPr>
            <w:r>
              <w:rPr/>
              <w:t>16</w:t>
            </w:r>
          </w:p>
        </w:tc>
      </w:tr>
      <w:tr>
        <w:trPr/>
        <w:tc>
          <w:tcPr>
            <w:tcW w:w="8295" w:type="dxa"/>
            <w:gridSpan w:val="3"/>
            <w:tcBorders/>
            <w:vAlign w:val="center"/>
          </w:tcPr>
          <w:p>
            <w:pPr>
              <w:pStyle w:val="TableContents"/>
              <w:bidi w:val="0"/>
              <w:spacing w:before="0" w:after="283"/>
              <w:jc w:val="center"/>
              <w:rPr/>
            </w:pPr>
            <w:r>
              <w:rPr/>
              <w:t>Article II</w:t>
              <w:br/>
              <w:t>THE NOTES</w:t>
            </w:r>
          </w:p>
        </w:tc>
      </w:tr>
      <w:tr>
        <w:trPr/>
        <w:tc>
          <w:tcPr>
            <w:tcW w:w="1745" w:type="dxa"/>
            <w:tcBorders/>
            <w:vAlign w:val="center"/>
          </w:tcPr>
          <w:p>
            <w:pPr>
              <w:pStyle w:val="TableContents"/>
              <w:bidi w:val="0"/>
              <w:spacing w:before="0" w:after="283"/>
              <w:jc w:val="left"/>
              <w:rPr>
                <w:caps/>
              </w:rPr>
            </w:pPr>
            <w:r>
              <w:rPr>
                <w:caps/>
              </w:rPr>
              <w:t>Section 2.01.   </w:t>
            </w:r>
          </w:p>
        </w:tc>
        <w:tc>
          <w:tcPr>
            <w:tcW w:w="6275" w:type="dxa"/>
            <w:tcBorders/>
            <w:vAlign w:val="center"/>
          </w:tcPr>
          <w:p>
            <w:pPr>
              <w:pStyle w:val="TableContents"/>
              <w:bidi w:val="0"/>
              <w:spacing w:before="0" w:after="283"/>
              <w:jc w:val="left"/>
              <w:rPr/>
            </w:pPr>
            <w:r>
              <w:rPr/>
              <w:t>Form and Dating</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2.02.   </w:t>
            </w:r>
          </w:p>
        </w:tc>
        <w:tc>
          <w:tcPr>
            <w:tcW w:w="6275" w:type="dxa"/>
            <w:tcBorders/>
            <w:vAlign w:val="center"/>
          </w:tcPr>
          <w:p>
            <w:pPr>
              <w:pStyle w:val="TableContents"/>
              <w:bidi w:val="0"/>
              <w:spacing w:before="0" w:after="283"/>
              <w:jc w:val="left"/>
              <w:rPr/>
            </w:pPr>
            <w:r>
              <w:rPr/>
              <w:t>Execution and Authentication</w:t>
            </w:r>
          </w:p>
        </w:tc>
        <w:tc>
          <w:tcPr>
            <w:tcW w:w="275" w:type="dxa"/>
            <w:tcBorders/>
            <w:vAlign w:val="center"/>
          </w:tcPr>
          <w:p>
            <w:pPr>
              <w:pStyle w:val="TableContents"/>
              <w:bidi w:val="0"/>
              <w:spacing w:before="0" w:after="283"/>
              <w:jc w:val="right"/>
              <w:rPr/>
            </w:pPr>
            <w:r>
              <w:rPr/>
              <w:t>20</w:t>
            </w:r>
          </w:p>
        </w:tc>
      </w:tr>
      <w:tr>
        <w:trPr/>
        <w:tc>
          <w:tcPr>
            <w:tcW w:w="1745" w:type="dxa"/>
            <w:tcBorders/>
            <w:vAlign w:val="center"/>
          </w:tcPr>
          <w:p>
            <w:pPr>
              <w:pStyle w:val="TableContents"/>
              <w:bidi w:val="0"/>
              <w:spacing w:before="0" w:after="283"/>
              <w:jc w:val="left"/>
              <w:rPr>
                <w:caps/>
              </w:rPr>
            </w:pPr>
            <w:r>
              <w:rPr>
                <w:caps/>
              </w:rPr>
              <w:t>Section 2.03.   </w:t>
            </w:r>
          </w:p>
        </w:tc>
        <w:tc>
          <w:tcPr>
            <w:tcW w:w="6275" w:type="dxa"/>
            <w:tcBorders/>
            <w:vAlign w:val="center"/>
          </w:tcPr>
          <w:p>
            <w:pPr>
              <w:pStyle w:val="TableContents"/>
              <w:bidi w:val="0"/>
              <w:spacing w:before="0" w:after="283"/>
              <w:jc w:val="left"/>
              <w:rPr/>
            </w:pPr>
            <w:r>
              <w:rPr/>
              <w:t>Temporary Notes</w:t>
            </w:r>
          </w:p>
        </w:tc>
        <w:tc>
          <w:tcPr>
            <w:tcW w:w="275" w:type="dxa"/>
            <w:tcBorders/>
            <w:vAlign w:val="center"/>
          </w:tcPr>
          <w:p>
            <w:pPr>
              <w:pStyle w:val="TableContents"/>
              <w:bidi w:val="0"/>
              <w:spacing w:before="0" w:after="283"/>
              <w:jc w:val="right"/>
              <w:rPr/>
            </w:pPr>
            <w:r>
              <w:rPr/>
              <w:t>21</w:t>
            </w:r>
          </w:p>
        </w:tc>
      </w:tr>
      <w:tr>
        <w:trPr/>
        <w:tc>
          <w:tcPr>
            <w:tcW w:w="1745" w:type="dxa"/>
            <w:tcBorders/>
            <w:vAlign w:val="center"/>
          </w:tcPr>
          <w:p>
            <w:pPr>
              <w:pStyle w:val="TableContents"/>
              <w:bidi w:val="0"/>
              <w:spacing w:before="0" w:after="283"/>
              <w:jc w:val="left"/>
              <w:rPr>
                <w:caps/>
              </w:rPr>
            </w:pPr>
            <w:r>
              <w:rPr>
                <w:caps/>
              </w:rPr>
              <w:t>Section 2.04.   </w:t>
            </w:r>
          </w:p>
        </w:tc>
        <w:tc>
          <w:tcPr>
            <w:tcW w:w="6275" w:type="dxa"/>
            <w:tcBorders/>
            <w:vAlign w:val="center"/>
          </w:tcPr>
          <w:p>
            <w:pPr>
              <w:pStyle w:val="TableContents"/>
              <w:bidi w:val="0"/>
              <w:spacing w:before="0" w:after="283"/>
              <w:jc w:val="left"/>
              <w:rPr/>
            </w:pPr>
            <w:r>
              <w:rPr/>
              <w:t>Registration, Transfer and Exchange</w:t>
            </w:r>
          </w:p>
        </w:tc>
        <w:tc>
          <w:tcPr>
            <w:tcW w:w="275" w:type="dxa"/>
            <w:tcBorders/>
            <w:vAlign w:val="center"/>
          </w:tcPr>
          <w:p>
            <w:pPr>
              <w:pStyle w:val="TableContents"/>
              <w:bidi w:val="0"/>
              <w:spacing w:before="0" w:after="283"/>
              <w:jc w:val="right"/>
              <w:rPr/>
            </w:pPr>
            <w:r>
              <w:rPr/>
              <w:t>21</w:t>
            </w:r>
          </w:p>
        </w:tc>
      </w:tr>
      <w:tr>
        <w:trPr/>
        <w:tc>
          <w:tcPr>
            <w:tcW w:w="1745" w:type="dxa"/>
            <w:tcBorders/>
            <w:vAlign w:val="center"/>
          </w:tcPr>
          <w:p>
            <w:pPr>
              <w:pStyle w:val="TableContents"/>
              <w:bidi w:val="0"/>
              <w:spacing w:before="0" w:after="283"/>
              <w:jc w:val="left"/>
              <w:rPr>
                <w:caps/>
              </w:rPr>
            </w:pPr>
            <w:r>
              <w:rPr>
                <w:caps/>
              </w:rPr>
              <w:t>Section 2.05.   </w:t>
            </w:r>
          </w:p>
        </w:tc>
        <w:tc>
          <w:tcPr>
            <w:tcW w:w="6275" w:type="dxa"/>
            <w:tcBorders/>
            <w:vAlign w:val="center"/>
          </w:tcPr>
          <w:p>
            <w:pPr>
              <w:pStyle w:val="TableContents"/>
              <w:bidi w:val="0"/>
              <w:spacing w:before="0" w:after="283"/>
              <w:jc w:val="left"/>
              <w:rPr/>
            </w:pPr>
            <w:r>
              <w:rPr/>
              <w:t>Mutilated, Destroyed, Lost and Stolen Notes</w:t>
            </w:r>
          </w:p>
        </w:tc>
        <w:tc>
          <w:tcPr>
            <w:tcW w:w="275" w:type="dxa"/>
            <w:tcBorders/>
            <w:vAlign w:val="center"/>
          </w:tcPr>
          <w:p>
            <w:pPr>
              <w:pStyle w:val="TableContents"/>
              <w:bidi w:val="0"/>
              <w:spacing w:before="0" w:after="283"/>
              <w:jc w:val="right"/>
              <w:rPr/>
            </w:pPr>
            <w:r>
              <w:rPr/>
              <w:t>24</w:t>
            </w:r>
          </w:p>
        </w:tc>
      </w:tr>
      <w:tr>
        <w:trPr/>
        <w:tc>
          <w:tcPr>
            <w:tcW w:w="1745" w:type="dxa"/>
            <w:tcBorders/>
            <w:vAlign w:val="center"/>
          </w:tcPr>
          <w:p>
            <w:pPr>
              <w:pStyle w:val="TableContents"/>
              <w:bidi w:val="0"/>
              <w:spacing w:before="0" w:after="283"/>
              <w:jc w:val="left"/>
              <w:rPr>
                <w:caps/>
              </w:rPr>
            </w:pPr>
            <w:r>
              <w:rPr>
                <w:caps/>
              </w:rPr>
              <w:t>Section 2.06.   </w:t>
            </w:r>
          </w:p>
        </w:tc>
        <w:tc>
          <w:tcPr>
            <w:tcW w:w="6275" w:type="dxa"/>
            <w:tcBorders/>
            <w:vAlign w:val="center"/>
          </w:tcPr>
          <w:p>
            <w:pPr>
              <w:pStyle w:val="TableContents"/>
              <w:bidi w:val="0"/>
              <w:spacing w:before="0" w:after="283"/>
              <w:jc w:val="left"/>
              <w:rPr/>
            </w:pPr>
            <w:r>
              <w:rPr/>
              <w:t>Payment of Interest; Interest Rights Preserved</w:t>
            </w:r>
          </w:p>
        </w:tc>
        <w:tc>
          <w:tcPr>
            <w:tcW w:w="275" w:type="dxa"/>
            <w:tcBorders/>
            <w:vAlign w:val="center"/>
          </w:tcPr>
          <w:p>
            <w:pPr>
              <w:pStyle w:val="TableContents"/>
              <w:bidi w:val="0"/>
              <w:spacing w:before="0" w:after="283"/>
              <w:jc w:val="right"/>
              <w:rPr/>
            </w:pPr>
            <w:r>
              <w:rPr/>
              <w:t>25</w:t>
            </w:r>
          </w:p>
        </w:tc>
      </w:tr>
      <w:tr>
        <w:trPr/>
        <w:tc>
          <w:tcPr>
            <w:tcW w:w="1745" w:type="dxa"/>
            <w:tcBorders/>
            <w:vAlign w:val="center"/>
          </w:tcPr>
          <w:p>
            <w:pPr>
              <w:pStyle w:val="TableContents"/>
              <w:bidi w:val="0"/>
              <w:spacing w:before="0" w:after="283"/>
              <w:jc w:val="left"/>
              <w:rPr>
                <w:caps/>
              </w:rPr>
            </w:pPr>
            <w:r>
              <w:rPr>
                <w:caps/>
              </w:rPr>
              <w:t>Section 2.07.   </w:t>
            </w:r>
          </w:p>
        </w:tc>
        <w:tc>
          <w:tcPr>
            <w:tcW w:w="6275" w:type="dxa"/>
            <w:tcBorders/>
            <w:vAlign w:val="center"/>
          </w:tcPr>
          <w:p>
            <w:pPr>
              <w:pStyle w:val="TableContents"/>
              <w:bidi w:val="0"/>
              <w:spacing w:before="0" w:after="283"/>
              <w:jc w:val="left"/>
              <w:rPr/>
            </w:pPr>
            <w:r>
              <w:rPr/>
              <w:t>Persons Deemed Owners</w:t>
            </w:r>
          </w:p>
        </w:tc>
        <w:tc>
          <w:tcPr>
            <w:tcW w:w="275" w:type="dxa"/>
            <w:tcBorders/>
            <w:vAlign w:val="center"/>
          </w:tcPr>
          <w:p>
            <w:pPr>
              <w:pStyle w:val="TableContents"/>
              <w:bidi w:val="0"/>
              <w:spacing w:before="0" w:after="283"/>
              <w:jc w:val="right"/>
              <w:rPr/>
            </w:pPr>
            <w:r>
              <w:rPr/>
              <w:t>26</w:t>
            </w:r>
          </w:p>
        </w:tc>
      </w:tr>
      <w:tr>
        <w:trPr/>
        <w:tc>
          <w:tcPr>
            <w:tcW w:w="1745" w:type="dxa"/>
            <w:tcBorders/>
            <w:vAlign w:val="center"/>
          </w:tcPr>
          <w:p>
            <w:pPr>
              <w:pStyle w:val="TableContents"/>
              <w:bidi w:val="0"/>
              <w:spacing w:before="0" w:after="283"/>
              <w:jc w:val="left"/>
              <w:rPr>
                <w:caps/>
              </w:rPr>
            </w:pPr>
            <w:r>
              <w:rPr>
                <w:caps/>
              </w:rPr>
              <w:t>Section 2.08.   </w:t>
            </w:r>
          </w:p>
        </w:tc>
        <w:tc>
          <w:tcPr>
            <w:tcW w:w="6275" w:type="dxa"/>
            <w:tcBorders/>
            <w:vAlign w:val="center"/>
          </w:tcPr>
          <w:p>
            <w:pPr>
              <w:pStyle w:val="TableContents"/>
              <w:bidi w:val="0"/>
              <w:spacing w:before="0" w:after="283"/>
              <w:jc w:val="left"/>
              <w:rPr/>
            </w:pPr>
            <w:r>
              <w:rPr/>
              <w:t>Cancellation</w:t>
            </w:r>
          </w:p>
        </w:tc>
        <w:tc>
          <w:tcPr>
            <w:tcW w:w="275" w:type="dxa"/>
            <w:tcBorders/>
            <w:vAlign w:val="center"/>
          </w:tcPr>
          <w:p>
            <w:pPr>
              <w:pStyle w:val="TableContents"/>
              <w:bidi w:val="0"/>
              <w:spacing w:before="0" w:after="283"/>
              <w:jc w:val="right"/>
              <w:rPr/>
            </w:pPr>
            <w:r>
              <w:rPr/>
              <w:t>26</w:t>
            </w:r>
          </w:p>
        </w:tc>
      </w:tr>
      <w:tr>
        <w:trPr/>
        <w:tc>
          <w:tcPr>
            <w:tcW w:w="1745" w:type="dxa"/>
            <w:tcBorders/>
            <w:vAlign w:val="center"/>
          </w:tcPr>
          <w:p>
            <w:pPr>
              <w:pStyle w:val="TableContents"/>
              <w:bidi w:val="0"/>
              <w:spacing w:before="0" w:after="283"/>
              <w:jc w:val="left"/>
              <w:rPr>
                <w:caps/>
              </w:rPr>
            </w:pPr>
            <w:r>
              <w:rPr>
                <w:caps/>
              </w:rPr>
              <w:t>Section 2.09.   </w:t>
            </w:r>
          </w:p>
        </w:tc>
        <w:tc>
          <w:tcPr>
            <w:tcW w:w="6275" w:type="dxa"/>
            <w:tcBorders/>
            <w:vAlign w:val="center"/>
          </w:tcPr>
          <w:p>
            <w:pPr>
              <w:pStyle w:val="TableContents"/>
              <w:bidi w:val="0"/>
              <w:spacing w:before="0" w:after="283"/>
              <w:jc w:val="left"/>
              <w:rPr/>
            </w:pPr>
            <w:r>
              <w:rPr/>
              <w:t>Computation of Interest</w:t>
            </w:r>
          </w:p>
        </w:tc>
        <w:tc>
          <w:tcPr>
            <w:tcW w:w="275" w:type="dxa"/>
            <w:tcBorders/>
            <w:vAlign w:val="center"/>
          </w:tcPr>
          <w:p>
            <w:pPr>
              <w:pStyle w:val="TableContents"/>
              <w:bidi w:val="0"/>
              <w:spacing w:before="0" w:after="283"/>
              <w:jc w:val="right"/>
              <w:rPr/>
            </w:pPr>
            <w:r>
              <w:rPr/>
              <w:t>27</w:t>
            </w:r>
          </w:p>
        </w:tc>
      </w:tr>
      <w:tr>
        <w:trPr/>
        <w:tc>
          <w:tcPr>
            <w:tcW w:w="1745" w:type="dxa"/>
            <w:tcBorders/>
            <w:vAlign w:val="center"/>
          </w:tcPr>
          <w:p>
            <w:pPr>
              <w:pStyle w:val="TableContents"/>
              <w:bidi w:val="0"/>
              <w:spacing w:before="0" w:after="283"/>
              <w:jc w:val="left"/>
              <w:rPr>
                <w:caps/>
              </w:rPr>
            </w:pPr>
            <w:r>
              <w:rPr>
                <w:caps/>
              </w:rPr>
              <w:t>Section 2.10.   </w:t>
            </w:r>
          </w:p>
        </w:tc>
        <w:tc>
          <w:tcPr>
            <w:tcW w:w="6275" w:type="dxa"/>
            <w:tcBorders/>
            <w:vAlign w:val="center"/>
          </w:tcPr>
          <w:p>
            <w:pPr>
              <w:pStyle w:val="TableContents"/>
              <w:bidi w:val="0"/>
              <w:spacing w:before="0" w:after="283"/>
              <w:jc w:val="left"/>
              <w:rPr/>
            </w:pPr>
            <w:r>
              <w:rPr/>
              <w:t>CUSIP Numbers</w:t>
            </w:r>
          </w:p>
        </w:tc>
        <w:tc>
          <w:tcPr>
            <w:tcW w:w="275" w:type="dxa"/>
            <w:tcBorders/>
            <w:vAlign w:val="center"/>
          </w:tcPr>
          <w:p>
            <w:pPr>
              <w:pStyle w:val="TableContents"/>
              <w:bidi w:val="0"/>
              <w:spacing w:before="0" w:after="283"/>
              <w:jc w:val="right"/>
              <w:rPr/>
            </w:pPr>
            <w:r>
              <w:rPr/>
              <w:t>27</w:t>
            </w:r>
          </w:p>
        </w:tc>
      </w:tr>
      <w:tr>
        <w:trPr/>
        <w:tc>
          <w:tcPr>
            <w:tcW w:w="8295" w:type="dxa"/>
            <w:gridSpan w:val="3"/>
            <w:tcBorders/>
            <w:vAlign w:val="center"/>
          </w:tcPr>
          <w:p>
            <w:pPr>
              <w:pStyle w:val="TableContents"/>
              <w:bidi w:val="0"/>
              <w:spacing w:before="0" w:after="283"/>
              <w:jc w:val="center"/>
              <w:rPr/>
            </w:pPr>
            <w:r>
              <w:rPr/>
              <w:t>Article III</w:t>
              <w:br/>
              <w:t>DISCHARGE OF INDENTURE</w:t>
            </w:r>
          </w:p>
        </w:tc>
      </w:tr>
      <w:tr>
        <w:trPr/>
        <w:tc>
          <w:tcPr>
            <w:tcW w:w="1745" w:type="dxa"/>
            <w:tcBorders/>
            <w:vAlign w:val="center"/>
          </w:tcPr>
          <w:p>
            <w:pPr>
              <w:pStyle w:val="TableContents"/>
              <w:bidi w:val="0"/>
              <w:spacing w:before="0" w:after="283"/>
              <w:jc w:val="left"/>
              <w:rPr>
                <w:caps/>
              </w:rPr>
            </w:pPr>
            <w:r>
              <w:rPr>
                <w:caps/>
              </w:rPr>
              <w:t>Section 3.01.   </w:t>
            </w:r>
          </w:p>
        </w:tc>
        <w:tc>
          <w:tcPr>
            <w:tcW w:w="6275" w:type="dxa"/>
            <w:tcBorders/>
            <w:vAlign w:val="center"/>
          </w:tcPr>
          <w:p>
            <w:pPr>
              <w:pStyle w:val="TableContents"/>
              <w:bidi w:val="0"/>
              <w:spacing w:before="0" w:after="283"/>
              <w:jc w:val="left"/>
              <w:rPr/>
            </w:pPr>
            <w:r>
              <w:rPr/>
              <w:t>Discharge of Indenture</w:t>
            </w:r>
          </w:p>
        </w:tc>
        <w:tc>
          <w:tcPr>
            <w:tcW w:w="275" w:type="dxa"/>
            <w:tcBorders/>
            <w:vAlign w:val="center"/>
          </w:tcPr>
          <w:p>
            <w:pPr>
              <w:pStyle w:val="TableContents"/>
              <w:bidi w:val="0"/>
              <w:spacing w:before="0" w:after="283"/>
              <w:jc w:val="right"/>
              <w:rPr/>
            </w:pPr>
            <w:r>
              <w:rPr/>
              <w:t>27</w:t>
            </w:r>
          </w:p>
        </w:tc>
      </w:tr>
      <w:tr>
        <w:trPr/>
        <w:tc>
          <w:tcPr>
            <w:tcW w:w="1745" w:type="dxa"/>
            <w:tcBorders/>
            <w:vAlign w:val="center"/>
          </w:tcPr>
          <w:p>
            <w:pPr>
              <w:pStyle w:val="TableContents"/>
              <w:bidi w:val="0"/>
              <w:spacing w:before="0" w:after="283"/>
              <w:jc w:val="left"/>
              <w:rPr>
                <w:caps/>
              </w:rPr>
            </w:pPr>
            <w:r>
              <w:rPr>
                <w:caps/>
              </w:rPr>
              <w:t>Section 3.02.   </w:t>
            </w:r>
          </w:p>
        </w:tc>
        <w:tc>
          <w:tcPr>
            <w:tcW w:w="6275" w:type="dxa"/>
            <w:tcBorders/>
            <w:vAlign w:val="center"/>
          </w:tcPr>
          <w:p>
            <w:pPr>
              <w:pStyle w:val="TableContents"/>
              <w:bidi w:val="0"/>
              <w:spacing w:before="0" w:after="283"/>
              <w:jc w:val="left"/>
              <w:rPr/>
            </w:pPr>
            <w:r>
              <w:rPr/>
              <w:t>Defeasance and Discharge of Covenants upon Deposit of Moneys</w:t>
            </w:r>
          </w:p>
        </w:tc>
        <w:tc>
          <w:tcPr>
            <w:tcW w:w="275" w:type="dxa"/>
            <w:tcBorders/>
            <w:vAlign w:val="center"/>
          </w:tcPr>
          <w:p>
            <w:pPr>
              <w:pStyle w:val="TableContents"/>
              <w:bidi w:val="0"/>
              <w:spacing w:before="0" w:after="283"/>
              <w:jc w:val="right"/>
              <w:rPr/>
            </w:pPr>
            <w:r>
              <w:rPr/>
              <w:t>28</w:t>
            </w:r>
          </w:p>
        </w:tc>
      </w:tr>
      <w:tr>
        <w:trPr/>
        <w:tc>
          <w:tcPr>
            <w:tcW w:w="1745" w:type="dxa"/>
            <w:tcBorders/>
            <w:vAlign w:val="center"/>
          </w:tcPr>
          <w:p>
            <w:pPr>
              <w:pStyle w:val="TableContents"/>
              <w:bidi w:val="0"/>
              <w:spacing w:before="0" w:after="283"/>
              <w:jc w:val="left"/>
              <w:rPr>
                <w:caps/>
              </w:rPr>
            </w:pPr>
            <w:r>
              <w:rPr>
                <w:caps/>
              </w:rPr>
              <w:t>Section 3.03.   </w:t>
            </w:r>
          </w:p>
        </w:tc>
        <w:tc>
          <w:tcPr>
            <w:tcW w:w="6275" w:type="dxa"/>
            <w:tcBorders/>
            <w:vAlign w:val="center"/>
          </w:tcPr>
          <w:p>
            <w:pPr>
              <w:pStyle w:val="TableContents"/>
              <w:bidi w:val="0"/>
              <w:spacing w:before="0" w:after="283"/>
              <w:jc w:val="left"/>
              <w:rPr/>
            </w:pPr>
            <w:r>
              <w:rPr/>
              <w:t>Application of Trust Money</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3.04.   </w:t>
            </w:r>
          </w:p>
        </w:tc>
        <w:tc>
          <w:tcPr>
            <w:tcW w:w="6275" w:type="dxa"/>
            <w:tcBorders/>
            <w:vAlign w:val="center"/>
          </w:tcPr>
          <w:p>
            <w:pPr>
              <w:pStyle w:val="TableContents"/>
              <w:bidi w:val="0"/>
              <w:spacing w:before="0" w:after="283"/>
              <w:jc w:val="left"/>
              <w:rPr/>
            </w:pPr>
            <w:r>
              <w:rPr/>
              <w:t>Paying Agent to Repay Moneys Held</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3.05.  </w:t>
            </w:r>
          </w:p>
        </w:tc>
        <w:tc>
          <w:tcPr>
            <w:tcW w:w="6275" w:type="dxa"/>
            <w:tcBorders/>
            <w:vAlign w:val="center"/>
          </w:tcPr>
          <w:p>
            <w:pPr>
              <w:pStyle w:val="TableContents"/>
              <w:bidi w:val="0"/>
              <w:spacing w:before="0" w:after="283"/>
              <w:jc w:val="left"/>
              <w:rPr/>
            </w:pPr>
            <w:r>
              <w:rPr/>
              <w:t>Return of Unclaimed Amounts</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3.06.   </w:t>
            </w:r>
          </w:p>
        </w:tc>
        <w:tc>
          <w:tcPr>
            <w:tcW w:w="6275" w:type="dxa"/>
            <w:tcBorders/>
            <w:vAlign w:val="center"/>
          </w:tcPr>
          <w:p>
            <w:pPr>
              <w:pStyle w:val="TableContents"/>
              <w:bidi w:val="0"/>
              <w:spacing w:before="0" w:after="283"/>
              <w:jc w:val="left"/>
              <w:rPr/>
            </w:pPr>
            <w:r>
              <w:rPr/>
              <w:t>Reinstatement</w:t>
            </w:r>
          </w:p>
        </w:tc>
        <w:tc>
          <w:tcPr>
            <w:tcW w:w="275" w:type="dxa"/>
            <w:tcBorders/>
            <w:vAlign w:val="center"/>
          </w:tcPr>
          <w:p>
            <w:pPr>
              <w:pStyle w:val="TableContents"/>
              <w:bidi w:val="0"/>
              <w:spacing w:before="0" w:after="283"/>
              <w:jc w:val="right"/>
              <w:rPr/>
            </w:pPr>
            <w:r>
              <w:rPr/>
              <w:t>31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t xml:space="preserve">ARTICLE IV </w:t>
        <w:br/>
        <w:t>REMEDIES</w:t>
      </w:r>
    </w:p>
    <w:p>
      <w:pPr>
        <w:pStyle w:val="TextBody"/>
        <w:bidi w:val="0"/>
        <w:spacing w:before="0" w:after="283"/>
        <w:jc w:val="left"/>
        <w:rPr/>
      </w:pPr>
      <w:r>
        <w:rPr/>
        <w:t> </w:t>
      </w:r>
    </w:p>
    <w:tbl>
      <w:tblPr>
        <w:tblW w:w="6660" w:type="dxa"/>
        <w:jc w:val="left"/>
        <w:tblInd w:w="0" w:type="dxa"/>
        <w:tblLayout w:type="fixed"/>
        <w:tblCellMar>
          <w:top w:w="0" w:type="dxa"/>
          <w:left w:w="0" w:type="dxa"/>
          <w:bottom w:w="0" w:type="dxa"/>
          <w:right w:w="0" w:type="dxa"/>
        </w:tblCellMar>
      </w:tblPr>
      <w:tblGrid>
        <w:gridCol w:w="1385"/>
        <w:gridCol w:w="5030"/>
        <w:gridCol w:w="245"/>
      </w:tblGrid>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4.06.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4.07.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4.08.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Right of Holders to Receive Payment of Principal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4.09.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4.10.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Stay or Extension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6660" w:type="dxa"/>
            <w:gridSpan w:val="3"/>
            <w:tcBorders/>
            <w:vAlign w:val="center"/>
          </w:tcPr>
          <w:p>
            <w:pPr>
              <w:pStyle w:val="TableContents"/>
              <w:bidi w:val="0"/>
              <w:spacing w:before="0" w:after="283"/>
              <w:jc w:val="center"/>
              <w:rPr/>
            </w:pPr>
            <w:r>
              <w:rPr/>
              <w:t> </w:t>
            </w:r>
          </w:p>
        </w:tc>
      </w:tr>
      <w:tr>
        <w:trPr/>
        <w:tc>
          <w:tcPr>
            <w:tcW w:w="66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 </w:t>
              <w:br/>
              <w:t>THE TRUSTEE</w:t>
            </w:r>
          </w:p>
        </w:tc>
      </w:tr>
      <w:tr>
        <w:trPr/>
        <w:tc>
          <w:tcPr>
            <w:tcW w:w="6660" w:type="dxa"/>
            <w:gridSpan w:val="3"/>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Responsible for Recitals or Issuance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5.06.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5.07.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5.08.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5.09.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5.10.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6660" w:type="dxa"/>
            <w:gridSpan w:val="3"/>
            <w:tcBorders/>
            <w:vAlign w:val="center"/>
          </w:tcPr>
          <w:p>
            <w:pPr>
              <w:pStyle w:val="TableContents"/>
              <w:bidi w:val="0"/>
              <w:spacing w:before="0" w:after="283"/>
              <w:jc w:val="center"/>
              <w:rPr/>
            </w:pPr>
            <w:r>
              <w:rPr/>
              <w:t> </w:t>
            </w:r>
          </w:p>
        </w:tc>
      </w:tr>
      <w:tr>
        <w:trPr/>
        <w:tc>
          <w:tcPr>
            <w:tcW w:w="66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VI </w:t>
              <w:br/>
              <w:t>HOLDERS’ LISTS AND REPORTS BY TRUSTEE AND ISSUER</w:t>
            </w:r>
          </w:p>
        </w:tc>
      </w:tr>
      <w:tr>
        <w:trPr/>
        <w:tc>
          <w:tcPr>
            <w:tcW w:w="6660" w:type="dxa"/>
            <w:gridSpan w:val="3"/>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to Furnish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CONSOLIDATION, MERGER OR TRANSFER</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1490"/>
        <w:gridCol w:w="4685"/>
        <w:gridCol w:w="245"/>
      </w:tblGrid>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Issuer May Merge or Transfer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VIII </w:t>
              <w:br/>
              <w:t>SUPPLEMENTAL INDENTURES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8.03.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8.04.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8.05.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8.06.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 to Be Given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8.07.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IX </w:t>
              <w:br/>
              <w:t>COVENANTS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9.03.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for Note Payments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9.04.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9.05.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9.06.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9.07.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Sale-Leaseback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X </w:t>
              <w:br/>
              <w:t>REDEMPTION OF NOTES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issuance from time to time of its debt securities in one or more series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Issuer, in accordance with its terms,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Notes by the Holders (as hereinafter defined) thereof, the Issuer and the Trustee mutually covenant and agree for the equal and proportionate benefit of the respective Holders from time to time of the Notes or any series thereof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OTHER PROVISIONS OF GENERAL APPLICATION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this Indenture, and of any indenture supplemental hereto,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have the meanings assigned to them in this Article, and include the plural as well as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other terms used herein which are defined in the Trust Indenture Act (as hereinafter defined), either directly or by reference therein, have the meanings assigned to them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GAAP;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when used with respect to any Holder,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xml:space="preserve">” means any Person authorized by the Trustee to authenticate Notes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U.S. Code, as amended, or any similar state or federal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(i) the Board of Directors of the Issuer, (ii) any committee of such Board of Directors, (iii) any committee of officers of the Issuer or (iv) any officer of the Issuer, in the cases of clauses (ii)-(iv), authorized with respect to any matter to exercise the powers of the Board of Directors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Issuer to have been duly adopted by the Board of Directors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in New York City or the place of payment are authorized or required by law, regulation or executive order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Request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means, respectively, a written request or order, as the case may be, signed in the name of the Issuer by any Officer thereof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Tangible Assets</w:t>
      </w:r>
      <w:r>
        <w:rPr>
          <w:rFonts w:ascii="Times New Roman;Times;Serif" w:hAnsi="Times New Roman;Times;Serif"/>
          <w:b w:val="false"/>
          <w:i w:val="false"/>
          <w:caps w:val="false"/>
          <w:smallCaps w:val="false"/>
          <w:sz w:val="20"/>
        </w:rPr>
        <w:t>” means, as of the time of determination, (a) the total assets of the Issuer and its subsidiaries determined on a consolidated basis in accordance with GAAP minus (b) the sum of (i) current liabilities of the Issuer and its subsidiaries, except for current maturities of long-term Indebtedness and Capital Lease Obligations, and (ii) goodwill and other intangible assets of the Issuer and its subsidiaries, in each case determined on a consolidated basis in accordance with GAAP, all as reflected in the most recent consolidated balance sheet prepared by the Issuer in accordance with GAAP contained in an annual report on Form 10-K or a quarterly report on Form 10-Q (or comparable semiannual report) timely filed or any amendment thereto (and not subsequently disclaimed as not being reliable by the Issuer) prior to the time as of which “Consolidated Net Tangible Assets” is being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the Person appointed by the Issuer to act as custodian for the Depositary, which Person shall be the Trustee unless and until a successor Person is appointed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 means Legal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means a certificated Note registered in the name of the Holder thereof and issued in accordance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means with respect to the Notes of any series issuable or issued in whole or in part in global form, (i) DTC or (ii) the Person otherwise designated as Depositary for such series by the Issuer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unless and until a successor Depositary for such series shall have become such pursuant to the applicable provisions of this Indenture, and thereafter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with respect to the Notes of a series shall mean or include each Person who is then a Depositary hereunder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or any successor thereto, in each case as amended from time to time,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in effect on the date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means each note in global form issued in accordance with this Indenture and bearing the Global Note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which is required to be placed on all Global Notes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 of Notes</w:t>
      </w:r>
      <w:r>
        <w:rPr>
          <w:rFonts w:ascii="Times New Roman;Times;Serif" w:hAnsi="Times New Roman;Times;Serif"/>
          <w:b w:val="false"/>
          <w:i w:val="false"/>
          <w:caps w:val="false"/>
          <w:smallCaps w:val="false"/>
          <w:sz w:val="20"/>
        </w:rPr>
        <w:t>” means a Person in whose name a Note is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means issue, assume, guarantee or otherwise become liable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obligations (other than Non-recourse Obligations) of such Person for borrowed money (including, without limitation, indebtedness for borrowed money evidenced by notes, bonds, debentures or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this 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when used with respect to any Note, means the date specified in such Note on which an installment of interest on such Note is scheduled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any Note (or portion thereof) means the earlier of (a) the date of such Note or (b) the date of any Note (or portion thereof) for which such Note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Note, means the date on which all or a portion of the principal amount outstanding under such Note becomes due and payable, whether on the Maturity Date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when used with respect to any Note or any installment of principal thereof, means the date specified in such Note as the fixed date on which the principal of such Note or such installment of principal becomes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Obligation</w:t>
      </w:r>
      <w:r>
        <w:rPr>
          <w:rFonts w:ascii="Times New Roman;Times;Serif" w:hAnsi="Times New Roman;Times;Serif"/>
          <w:b w:val="false"/>
          <w:i w:val="false"/>
          <w:caps w:val="false"/>
          <w:smallCaps w:val="false"/>
          <w:sz w:val="20"/>
        </w:rPr>
        <w:t>” means Indebtedness or other obligations substantially related to the financing of a project involving the development or expansion of properties of the Issuer or any direct or indirect subsidiaries of the Issuer, as to which the obligee with respect to such indebtedness or obligation has no recourse to the Issuer or any direct or indirect subsidiary of the Issuer or such subsidiary’s assets other than the assets which were acquired with the proceeds of such transaction or the project financed with the proceeds of such transaction (and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has the meaning specified in the Recitals of the Issuer on the first page of this Indenture, including any replacement Notes issued therefor in accordance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means Skyworks Solutions, Inc., a Delaware corporation, unless and until a successor entity or assign shall have assumed the obligations of the Issuer under this Indenture and the Notes and thereafter “Issuer” shall mean such successor entity or assign.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the Chairman of the Board, the Chief Executive Officer, the President, the Chief Operating Officer, the Chief Financial Officer, the Treasurer, any Assistant Treasurer, the Controller, the Secretary, the Assistant Secretary or any Vice-President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any Officer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with respect to the Issuer or the Trustee, a written opinion of counsel to the Issuer or the Trustee, as the case may be, which counsel may be an employee of the Issuer or the Trustee who is reasonably satisfactory to the Trustee, as the case may be. Such opinion may include customary qualifications and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the Notes or any series of Notes, means, as of the date of determination, all Notes or all Notes of such series, as the case may be, theretofore authenticated and delivered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Notes or such Notes of such series, as the case may be, theretofore cancelled by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Notes or such Notes of such series, as the case may be, or portions thereof, for whose payment, redemption, discharge or defeasance (including Discharge or Defeasance pursuant to Section 3.01 or Section 3.02 of this Indenture) money in the necessary amount has been theretofore deposited in trust with the Trustee or with any Paying Agent other than the Issuer, or, if the Issuer shall act as its own Paying Agent, has been set aside and segregated in trust by the Issuer; provided, in any case, that if such Notes or such Notes of such series, as the case may be, are to be redeemed prior to their Maturity Date, notice of such redemption has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has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Notes or such Notes of such series, as the case may be, in exchange for or in lieu of which other Notes or other Notes of such series, as the case may be, have been authenticated and delivered pursuant to this Indenture, or which shall have been paid, in each case, pursuant to the terms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(except with respect to any such Note or any such Note of such series, as the case may be, as to which proof satisfactory to the Trustee is presented that such Note or such Note of such series, as the case may be, is held by a person in whose hands such Notes or such Notes of such series, as the case may be, is a legal, valid, and binding obligation of the Issuer);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solely to the extent provided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Notes or Notes of such series, as the case may be, which are subject to Legal Defeasance or Covenant Defeasance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such Notes or Notes of such series, as the case may be, Outstanding have given a direction concerning the time, method and place of conducting any proceeding for any remedy available to the Trustee, or concerning the exercise of any trust or power conferred upon the Trustee under this Indenture, or concerning a consent on behalf of the Holders of the Notes or the Holders of the Notes of such series, as the case may be, to the waiver of any past default and its consequences, Notes or the Notes of such series, as the case may be, owned by the Issuer, any other obligor upon the Notes or Notes of such series, as the case may be, or any Affiliate of the Issuer or such other obligor shall be disregarded and deemed not to be Outstanding. In determining whether the Trustee shall be protected in relying upon any request, demand, authorization, direction, notice, consent, or waiver hereunder, only Notes or Notes of such series, as the case may be, which a Responsible Officer assigned to the corporate trust department of the Trustee knows to be owned by the Issuer or any other obligor upon the Notes or the Notes of such series, as the case may be, or any Affiliate of the Issuer or such other obligor shall be so disregarded. Notes or Notes of such series, as the case may be, so owned which have been pledged in good faith may be regarded as Outstanding if the pledgee establishes to the satisfaction of the Trustee the pledgee’s right to act as owner with respect to such Notes or Notes of such series, as the case may be, and that the pledgee is not the Issuer or any other obligor upon the Notes or the Notes of such series, as the case may be, or any Affiliate of the Issuer or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Person appointed by the Issuer to distribute amounts payable by the Issuer on the Notes. The Issuer may act as its own Paying Agent. As of the date of this Indenture, the Issuer has appointed the Trustee as Paying Agent with respect to all Notes issuable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xml:space="preserve">” means the place specified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Notes</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 lost, destroyed, mutilated, or stolen Note shall be deemed to evidence the same debt as the lost, destroyed, mutilated, or stolen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Note of any series will be determined for any purpose described herein, such determination to be made as of the close of business on such date by reference to the Security Register, and in relation to a determination of a payment of an installment of interest on the Notes of any series, shall have the meaning specified in such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xml:space="preserve">” when used with respect to any Notes to be redeemed, means the date fixed for such redemption in any notice of redemption issued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xml:space="preserve">” when used with respect to any Notes to be redeemed, means the price specified in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means the Person who maintains the Security Register, which Person shall be the Trustee unless and until a successor Registrar is appointed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when used with respect to the Trustee, means any officer of the Trustee having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Agreement</w:t>
      </w:r>
      <w:r>
        <w:rPr>
          <w:rFonts w:ascii="Times New Roman;Times;Serif" w:hAnsi="Times New Roman;Times;Serif"/>
          <w:b w:val="false"/>
          <w:i w:val="false"/>
          <w:caps w:val="false"/>
          <w:smallCaps w:val="false"/>
          <w:sz w:val="20"/>
        </w:rPr>
        <w:t>” means the Revolving Credit Agreement, dated as of May 21, 2021, among the Issuer,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or any successor thereto, in each case as amended from time to time,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as amended, as in force as of the date hereof; provided that, with respect to every supplemental indenture executed pursuant to this Indenture,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shall mean the Trust Indenture Act of 1939,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in the first paragraph of this instrument until a successor Trustee shall have become such pursuant to the applicable provisions of this Indenture, and thereafter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used with respect to the Notes of any series shall mean the Trustee with respect to the Notes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(a) securities that are direct obligations of the United States of America, the payment of which is unconditionally guaranteed by the full faith and credit of the United States of America and (b) securities that are obligations of a Person controlled or supervised by and acting as an agency or instrumentality of the United States of America, the payment of which is unconditionally guaranteed by the full faith and credit of the United States of America, and also includes depository receipts issued by a bank or trust company as custodian with respect to any of the securities described in the preceding clauses (a) and (b), and any payment of interest or principal payable under any of the securities described in the preceding clauses (a) and (b) that is held by such custodian for the account of the holder of a depository receipt, provided that (except as required by law) such custodian is not authorized to make any deduction from the amount payable to the holder of such depository receipt, or from any amount received by the custodian in respect of such securities, or from any specific payment of interest or principal payable under the securities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1.02.                    </w:t>
      </w:r>
      <w:r>
        <w:rPr>
          <w:rFonts w:ascii="Times New Roman;Times;Serif" w:hAnsi="Times New Roman;Times;Serif"/>
          <w:b w:val="false"/>
          <w:i w:val="false"/>
          <w:caps w:val="false"/>
          <w:smallCaps w:val="false"/>
          <w:sz w:val="20"/>
          <w:u w:val="single"/>
        </w:rPr>
        <w:t>Officer’s Certificates and Opinions</w:t>
      </w:r>
      <w:r>
        <w:rPr>
          <w:rFonts w:ascii="Times New Roman;Times;Serif" w:hAnsi="Times New Roman;Times;Serif"/>
          <w:b w:val="false"/>
          <w:i w:val="false"/>
          <w:caps w:val="false"/>
          <w:smallCaps w:val="false"/>
          <w:sz w:val="20"/>
        </w:rPr>
        <w:t>. Every Officer’s Certificate, Opinion of Counsel and other certificate or opinion to be delivered to the Trustee under this Indenture with respect to any action to be taken by the Trustee shall include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each individual signing such certificate or opinion has read all covenants and conditions of this Indenture relating to such proposed action, including the definitions of all applicable capitalized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in the opinion of each such individual, such condition or covenant has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1.03.                    </w:t>
      </w:r>
      <w:r>
        <w:rPr>
          <w:rFonts w:ascii="Times New Roman;Times;Serif" w:hAnsi="Times New Roman;Times;Serif"/>
          <w:b w:val="false"/>
          <w:i w:val="false"/>
          <w:caps w:val="false"/>
          <w:smallCaps w:val="false"/>
          <w:sz w:val="20"/>
          <w:u w:val="single"/>
        </w:rPr>
        <w:t>Form of Documents Delivered to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the other matters, and any such Person may certify or give an opinion as to such matters in one or several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certificate or opinion of an officer of the Issuer may be based, insofar as it relates to legal matters, upon a certificate or opinion of, or representations by, legal counsel, unless such officer knows that any such certificate, opinion, or representation is erroneous. Any opinion of counsel for the Issuer may be based, insofar as it relates to factual matters, upon a certificate or opinion of, or representations by, an officer or officers of the Issuer, unless such counsel knows that any such certificate, opinion, or representation is erroneous.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Where any Person is required to make, give, or execute two or more applications, requests, consents, certificates, statements, opinions, or other instruments under this Indenture, such instruments may, but need not, be consolidated and form a single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(if expressly required by the applicable terms of this Indenture)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conclusive in favor of the Trustee and the Issuer, if made in the manner provided in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ownership of Notes shall for all purposes be determined by reference to the Security Register, as such register shall exist as of the applicable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Issuer shall solicit from the Holders any request, demand, authorization, direction, notice, consent, waiver or other action, the Issuer may, at its option, by Board Resolution, fix in advance a Record Date for the determination of Holders entitled to give such request, demand, authorization, direction, notice, consent, waiver or other action, but the Issuer shall have no obligation to do so. If such Record Date is fixed, such request, demand, authorization, direction, notice, consent, waiver or other action may be given before or after such Record Date, but only the Holders of record at the close of business on such Record Date shall be deemed to be Holders for the purpose of determining whether Holders of the requisite proportion of Notes Outstanding have authorized or agreed or consented to such request, demand, authorization, direction, notice, consent, waiver or other action, and for that purpose the Notes Outstanding shall be computed as of such Record Date, provided that no such authorization, agreement or consent by the Holders on such Record Date shall be deemed effective unless it shall become effective pursuant to the provisions of this Indenture not later than six months after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request, demand, authorization, direction, notice, consent, waiver or other action by the Holder of any Note shall bind each subsequent Holder of such Note, and each Holder of any Note issued upon the registration of transfer thereof or in exchange therefor or in lieu thereof, with respect to anything done or suffered to be done by the Trustee or the Issuer in reliance upon such action, whether or not notation of such action is made upon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1.05.                    </w:t>
      </w:r>
      <w:r>
        <w:rPr>
          <w:rFonts w:ascii="Times New Roman;Times;Serif" w:hAnsi="Times New Roman;Times;Serif"/>
          <w:b w:val="false"/>
          <w:i w:val="false"/>
          <w:caps w:val="false"/>
          <w:smallCaps w:val="false"/>
          <w:sz w:val="20"/>
          <w:u w:val="single"/>
        </w:rPr>
        <w:t>Notices, Etc., to Trustee and Issuer</w:t>
      </w:r>
      <w:r>
        <w:rPr>
          <w:rFonts w:ascii="Times New Roman;Times;Serif" w:hAnsi="Times New Roman;Times;Serif"/>
          <w:b w:val="false"/>
          <w:i w:val="false"/>
          <w:caps w:val="false"/>
          <w:smallCaps w:val="false"/>
          <w:sz w:val="20"/>
        </w:rPr>
        <w:t>. Any request, order, authorization, direction, consent, waiver or other action to be taken by the Trustee, the Issuer or the Holders hereunder (including any Authentication Order), and any notice to be given to the Trustee or the Issuer with respect to any action taken or to be taken by the Trustee, the Issuer or the Holders hereunder, shall be sufficient if made in writing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to be furnished or delivered to or filed with the Trustee by the Issuer or any Holder, delivered to the Trustee at its Corporate Trust Office, including without limitation, by means of electronic delivery, including, without limitation, email and electronic facsimile or other electronic delivery,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to be furnished or delivered to the Issuer by the Trustee or any Holder, and except as otherwise provided in </w:t>
      </w:r>
      <w:r>
        <w:rPr>
          <w:rFonts w:ascii="Times New Roman;Times;Serif" w:hAnsi="Times New Roman;Times;Serif"/>
          <w:b w:val="false"/>
          <w:i w:val="false"/>
          <w:caps w:val="false"/>
          <w:smallCaps w:val="false"/>
          <w:sz w:val="20"/>
          <w:u w:val="single"/>
        </w:rPr>
        <w:t>Section 4.01(3)</w:t>
      </w:r>
      <w:r>
        <w:rPr>
          <w:rFonts w:ascii="Times New Roman;Times;Serif" w:hAnsi="Times New Roman;Times;Serif"/>
          <w:b w:val="false"/>
          <w:i w:val="false"/>
          <w:caps w:val="false"/>
          <w:smallCaps w:val="false"/>
          <w:sz w:val="20"/>
        </w:rPr>
        <w:t>, mailed to the Issuer, first-class postage prepaid, at the following address: c/o Skyworks Solutions, Inc., 5260 California Avenue, Irvine, California 92617 Attention: Contracts and General Counsel, Facsimile No.: (949) 725-1772, Telephone No.: (949) 231-3000 or at any other address hereafter furnished in writing by the Issuer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1.06.                    </w:t>
      </w:r>
      <w:r>
        <w:rPr>
          <w:rFonts w:ascii="Times New Roman;Times;Serif" w:hAnsi="Times New Roman;Times;Serif"/>
          <w:b w:val="false"/>
          <w:i w:val="false"/>
          <w:caps w:val="false"/>
          <w:smallCaps w:val="false"/>
          <w:sz w:val="20"/>
          <w:u w:val="single"/>
        </w:rPr>
        <w:t>Notice to Holders; Waiver</w:t>
      </w:r>
      <w:r>
        <w:rPr>
          <w:rFonts w:ascii="Times New Roman;Times;Serif" w:hAnsi="Times New Roman;Times;Serif"/>
          <w:b w:val="false"/>
          <w:i w:val="false"/>
          <w:caps w:val="false"/>
          <w:smallCaps w:val="false"/>
          <w:sz w:val="20"/>
        </w:rPr>
        <w:t>. Where this Indenture or any Note provides for notice to Holders of any event, such notice shall be sufficiently given (unless otherwise expressly provided herein or in such Note) if (1) in writing and mailed, first-class postage prepaid, to each Holder affected by such event, at his or her address as it appears in the Security Register as of the applicable Record Date, if any, or (2) given by electronic delivery, not later than the latest date or earlier than the earliest date prescribed by this Indenture or such Note for the giving of such notice; provided that if the Holder to which any such notice or communication is to be mailed, delivered, given or otherwise transmitted is a Depositary or its nominee, such notice or communication may instead be given by such other means as may be required or permitted by the procedures of the Depositary. In any case where notice to Holders is given, neither the failure to give such notice, nor any defect in any notice so given, to any particular Holder shall affect the sufficiency of such notice with respect to other Holders. Where this Indenture or any Note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If a notice or communication is sent in the manner provided in this Section 1.06 within the time prescribed,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1.07.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any provision hereof limits, qualifies or conflicts with another provision hereof which is required to be included in this Indenture by any of the provisions of the TIA, such required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1.08.                    </w:t>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herein and the Table of Contents hereof are for convenience only and shall not affect the construction of any provision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by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1.11.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any Notes, express or implied, shall give to any Person, other than the parties hereto, their successors hereunder, the Authenticating Agent, the Registrar, any Paying Agent, and the Holders of Notes (or such of them as may be affected thereby), any benefit or any legal or equitable right, remedy or claim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when so executed shall be deemed to be an original, but all of which shall together constitute but one and the same instrument. This Indenture shall be valid, binding and enforceable against a party only when executed and delivered by an authorized individual on behalf of the party by means of (i) any electronic signature permitted by the federal Electronic Signatures in Global National Commerce Act, state enactments of the Uniform Electronic Transactions Act and/or any other relevant electronic signatures law, including relevant provisions of the Uniform Commercial Code (collectively, “</w:t>
      </w:r>
      <w:r>
        <w:rPr>
          <w:rFonts w:ascii="Times New Roman;Times;Serif" w:hAnsi="Times New Roman;Times;Serif"/>
          <w:b w:val="false"/>
          <w:i w:val="false"/>
          <w:caps w:val="false"/>
          <w:smallCaps w:val="false"/>
          <w:sz w:val="20"/>
          <w:u w:val="single"/>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 All notices, approvals, consents, requests and any communications hereunder must be in writing (provided that any such communication sent to the Trustee hereunder must be in the form of a document that is signed manually or by way of a digital signature provided by DocuSign or other electronic signature provider that the Issuer plans to use (or such other digital signature provider as specified in writing to the Trustee by the authorized representative),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1.14.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Interest Payment Date, Redemption Date, Maturity Date or other payment date shall not be a Business Day, then (notwithstanding any other provisions of this Indenture or of the Notes) payment of interest or principal (and premium, if any) need not be made on such date, but may be made on the next succeeding Business Day with the same force and effect as if made on the Interest Payment Date, Redemption Date, Maturity Date or other payment date; provided that no interest shall accrue for the period from and after such Interest Payment Date, Redemption Date, Maturity Date or other payment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1.16.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1.17.                    </w:t>
      </w:r>
      <w:r>
        <w:rPr>
          <w:rFonts w:ascii="Times New Roman;Times;Serif" w:hAnsi="Times New Roman;Times;Serif"/>
          <w:b w:val="false"/>
          <w:i w:val="false"/>
          <w:caps w:val="false"/>
          <w:smallCaps w:val="false"/>
          <w:sz w:val="20"/>
          <w:u w:val="single"/>
        </w:rPr>
        <w:t>Acceptance of Trust</w:t>
      </w:r>
      <w:r>
        <w:rPr>
          <w:rFonts w:ascii="Times New Roman;Times;Serif" w:hAnsi="Times New Roman;Times;Serif"/>
          <w:b w:val="false"/>
          <w:i w:val="false"/>
          <w:caps w:val="false"/>
          <w:smallCaps w:val="false"/>
          <w:sz w:val="20"/>
        </w:rPr>
        <w:t>. U.S. Bank Trust Company, National Association, the initial Trustee named herein, accepts the trusts in this Indenture declared and provided, upon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2.01.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of each series shall be substantially in such form (not inconsistent with this Indenture) as shall be established by or pursuant to a Board Resolution, Officer’s Certificate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stock exchange rule or DTC rule or usage or with any rules or regulations pursuant thereto, all as may, consistently herewith, be determined by the Officer executing such Notes, as evidenced by their execution of the Notes. Any portion of the text of any Note may be set forth on the reverse thereof, with an appropriate reference thereto on the face of the Note. Each Note shall be dated the date of its authentication. The Issuer shall furnish any such legends to the Trustee in writing.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Definitive Notes, if any, shall be printed, lithographed or engraved or produced by any combination of those methods on steel engraved borders or may be produced in any other manner permitted by any applicable rule of any securities exchange, all as determined by the Officers executing such Notes, as evidenced by their execution of such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terms and provisions contained in the Notes shall constitute, and are hereby expressly made, a part of this Indenture and the Issuer and the Trustee, by their execution and delivery of this Indenture expressly agree to such terms and provisions and to be bound thereby. Nothing in the preceding sentence shall, however, limit the effect of the second paragraph of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 However, to the extent any provision of any Note conflicts with the express provisions of this Indenture, the provisions of this Indenture shall govern and be controlling. All Notes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Note shall be entitled to any benefit under this Indenture or be valid or obligatory for any purpose unless there appears on such Note a certificate of authentication substantially in the form provided for herein executed by the Trustee by manual signature of an authorized officer, and such certificate upon any Note shall be conclusive evidence, and the only evidence, that such Note has been duly authenticated and delivered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aggregate principal amount of Notes which may be authenticated and delivered under this Indenture is unlimited. The Notes may be issued in one or more series. There shall be established in or pursuant to (x) a Board Resolution, (y) an Officer’s Certificate or (z) one or more indentures supplemental hereto, prior to the issuance of Notes of any series: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Notes of the series (which shall distinguish the Notes of the series from all other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 upon the aggregate principal amount of the Notes of the series that may be authenticated and delivered under this Indenture (except for Notes authenticated and delivered upon registration of transfer of, or in exchange for, or in lieu of, other Notes of the series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8.07</w:t>
      </w:r>
      <w:r>
        <w:rPr>
          <w:rFonts w:ascii="Times New Roman;Times;Serif" w:hAnsi="Times New Roman;Times;Serif"/>
          <w:b w:val="false"/>
          <w:i w:val="false"/>
          <w:caps w:val="false"/>
          <w:smallCaps w:val="false"/>
          <w:sz w:val="20"/>
        </w:rPr>
        <w:t xml:space="preserve"> or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Notes of the series is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Notes of the series shall bear interest, if any, or the method by which such rate shall be determined, the date or dates from which such interest shall accrue, the Interest Payment Dates on which such interest shall be payable and the Record Dates, if any, for the determination of Holders to whom interest is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premium and interest on the Notes of the series shall be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optional redemption, mandatory redemption, sinking fund and any change of control put provisions;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other than the principal amount thereof, the portion of the principal amount of Notes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 date;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designation of the currency, currencies or currency units in which payment of the principal of, premium and interest, if any, on the Notes of the series will be made if other than U.S. dollars;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provisions, if any, relating to any security provided for the Notes of the series, and any subordination in right of payment, if any, of the Notes of the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issue price (expressed as a percentage of the aggregate principal amount of the Notes) at which the Notes will be issued;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Notes of the series are issuable in whole or in part in the form of Definitive Notes or as one or more Global Notes, and if so, the identity of the Depositary for such Global Notes if other than DTC;</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terms of the series (which may supplement, modify or delete any provisions of this Indenture);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Notes of such series will be convertible into or exchangeable for shares of common stock, preferred stock or other securities of the Issuer or any other Person, the terms and conditions upon which such Notes will be so convertible or exchangeable;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additions to, deletions of or changes in the Events of Default which apply to the Notes of the series;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additions to, deletions of or changes in any covenants of the Issuer with respect to the Notes of a particular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2.01(1)(v)(b)</w:t>
      </w:r>
      <w:r>
        <w:rPr>
          <w:rFonts w:ascii="Times New Roman;Times;Serif" w:hAnsi="Times New Roman;Times;Serif"/>
          <w:b w:val="false"/>
          <w:i w:val="false"/>
          <w:caps w:val="false"/>
          <w:smallCaps w:val="false"/>
          <w:sz w:val="20"/>
        </w:rPr>
        <w:t xml:space="preserve"> and unless otherwise expressly provided with respect to a series of Notes, the aggregate principal amount of a series of Notes may be increased and additional Notes of such series may be issued up to the maximum aggregate principal amount authorized with respect to such series as increased; provided that, any such additional Notes shall have identical terms as the outstanding Notes of such series, other than with respect to the date of issuance, issue price, first Interest Payment Date, interest accrual date and amount of interest payable on the first Interest Payment Date applicable thereto; provided further, that any such additional Notes shall be treated as a single class with the outstanding Notes of such series for all purposes under this Indenture, subject to any applicable United States Federal income tax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Issuer shall establish pursuant to </w:t>
      </w:r>
      <w:r>
        <w:rPr>
          <w:rFonts w:ascii="Times New Roman;Times;Serif" w:hAnsi="Times New Roman;Times;Serif"/>
          <w:b w:val="false"/>
          <w:i w:val="false"/>
          <w:caps w:val="false"/>
          <w:smallCaps w:val="false"/>
          <w:sz w:val="20"/>
          <w:u w:val="single"/>
        </w:rPr>
        <w:t>Section 2.01(1)</w:t>
      </w:r>
      <w:r>
        <w:rPr>
          <w:rFonts w:ascii="Times New Roman;Times;Serif" w:hAnsi="Times New Roman;Times;Serif"/>
          <w:b w:val="false"/>
          <w:i w:val="false"/>
          <w:caps w:val="false"/>
          <w:smallCaps w:val="false"/>
          <w:sz w:val="20"/>
        </w:rPr>
        <w:t xml:space="preserve"> above that the Notes of a series or a portion thereof are to be issued in the form of one or more Global Notes, then the Issuer shall execute and the Trustee shall authenticate and make available for delivery one or more Global Notes that (a) shall represent and shall be denominated in an amount equal to the aggregate principal amount of all of the Notes of such series issued in such form and not yet cancelled, (b) shall be registered, in the name of the Depositary designated for such Global Note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or in the name of a nominee of such Depositary, (c) shall be deposited with the Trustee, as Custodian for the Depositary, and (d) shall bear a legend substantially as follows (“</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HEREINAFTER.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Depositary designated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for a Global Note must, at the time of its designation and at all times while it serves as Depositary, be a clearing agency registered under the Exchange Act and any other applicable statute or regulation, provided that the Depositary is required to be so registered in order to act as depositary.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Global Note may be represented by more than one certificate. The aggregate principal amount of each Global Note may from time to time be increased or decreased by adjustments made on the records of the Registrar, as provided in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Trustee’s Certificate of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shall be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1148"/>
        <w:gridCol w:w="6386"/>
      </w:tblGrid>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By:</w:t>
            </w:r>
          </w:p>
        </w:tc>
        <w:tc>
          <w:tcPr>
            <w:tcW w:w="63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6386"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2.02.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any time and from time to time after the execution and delivery of this Indenture, the Issuer may deliver Notes of any series executed on behalf of the Issuer by any Officer to the Trustee for authentication, and the Trustee, upon receipt of a written order of the Issuer specifying the principal amount and registered Holder of each Note and whether such Note shall be a Definitive Note or a Global Note, and signed by an Officer (the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shall thereupon in accordance with the procedures acceptable to the Trustee set forth in the Authentication Order, and subject to the provisions hereof, authenticate and deliver such Notes to or upon the written order of the Issuer, without any further action by the Issuer except as set forth in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signature of any Officer on the Notes may be manual, facsimile or by other electronic means. Typographical and other minor errors or defects in any such signature shall not affect the validity or enforceability of any Note that has been duly authenticated and delivered by the Trustee. In authenticating such Notes and accepting the additional responsibilities under this Indenture in relation to such Notes, the Trustee shall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shall be fully protected in relying upon: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Board Resolution relating to such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executed supplemental indenture, if any, and the documentation required to be delivered pursuant to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Officer’s Certificate setting forth the form or forms and terms of the Notes of such series pursuant to </w:t>
      </w:r>
      <w:r>
        <w:rPr>
          <w:rFonts w:ascii="Times New Roman;Times;Serif" w:hAnsi="Times New Roman;Times;Serif"/>
          <w:b w:val="false"/>
          <w:i w:val="false"/>
          <w:caps w:val="false"/>
          <w:smallCaps w:val="false"/>
          <w:sz w:val="20"/>
          <w:u w:val="single"/>
        </w:rPr>
        <w:t>Section 2.01(1)(v)</w:t>
      </w:r>
      <w:r>
        <w:rPr>
          <w:rFonts w:ascii="Times New Roman;Times;Serif" w:hAnsi="Times New Roman;Times;Serif"/>
          <w:b w:val="false"/>
          <w:i w:val="false"/>
          <w:caps w:val="false"/>
          <w:smallCaps w:val="false"/>
          <w:sz w:val="20"/>
        </w:rPr>
        <w:t xml:space="preserve">, and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 Opinion of Counsel,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Notes bearing the manual or electronic signatures of individuals who were at any time on or after the date hereof the proper officers of the Issuer shall bind the Issuer, notwithstanding that such individuals or any of them have ceased to hold such offices prior to the authentication and delivery of such Notes or did not hold such offices at the date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Notes shall be in fully registered form, without coupons, in minimum denominations of $2,000 and integral multiples of $1,000 in excess thereof, unless otherwise specified in the Board Resolution, Officer’s Certificate or supplemental indenture relating to a particular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2.03.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certificates representing Notes of a series are ready for delivery, the Issuer may prepare and the Trustee, upon receipt of an Authentication Order, shall authenticate and deliver temporary Notes of such series.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a series in exchange for temporary Notes of such series. Holders of temporary Notes shall be entitled to all of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2.04.                    </w:t>
      </w:r>
      <w:r>
        <w:rPr>
          <w:rFonts w:ascii="Times New Roman;Times;Serif" w:hAnsi="Times New Roman;Times;Serif"/>
          <w:b w:val="false"/>
          <w:i w:val="false"/>
          <w:caps w:val="false"/>
          <w:smallCaps w:val="false"/>
          <w:sz w:val="20"/>
          <w:u w:val="single"/>
        </w:rPr>
        <w:t>Registration,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Securities Register</w:t>
      </w:r>
      <w:r>
        <w:rPr>
          <w:rFonts w:ascii="Times New Roman;Times;Serif" w:hAnsi="Times New Roman;Times;Serif"/>
          <w:b w:val="false"/>
          <w:i w:val="false"/>
          <w:caps w:val="false"/>
          <w:smallCaps w:val="false"/>
          <w:sz w:val="20"/>
        </w:rPr>
        <w:t>. The Trustee shall keep a register of the Notes (the “</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which shall provide for the registration of such Notes, and for transfers of such Notes in accordance with information, if any, to be provided to the Trustee by the Issuer, subject to such reasonable regulations as the Trustee may prescribe. Such register shall be in written form or in any other form capable of being converted into written form within a reasonable time. At all reasonable times the information contained in such register or registers shall be available for inspection at the Corporate Trust Office of the Trustee or at such other office or agency to be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due presentation for registration of transfer of any Note at the Corporate Trust Office of the Trustee or at any other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Issuer shall execute, and the Trustee shall authenticate and deliver, in the name of the designated transferee or transferees, one or more new Notes of authorized denominations, of a like aggregate principal amount, series and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 of Global Notes</w:t>
      </w:r>
      <w:r>
        <w:rPr>
          <w:rFonts w:ascii="Times New Roman;Times;Serif" w:hAnsi="Times New Roman;Times;Serif"/>
          <w:b w:val="false"/>
          <w:i w:val="false"/>
          <w:caps w:val="false"/>
          <w:smallCaps w:val="false"/>
          <w:sz w:val="20"/>
        </w:rPr>
        <w:t xml:space="preserve">. Any other provision of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notwithstanding, unless and until it is exchanged in whole or in part for Definitive Notes, a Global Note representing all or a portion of the Notes of a series may not be transferred except as a whole by the Depositary to a nominee of such Depositary, or by a nominee of such Depositary to such Depositary or another nominee of such Depositary, or by such Depositary or any such nominee to a successor Depositary or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act as Depositary with respect to the Global Notes of each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Global Note shall bear the legend specified in clause (i) of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xml:space="preserve"> on the face thereof, and any additional legend or legends as may be specified in a Board Resolution, Officer’s Certificate or supplemental indenture relating to a particular series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provisions of this Indenture or the Notes, a Global Note may be exchanged for Notes of the same series registered in the names of any Person designated by the Depositary in the event that (a) the Depositary has notified the Issuer that it is unwilling or unable to continue as Depositary for such Global Note or such Depositary has ceased to be a “clearing agency” registered under the Exchange Act, at a time when the Depositary is required to be so registered in order to act as depositary, and the Issuer has not appointed a successor Depositary within 90 days of receiving such notice or of becoming aware of such cessation, (b) an Event of Default has occurred and is continuing with respect to the applicable Notes, or (c) the Issuer, in its sole discretion, determines that the applicable Notes issued in the form of Global Notes shall no longer be represented by such Global Notes as evidenced by a Company Order delivered to the Trustee. Any Global Note exchanged pursuant to clause (a) or (c) above shall be so exchanged in whole and not in part and any Global Note exchanged pursuant to clause (b) above may be exchanged in whole or from time to time in part as directed by the Depositary. Any Note issued in exchange for a Global Note of the same series or any portion thereof shall be a Global Note provided that any such Note so issued that is registered in the name of a Person other than the Depositary or a nominee thereof shall not be a Global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at any time the Depositary for the Notes of any series notifies the Issuer that it is unwilling or unable to continue as Depositary for such Notes or if the Depositary has ceased to be a “clearing agency” registered under the Exchange Act at a time when the Depositary is required to be so registered in order to act as depositary, the Issuer may within 90 days of receiving such notice or of becoming aware of such cessation appoint a successor Depositary with respect to such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in accordance with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Notes of any series in global form will no longer be represented by Global Notes, the Issuer will execute, and the Trustee, upon receipt of an Authentication Order, will authenticate and make available for delivery, Definitive Notes of such series in an aggregate principal amount equal to the principal amount of the Global Notes of such series, in exchange for such Global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Definitive Note is issued in exchange for any portion of a Global Note after the close of business at the office or agency where such exchange occurs on any Record Date for the payment of interest and before the opening of business at such office or agency on the next succeeding Interest Payment Date, interest shall not be payable on such Interest Payment Date in respect of such Definitive Notes, but shall be payable on such Interest Payment Date only to the Person to whom interest in respect of such portion of such Global Note is payable in accordance with the provisions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Definitive Notes issued in exchange for a Global Note pursuant to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xml:space="preserve"> shall be registered in such names and in such authorized denominations as the Depositary, pursuant to instructions from its direct or indirect participants or otherwise, shall instruct the Trustee. Upon execution and authentication, the Trustee shall deliver such Definitive Notes to the Persons in whose names such Notes are so registered. To permit registrations of transfers and exchanges, the Issuer shall execute and the Trustee (or an Authenticating Agent appointed pursuant to this Indenture) shall authenticate and make available for delivery Definitive Notes at the Registrar’s request, and upon direction of the Issuer. No service charge shall be made for any registration of transfer or exchange, but the Issuer or the Trustee may require payment of a sum sufficient to cover any transfer tax or other governmental charge payable in connection with any registration of transfer or exchange.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When Definitive Notes are presented to the Trustee with a request to register the transfer of such Definitive Notes or to exchange such Definitive Notes for an equal principal amount of Definitive Notes of other authorized denominations of the same series, the Trustee shall register the transfer or make the exchange as requested if its requirements for such transaction are met provided, however, that the Definitive Notes surrendered for transfer or exchange shall be duly endorsed or accompanied by a written instrument of transfer in form reasonably satisfactory to the Issuer and the Trustee, duly executed by the Holder thereof or his attorney duly authorized in writing.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such time as all interests in Global Notes of any series have either been exchanged for Definitive Notes of such series or cancelled, such Global Notes shall be cancelled by the Trustee in accordance with the standing procedures and instructions existing between the Depositary and the Custodian. At any time prior to such cancellation, if any interest in a Global Note of any series is exchanged for Definitive Notes of such series or cancelled, the principal amount of such Global Note shall, in accordance with the standing procedures and instructions existing between the Depositary and the Custodian, be reduced and an endorsement shall be made on such Global Note, by the Trustee or the Custodian, at the direction of the Trustee, to reflect such reduction.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anything in this Indenture to the contrary, (i) all Notes issued upon any registration of transfer or exchange of Notes shall be the valid obligations of the Issuer, evidencing the same debt, and entitled to the same benefits under this Indenture, as the Notes surrendered upon such registration of transfer or exchange, (ii) all transfers and exchanges of the Notes may be made only in accordance with the procedures set forth in this Indenture, and (iii) the transfer and exchange of a beneficial interest in a Global Note may only be effected through the Depositary in accordance with the procedures promulgated by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not be required to (i) issue, register the transfer of, or exchange any Note during a period beginning at the opening of business 15 days before the day of the mailing of a notice of redemption of Notes under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xml:space="preserve"> and ending at the close of business on the date of such mailing or (ii) register the transfer of or exchange any Note so selected for redemption in whole or in part, except, in the case of any Note to be redeemed in part, the portion thereof not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2.05.                    </w:t>
      </w:r>
      <w:r>
        <w:rPr>
          <w:rFonts w:ascii="Times New Roman;Times;Serif" w:hAnsi="Times New Roman;Times;Serif"/>
          <w:b w:val="false"/>
          <w:i w:val="false"/>
          <w:caps w:val="false"/>
          <w:smallCaps w:val="false"/>
          <w:sz w:val="20"/>
          <w:u w:val="single"/>
        </w:rPr>
        <w:t>Mutilated, Destroyed, Lost and Stolen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(i) any mutilated Note is surrendered to the Trustee, or the Issuer and the Trustee receive evidence to their satisfaction of the destruction, loss or theft of any Note and (ii) there is delivered to the Issuer and the Trustee such security or indemnity as may be required by them to save each of them harmless from any loss, liability or expense that they may suffer if such Note is replaced and subsequently presented or otherwise claimed for payment, then, in the absence of notice to the Issuer or the Trustee that such Note has been acquired by a protected purchaser, the Issuer may in its discretion execute and, upon request of the Issuer, the Trustee shall authenticate and deliver, in exchange for or in lieu of any such mutilated, destroyed, lost or stolen Note, a new Note of like tenor, series, Maturity Date, and principal amount, bearing a number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case any such mutilated, destroyed, lost or stolen Note has become or is about to become due and payable, the Issuer in its discretion may, instead of issuing a new Note, pay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Upon the issuance of any new Note under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the Issuer may require the payment by the Holder thereof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Every new Note issued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any mutilated, destroyed, lost or stolen Note shall constitute an original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mutilated, destroyed, lost or stolen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2.06.                    </w:t>
      </w:r>
      <w:r>
        <w:rPr>
          <w:rFonts w:ascii="Times New Roman;Times;Serif" w:hAnsi="Times New Roman;Times;Serif"/>
          <w:b w:val="false"/>
          <w:i w:val="false"/>
          <w:caps w:val="false"/>
          <w:smallCaps w:val="false"/>
          <w:sz w:val="20"/>
          <w:u w:val="single"/>
        </w:rPr>
        <w:t>Payment of Interest;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on any Note which is payable and is punctually paid or duly provided for on any Interest Payment Date shall, if so provided in such Note, be paid to the Person in whose name that Note (or one or more Predecessor Notes) is registered at the close of business on the applicable Record Date, notwithstanding any transfer or exchange of such Note subsequent to such Record Date and prior to such Interest Payment Date (unless, if so provided in such Note, such Interest Payment Date is also the Maturity Date, in which case such interest shall be payable to the Person to whom principal is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interest on any Note which is payable, but is not punctually paid or duly provided for, on any Interest Payment Date (herein called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shall forthwith cease to be payable to the registered Holder on the applicable Record Date by virtue of his having been such Holder; and, except as hereinafter provided, such Defaulted Interest may be paid by the Issuer, at its election in each case, as provided in clause (i) or (ii)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may elect to make payment of any Defaulted Interest to the Persons in whose names any such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such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Issuer shall fix a Special Record Date for the payment of such Defaulted Interest which shall be not more than 15 nor less than 10 days prior to the date of the proposed payment and not less than 10 days after the receipt by the Trustee of the notice of the proposed payment. The Issuer shall promptly notify the Trustee and, upon request (given at least three (3) Business Days before such notice is to be sent (or such shorter period as shall be acceptable to the Trustee)), the Trustee shall, in the name and at the expense of the Issuer, cause notice of the proposed payment of such Defaulted Interest and the Special Record Date therefor to be mailed, first-class postage prepaid, to the Holder of each such Note at his address as it appears in the Security Register (or given by electronic delivery or pursuant to the applicable procedures of the Depositary), not less than 10 days prior to such Special Record Date. Notice of the proposed payment of such Defaulted Interest and the Special Record Date therefor having been mailed or given as aforesaid, such Defaulted Interest shall be paid to the Persons in whose names such Notes (or their respective Predecessor Notes) are registered on such Special Record Date and shall no longer be payable pursuant to the following clause (ii).</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may make payment of any Defaulted Interest in any other lawful manner if, after notice given by the Issuer to the Trustee of the proposed payment pursuant to this clause (ii), such manner of payment shall be deemed practicable by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installment of interest on any Note called for redemption pursuant to any optional redemption provision under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xml:space="preserve"> is due and payable on or prior to the Redemption Date and is not paid or duly provided for on or prior to the Redemption Date in accordance with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such interest shall be payable as part of the Redemption Price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Interest on Notes may be paid at the office or agency maintained by the Issuer in the United States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at the Issuer’s option, through DTC, Clearstream Banking, société anonyme, or Euroclear System to the Person entitled thereto or by such other means as may be specified in the form of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Subject to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Prior to due presentment of a Note for registration of transfer, the Issuer, the Trustee, and any agent of the Issuer or the Trustee may treat the Person in whose name any Note is registered on the Security Register as the owner of such Note for the purpose of receiving payment of principal, premium, if any, and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interest, and for all other purposes whatsoever, whether or not such Note is overdue and neither the Issuer, the Trustee, nor any agent of the Issuer or the Trustee shall be affected by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None of the Issuer, the Trustee, any Authenticating Agent, any Paying Agent, the Registrar or any Co-Registrar will have any responsibility or liability for any aspect of the records relating to or payments made on account of beneficial ownership interests of a Global Note or for maintaining, supervising or reviewing any records relating to such beneficial ownership interests and each of them may act or refrain from acting without liability on any information relating to such records provided by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2.08.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All Notes surrendered for payment, redemption, registration of transfer or exchange shall, if surrendered to any Person other than the Trustee, be delivered to the Trustee and, if not already cancelled, shall be promptly cancelled by it. The Issuer may at any time deliver to the Trustee for cancellation any Notes previously authenticated and delivered hereunder which the Issuer may have acquired in any manner whatsoever, and all Notes so delivered shall be promptly cancelled by the Trustee. Acquisition of such Notes by the Issuer shall not operate as a redemption or satisfaction of the indebtedness represented by such Notes unless and until the same are delivered to the Trustee for cancellation. No Note shall be authenticated in lieu of or in exchange for any Notes cancelled as provided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except as expressly permitted by this Indenture. The Trustee shall dispose of all cancelled Notes in accordance with its customary procedures and, upon written request, deliver a certificate of such disposition to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2.09.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Interest on the Notes shall be calculated on the basis of a 360-day year of twelve 30-day months, unless otherwise specified in the Officer’s Certificate or supplemental indenture relating to a particular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2.10.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The Issuer in issuing the Notes may use “CUSIP” and “ISIN” numbers (if then generally in use), and, if so, the Trustee shall use the CUSIP or ISIN numbers, as the case may be, in notices of redemption as a convenience to Holders; provided that any such notice may state that no representation is made as to the correctness or accuracy of the CUSIP or ISIN number, as the case may be, either as printed on the Notes or as contained in any notice of a redemption and that reliance may be placed only on the other identification numbers printed on the Notes. The Issuer will promptly notify the Trustee in writing of any change in the CUSIP or ISIN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DISCHARGE OF INDENTURE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3.01.                    </w:t>
      </w:r>
      <w:r>
        <w:rPr>
          <w:rFonts w:ascii="Times New Roman;Times;Serif" w:hAnsi="Times New Roman;Times;Serif"/>
          <w:b w:val="false"/>
          <w:i w:val="false"/>
          <w:caps w:val="false"/>
          <w:smallCaps w:val="false"/>
          <w:sz w:val="20"/>
          <w:u w:val="single"/>
        </w:rPr>
        <w:t>Discharge of Indenture</w:t>
      </w:r>
      <w:r>
        <w:rPr>
          <w:rFonts w:ascii="Times New Roman;Times;Serif" w:hAnsi="Times New Roman;Times;Serif"/>
          <w:b w:val="false"/>
          <w:i w:val="false"/>
          <w:caps w:val="false"/>
          <w:smallCaps w:val="false"/>
          <w:sz w:val="20"/>
        </w:rPr>
        <w:t>. This Indenture will be Discharged with respect to the Notes of one or more series and will cease to be of further effect as to all such Notes (except as to any surviving rights of transfer or exchange of such Notes expressly provided for herein), and the Trustee, on demand of and at the expense of the Issuer, shall execute such instruments reasonably requested by the Issuer acknowledging the Discharge of this Indenture with respect to the Notes of such series,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Notes of such series theretofore authenticated and delivered (except (a) mutilated, lost, stolen or destroyed Notes which have been replaced or paid,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(b) Notes of such series for whose payment money has theretofore been deposited in trust or segregated and held in trust by the Issuer and thereafter repaid to the Issuer or discharged from such trust, as provided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have been delivered by the Issuer to the Trustee for cancellation or have been cancelled;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Notes of such series not theretofore delivered to the Trustee cancelled or for cancellation: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(whether by the sending of a notice of redemption or otherwise),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in accordance with their Maturity Date, become due and payable within one year,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to be called for redemption within one year under arrangements reasonably satisfactory to the Trustee for the giving of notice of redemption by the Trustee in the name, and at the expense, of the Issuer, and, in any of the cases described in (a) or (b) above or in this clause (c), the Issuer has irrevocably deposited or caused to be deposited with the Trustee, as trust funds in trust for the benefit of the Holders of such Notes of such series for that purpose, U.S. dollars or non-callable U.S. Government Obligations or a combination thereof in such amounts sufficient to pay and discharge the entire indebtedness on the Notes of such series not theretofore delivered to the Trustee cancelled or for cancellation, for principal of and interest and premium, if any, on the Notes of such series to the date of such deposit (in the case of Notes of such series that have become due and payable), or to the Maturity Date or the Redemption Date, as the case may be;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by it with respect to the Notes of such series under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for </w:t>
      </w:r>
      <w:r>
        <w:rPr>
          <w:rFonts w:ascii="Times New Roman;Times;Serif" w:hAnsi="Times New Roman;Times;Serif"/>
          <w:b w:val="false"/>
          <w:i w:val="false"/>
          <w:caps w:val="false"/>
          <w:smallCaps w:val="false"/>
          <w:sz w:val="20"/>
          <w:u w:val="single"/>
        </w:rPr>
        <w:t>Section 3.01(1)(i)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3.01(1)(ii)</w:t>
      </w:r>
      <w:r>
        <w:rPr>
          <w:rFonts w:ascii="Times New Roman;Times;Serif" w:hAnsi="Times New Roman;Times;Serif"/>
          <w:b w:val="false"/>
          <w:i w:val="false"/>
          <w:caps w:val="false"/>
          <w:smallCaps w:val="false"/>
          <w:sz w:val="20"/>
        </w:rPr>
        <w:t xml:space="preserve"> in which the Notes of a series have become due and payable at their Maturity Date, the Issuer has delivered to the Trustee an Officer’s Certificate and an Opinion of Counsel each stating that all conditions precedent to the Discharge of this Indenture with respect to the Notes of such series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Discharge of this Indenture with respect to the Notes of such series, the obligations of the Issuer under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and the obligations of the Issuer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and to any Authenticating Agent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shall survive, and the obligations of the Trustee under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3.02.                    </w:t>
      </w:r>
      <w:r>
        <w:rPr>
          <w:rFonts w:ascii="Times New Roman;Times;Serif" w:hAnsi="Times New Roman;Times;Serif"/>
          <w:b w:val="false"/>
          <w:i w:val="false"/>
          <w:caps w:val="false"/>
          <w:smallCaps w:val="false"/>
          <w:sz w:val="20"/>
          <w:u w:val="single"/>
        </w:rPr>
        <w:t>Defeasance and Discharge of Covenants upon Deposit of Moneys</w:t>
      </w:r>
      <w:r>
        <w:rPr>
          <w:rFonts w:ascii="Times New Roman;Times;Serif" w:hAnsi="Times New Roman;Times;Serif"/>
          <w:b w:val="false"/>
          <w:i w:val="false"/>
          <w:caps w:val="false"/>
          <w:smallCaps w:val="false"/>
          <w:sz w:val="20"/>
        </w:rPr>
        <w:t>. At the Issuer’s option, either (a) the Issuer shall be deemed to have been Discharged (as defined below) from its obligations with respect to the Notes of any series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and/or (b) the Issuer shall cease to be under any obligation to comply with any term, provision or condition set forth in </w:t>
      </w:r>
      <w:r>
        <w:rPr>
          <w:rFonts w:ascii="Times New Roman;Times;Serif" w:hAnsi="Times New Roman;Times;Serif"/>
          <w:b w:val="false"/>
          <w:i w:val="false"/>
          <w:caps w:val="false"/>
          <w:smallCaps w:val="false"/>
          <w:sz w:val="20"/>
          <w:u w:val="single"/>
        </w:rPr>
        <w:t>Sections 4.01(3)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9.07</w:t>
      </w:r>
      <w:r>
        <w:rPr>
          <w:rFonts w:ascii="Times New Roman;Times;Serif" w:hAnsi="Times New Roman;Times;Serif"/>
          <w:b w:val="false"/>
          <w:i w:val="false"/>
          <w:caps w:val="false"/>
          <w:smallCaps w:val="false"/>
          <w:sz w:val="20"/>
        </w:rPr>
        <w:t xml:space="preserve"> (and any other Sections, covenants or Events of Default applicable to such Notes that are determined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to be subject to this provision) with respect to the Notes of such series at any time after the applicable conditions set forth below have been satisfied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have deposited or caused to be deposited irrevocably with the Trustee, as trust funds, in trust, specifically pledged as security for, and dedicated solely to, the benefit of the Holders of the Notes of such series, an amount of money, in cash in U.S. dollars sufficient, or in non-callable U.S. Government Obligations, the principal of and interest on which, when due, will be sufficient, or a combination thereof, sufficient, in the opinion of, or based on a written report or certificate of, a nationally recognized firm of independent public accountants, investment bank or appraisal firm, to pay and discharge the entire indebtedness on the Notes of such series with respect to principal, premium, if any, and accrued and unpaid interest to the date of such deposit (in the case of Notes of any series that have become due and payable), or to the Maturity Date or Redemption Date,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Event of Default, or event which with notice or lapse of time would become an Event of Default, with respect to the Notes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Issuer shall have delivered to the Trustee an Officer’s Certificate and an Opinion of Counsel each stating that all conditions precedent to the Legal Defeasance or Covenant Defeasance, as applicable,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have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Opinion of Counsel relating to a Legal Defeasance, stating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received from the Internal Revenue Service a ruling,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hereof there has been a change in the applicable Federal income tax law, to the effect, in either case, that and based thereon such Opinion of Counsel shall confirm that the holders of the Notes will not recognize income, gain or loss for Federal income tax purposes as a result of such defeasance and will be subject to Federal income tax on the same amounts, in the same manner and at the same time as would have been the case if such defeasance has not occurred, which Opinion of Counsel (in the case of a Legal Defeasance) must be based upon a ruling of the Internal Revenue Service to the same effect or a change in applicable Federal income tax law or related treasury regulations after the date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 Opinion of Counsel relating to a Covenant Defeasance, stating that the deposit and defeasance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will not cause the Holders of the Notes of such series to recognize income, gain or loss for Federal income tax purposes as a result of the Issuer’s exercise of its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such Holders will be subject to Federal income tax on the same amount and in the same manner and at the same times as would have been the case if such option had not been exercised.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 connection with the exercise by the Issuer of any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any series of Notes is to be redeemed, either notice of such redemption shall have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shall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exercises its option under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payment of the Notes may not be accelerated because of an Event of Default with respect thereto. If the Issuer exercises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payment of the Notes may not be accelerated because of an Event of Default specified in any of </w:t>
      </w:r>
      <w:r>
        <w:rPr>
          <w:rFonts w:ascii="Times New Roman;Times;Serif" w:hAnsi="Times New Roman;Times;Serif"/>
          <w:b w:val="false"/>
          <w:i w:val="false"/>
          <w:caps w:val="false"/>
          <w:smallCaps w:val="false"/>
          <w:sz w:val="20"/>
          <w:u w:val="single"/>
        </w:rPr>
        <w:t>Section 4.01(3)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or with respect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exercise by the Issuer of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the obligation of any successor entity to assume the obligations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shall not be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means, as to any series of Notes, that the Issuer shall be deemed to have paid and discharged the entire indebtedness represented by, and obligations under, the Notes of such series and to have satisfied all the obligations under this Indenture relating to such series of Notes (and the Trustee, at the expense of the Issuer, shall execute such instruments reasonably requested by the Issuer acknowledging the same), except (A) the rights of Holders of Notes of such series to receive, from the trust fund described in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shd w:fill="D3D3D3" w:val="clear"/>
        </w:rPr>
        <w:t>3.02</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as applicable, above, payment of the principal of, premium, if any, and the interest, if any, on such series of Notes when such payments are due; (B) in the case of a Discharge pursuant to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the Issuer’s obligations with respect to such Notes under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w:t>
      </w:r>
      <w:r>
        <w:rPr>
          <w:rFonts w:ascii="Times New Roman;Times;Serif" w:hAnsi="Times New Roman;Times;Serif"/>
          <w:b w:val="false"/>
          <w:i w:val="false"/>
          <w:caps w:val="false"/>
          <w:smallCaps w:val="false"/>
          <w:sz w:val="20"/>
        </w:rPr>
        <w:t xml:space="preserve"> and its obligations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(C) the rights, powers, trusts, duties and immunities of the Trustee hereunder; and (D) as otherwise set forth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3.03.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All money and U.S. Government Obligations deposited with the Trustee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all proceeds of such U.S. Government Obligations and the interest thereon shall be held in trust and applied by it, in accordance with the provisions of this Indenture, to the payment, either directly or through any Paying Agent (including the Issuer acting as its own Paying Agent), as the Trustee may determine, to the Persons entitled thereto, of the principal, premium, if any, and interest, for whose payment such money and U.S. Government Obligations have been deposited with the Trustee; but such money and U.S. Government Obligations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3.04.                    </w:t>
      </w:r>
      <w:r>
        <w:rPr>
          <w:rFonts w:ascii="Times New Roman;Times;Serif" w:hAnsi="Times New Roman;Times;Serif"/>
          <w:b w:val="false"/>
          <w:i w:val="false"/>
          <w:caps w:val="false"/>
          <w:smallCaps w:val="false"/>
          <w:sz w:val="20"/>
          <w:u w:val="single"/>
        </w:rPr>
        <w:t>Paying Agent to Repay Moneys Held</w:t>
      </w:r>
      <w:r>
        <w:rPr>
          <w:rFonts w:ascii="Times New Roman;Times;Serif" w:hAnsi="Times New Roman;Times;Serif"/>
          <w:b w:val="false"/>
          <w:i w:val="false"/>
          <w:caps w:val="false"/>
          <w:smallCaps w:val="false"/>
          <w:sz w:val="20"/>
        </w:rPr>
        <w:t>. Upon the Discharge of this Indenture or a Defeasance, in each case, with respect to the Notes of a series, all moneys then held by any Paying Agent under the provisions of this Indenture with respect to such Notes (other than the Trustee) shall, upon demand of the Issuer, be repaid to it or paid to the Trustee, and thereupon such Paying Agent shall be released from all further liability with respect to such moneys.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3.05.                    </w:t>
      </w:r>
      <w:r>
        <w:rPr>
          <w:rFonts w:ascii="Times New Roman;Times;Serif" w:hAnsi="Times New Roman;Times;Serif"/>
          <w:b w:val="false"/>
          <w:i w:val="false"/>
          <w:caps w:val="false"/>
          <w:smallCaps w:val="false"/>
          <w:sz w:val="20"/>
          <w:u w:val="single"/>
        </w:rPr>
        <w:t>Return of Unclaimed Amounts</w:t>
      </w:r>
      <w:r>
        <w:rPr>
          <w:rFonts w:ascii="Times New Roman;Times;Serif" w:hAnsi="Times New Roman;Times;Serif"/>
          <w:b w:val="false"/>
          <w:i w:val="false"/>
          <w:caps w:val="false"/>
          <w:smallCaps w:val="false"/>
          <w:sz w:val="20"/>
        </w:rPr>
        <w:t>. Subject to applicable abandoned property law, any amounts deposited with or paid to the Trustee or any Paying Agent for payment of the principal of, premium, if any, or interest on any series of Notes or then held by the Issuer, in trust for the payment of the principal of, premium, if any, or interest on any series of Notes and not applied but remaining unclaimed by the Holders of such series of Notes for two years after the date upon which the principal of, premium, if any, or interest on such series of Notes, as the case may be, shall have become due and payable, shall be repaid to the Issuer by the Trustee on demand or (if then held by the Issuer) shall be discharged from such trust; and the Holder of any Notes of such series shall thereafter, as an unsecured general creditor, look only to the Issuer for any payment which such Holder may be entitled to collect (until such time as such unclaimed amounts shall escheat, if at all, to any applicable jurisdiction) and all liability of the Trustee or such Paying Agent with respect to such trust money, and all liability of the Issuer as trustee thereof, shall thereupon cease. Notwithstanding the foregoing, the Trustee or Paying Agent, before being required to make any such repayment, may at the expense of the Issuer cause to be published once a week for two successive weeks (in each case on any day of the week) in a newspaper printed in the English language and customarily published at least once a day at least five days in each calendar week and of general circulation in the Borough of Manhattan, in the City and State of New York, a notice that said amounts have not been so applied and that after a date named therein any unclaimed balance of said amounts then remaining will be promptly returned to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any Paying Agent is unable to apply any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by reason of any legal proceeding or by reason of any order or judgment of any court or governmental authority enjoining, restraining or otherwise prohibiting such application, then the Issuer’s obligations under this Indenture and the Holders of Notes shall be revived and reinstated as though no deposit had occurred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until such time as the Trustee or such Paying Agent is permitted to apply all such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“Event of Default,” wherever used herein, means with respect to Notes of any series,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any principal of or premium, if any, on the Notes of such series when due (whether at maturity, upon optional redemption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failure to pay any interest on any Note of such series, when it becomes due and payable, and continuance of such default for a period of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default in the performance, or breach, of any covenant, warranty or agreement (other than as set forth in clause (1) or (2) above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of the Issuer under this Indenture in respect of the Notes of such series; provided that a default under this clause (3) is not an Event of Default until the Trustee or the holders of not less than 25% of the aggregate principal amount of the Notes of such series then outstanding deliver a notice to the Issuer that specifies the default, demands it to be remedied and states that such notice is a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and the Issuer does not cure such default within 60 days after receipt by the Issuer of such Notice of Default or such longer time as may be specified in such Notice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entry of an order for relief against the Issuer under the Bankruptcy Code by a court having jurisdiction in the premises or a decree or order by a court having jurisdiction in the premises adjudging the Issuer as bankrupt or insolvent under any other applicable Federal or state law, or the entry of a decree or order approving as properly filed a petition seeking reorganization, arrangement, adjustment or composition of or in respect of the Issuer under the Bankruptcy Code or any other applicable Federal or state law, or appointing a receiver, liquidator, assignee, trustee, sequestrator (or other similar official) of the Issuer or of any substantial part of their respective properties, or ordering the winding up or liquidation of their respective affairs, and the continuance of any such decree or order unstayed and in effect for a period of 90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consent by the Issuer to the institution of bankruptcy or insolvency proceedings against any of them, or the filing by the Issuer of a petition or answer or consent seeking reorganization or relief under the Bankruptcy Code or any other applicable Federal or state law, or the consent by the Issuer to the filing of any such petition or to the appointment of a receiver, liquidator, assignee, trustee, sequestrator (or other similar official) of the Issuer or of any substantial part of their respective properties, or the making by the Issuer of an assignment for the benefit of creditors, or the admission by the Issuer in writing of the Issuer’s inability to pay debts generally as they become due, or the taking of corporate action by the Issuer in furtherance of any such action;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a failure to make any payment at maturity, including any applicable grace period, on any Indebtedness of the Issuer (other than Indebtedness of the Issuer owing to any of its Subsidiaries) outstanding in an amount in excess of $400 million or its foreign currency equivalent at the time and continuance of this failure to pay or (b) a default on any indebtedness of the Issuer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this Indenture will be deemed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deliver to the Trustee, within 30 days after the occurrence thereof, written notice in the form of an Officer’s Certificate of any event that with the giving of notice or the lapse of time or both would become an Event of Default, its status and what action the Issuer is taking or proposes to take with respect thereto. Upon becoming aware of any default or Event of Default, the Issuer is required to deliver to the Trustee a statement specifying such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single series of Notes issued hereunder (and under or pursuant to any supplemental indenture or Board Resolution) necessarily constitutes an Event of Default with respect to any other series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any Event of Default (other than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with respect to the Notes of any series occurs and is continuing, then either the Trustee or the Holders of not less than 25% in aggregate principal amount of the Outstanding Notes of such series may declare the principal of all Outstanding Notes of such series, and the interest to the date of acceleration, if any, accrued thereon, to be immediately due and payable by notice in writing to the Issuer (and to the Trustee if given by Holders) specifying the event of default. If an Event of Default described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occurs, then the principal amount of all the Notes then outstanding and interest accrued thereon, if any, will become and be immediately due and payable without any declaration or other act on the part of the Trustee or the Holders of the Notes, to the fullest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At any time after such a declaration of acceleration has been made with respect to the Notes of any series and before a judgment or decree for payment of the money due has been obtained by the Trustee as hereinafter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provided, the Holders of a majority in aggregate principal amount of the Outstanding Notes of such series by written notice to the Issuer and the Trustee, may rescind and annul such declaration and waive such event of default and its consequences, except with respect to a default in respect of a covenant or provision of this Indenture which cannot be modified or amended without the consent of the Holder of each Outstanding Note affected thereby,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paid or deposited with the Trustee a sum sufficient to pay: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overdue installments of interest, if any, on such series of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of (and premium, if any, on) any such series of Notes which have become due otherwise than by such declaration of acceleration, and interest thereon at the rate prescribed therefor by the Notes of such series, to the extent that payment of such interest is lawful,</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overdue installments of interest at the rate prescribed therefor by the Notes of such series to the extent that payment of such interest is lawful,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reasonable compensation, expenses, disbursements and advances of the Trustee and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Events of Default, other than the non-payment of the principal, premium, if any, or interest of the Notes of such series which have become due solely by such acceleration, have been cured or waived as provided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4.03.                    </w:t>
      </w:r>
      <w:r>
        <w:rPr>
          <w:rFonts w:ascii="Times New Roman;Times;Serif" w:hAnsi="Times New Roman;Times;Serif"/>
          <w:b w:val="false"/>
          <w:i w:val="false"/>
          <w:caps w:val="false"/>
          <w:smallCaps w:val="false"/>
          <w:sz w:val="20"/>
          <w:u w:val="single"/>
        </w:rPr>
        <w:t>Collection of Indebtedness and Suits for Enforcement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covenants that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is made in the payment of any installment of interest on any Note of any series when such interest becomes due and payable,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is made in the payment of (or premium, if any, on) the principal of any Note of any series at the Maturity thereof,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such default continues for any period of grace provided in relation to such default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then, with respect to such series of Notes, the Issuer shall, upon demand of the Trustee, pay to it, for the benefit of the Holders of the Notes of such series, the whole amount then due and payable on all Notes of such series for principal (and premium, if any) and interest, together with interest (to the extent that payment of such interest shall be legally enforceable) upon the overdue principal (and premium, if any) and upon overdue installments of interest at the rate of interest prescribed therefor by the Notes of such series; and, in addition thereto, such further amount as shall be sufficient to cover the costs and expenses of collection, including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Issuer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Issuer or any other obligor upon such Notes and collect the money adjudged or decreed to be payable in the manner provided by law out of the property of the Issuer or any other obligor upon such Notes,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 Event of Default occurs and is continuing with respect to any series of Notes, the Trustee may in its discretion proceed to protect and enforce its rights and the rights of the Holders of such series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case of the pendency of any receivership, insolvency, liquidation, bankruptcy, reorganization, arrangement, adjustment, composition, or other judicial proceeding relative to the Issuer or any obligor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or interest) shall be entitled and empowered, by intervention in such proceedings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principal, premium, if any, and interest owing and unpaid in respect of the Notes,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 of the Holders allowed in such judicial proceedings,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collect and receive any moneys or other property payable or deliverable on any such claims and to distribute the same; and any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 and counsel, and any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4.05.                    </w:t>
      </w:r>
      <w:r>
        <w:rPr>
          <w:rFonts w:ascii="Times New Roman;Times;Serif" w:hAnsi="Times New Roman;Times;Serif"/>
          <w:b w:val="false"/>
          <w:i w:val="false"/>
          <w:caps w:val="false"/>
          <w:smallCaps w:val="false"/>
          <w:sz w:val="20"/>
          <w:u w:val="single"/>
        </w:rPr>
        <w:t>Trustee May Enforce Claims Without Possession of Notes</w:t>
      </w:r>
      <w:r>
        <w:rPr>
          <w:rFonts w:ascii="Times New Roman;Times;Serif" w:hAnsi="Times New Roman;Times;Serif"/>
          <w:b w:val="false"/>
          <w:i w:val="false"/>
          <w:caps w:val="false"/>
          <w:smallCaps w:val="false"/>
          <w:sz w:val="20"/>
        </w:rPr>
        <w:t>. All rights of action and claims under this Indenture or the Notes of any series may be prosecuted and enforced by the Trustee without the possession of any of the Notes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and its agents and counsel, be for the ratable benefit of the Holders of the Notes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 xml:space="preserve">. Any money or property collected by the Trustee from the Issuer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applied in the following order, at the date or dates fixed by the Trustee and, in case of the distribution of such money on account of principal, premium, if any, or interest, if any, upon presentation of the Notes of any series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payment of all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such series of Notes for principal, premium, if any, and interest, in respect of which or for the benefit of which such money has been collected, ratably, without preference or priority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Note of any series may institute any action under this Indenture, unless and until: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given the Trustee written notice of a continuing Event of Default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at least 25% in aggregate principal amount of the Outstanding Notes of such series have made a written request to the Trustee to institute proceedings in respect of such Event of Default in its own name as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has or have offered the Trustee, and if requested, provided indemnity or security reasonably satisfactory to the Trustee against the costs, expenses and liabilities to be incurred in compliance with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failed to institute any such proceeding for 60 days after its receipt of such notice, request and offer of indemnity;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inconsistent direction has been given to the Trustee during such 60-day period by the Holders of a majority in aggregate principal amount of the Outstanding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Holders of Notes of any series shall have any right in any manner whatever by virtue of, or by availing of, any provision of this Indenture to affect, disturb or prejudice the rights of any other Holders of Notes of such series, or to obtain or to seek to obtain priority or preference over any other such Holders or to enforce any right under this Indenture, except in the manner herein provided and for the equal and proportionate benefit of all the Holders of all Notes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4.08.                    </w:t>
      </w:r>
      <w:r>
        <w:rPr>
          <w:rFonts w:ascii="Times New Roman;Times;Serif" w:hAnsi="Times New Roman;Times;Serif"/>
          <w:b w:val="false"/>
          <w:i w:val="false"/>
          <w:caps w:val="false"/>
          <w:smallCaps w:val="false"/>
          <w:sz w:val="20"/>
          <w:u w:val="single"/>
        </w:rPr>
        <w:t>Unconditional Right of Holders to Receive Payment of Principal, Premium (if any) and Interest</w:t>
      </w:r>
      <w:r>
        <w:rPr>
          <w:rFonts w:ascii="Times New Roman;Times;Serif" w:hAnsi="Times New Roman;Times;Serif"/>
          <w:b w:val="false"/>
          <w:i w:val="false"/>
          <w:caps w:val="false"/>
          <w:smallCaps w:val="false"/>
          <w:sz w:val="20"/>
        </w:rPr>
        <w:t>. Notwithstanding any other provision in this Indenture, the Holder of any Note shall have the right, which is absolute and unconditional, to receive payment of the principal, premium, if any, and (subject to Section 2.06) interest on such Note on or after the Maturity Date (or, in the case of redemption, on or after the Redemption Date) and to institute suit for the enforcement of any such payment on or after such respective date, and such right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then and in every such case the Issuer,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2.05(5)</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or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The Holders of not less than a majority in aggregate principal amount of the Outstanding Notes of any series shall have the right to direct the time, method, and place of conducting any proceeding for any remedy available to the Trustee or of exercising any trust or power conferred on the Trustee with respect to the Notes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is offered, and, if requested, provided indemnity or security satisfactory to the Trustee against any loss, liability or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take any other action deemed proper by the Trustee which is not inconsistent with such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taking any such action hereunder, the Trustee shall be entitled to indemnity or security satisfactory to the Trustee against all fees, losses, liabilities and expenses (including attorneys’ fees and expenses) incurred or to be incurred by taking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Holders of not less than a majority in aggregate principal amount of the Outstanding Notes of any series may, on behalf of the Holders of all Notes of such series, waive any past default hereunder with respect to the Notes of such series, except a default not theretofore 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principal, premium, if any, or interest on any Notes of such series,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respect of a covenant or provision in this Indenture which,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cannot be modified without the consent of the Holder of each Outstanding Note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shall not apply to any suit instituted by the Trustee, to any suit instituted by any Holder or group of Holders holding in the aggregate more than 10% in principal amount of the Outstanding Notes of any series to which the suit relates, or to any suit instituted by any Holder pursuant to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4.15.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The Issuer covenants (to the extent that it may lawfully do so) that it will not at any time insist upon, or plead, or in any manner whatsoever claim or take the benefit or advantage of, any stay or extension law (other than any bankruptcy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THE 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5.01.                    </w:t>
      </w:r>
      <w:r>
        <w:rPr>
          <w:rFonts w:ascii="Times New Roman;Times;Serif" w:hAnsi="Times New Roman;Times;Serif"/>
          <w:b w:val="false"/>
          <w:i w:val="false"/>
          <w:caps w:val="false"/>
          <w:smallCaps w:val="false"/>
          <w:sz w:val="20"/>
          <w:u w:val="single"/>
        </w:rPr>
        <w:t>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during the continuance of an Event of Default with respect to a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undertakes to perform such duties and only such duties with respect to such series of Notes as are specifically set forth in this Indenture, and no implied covenants or obligations with respect to such series of Notes shall be read into this Indenture against the Trustee;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negligence and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 Event of Default with respect to a series of Notes has occurred and is continuing, the Trustee shall exercise such of the rights and powers vested in it by this Indenture with respect to such series of Notes and any indenture supplemental hereto relating to such series of Notes, and use the same degree of care and skill in their exercise, as a prudent person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Subsection shall not be construed to limit the effect of </w:t>
      </w:r>
      <w:r>
        <w:rPr>
          <w:rFonts w:ascii="Times New Roman;Times;Serif" w:hAnsi="Times New Roman;Times;Serif"/>
          <w:b w:val="false"/>
          <w:i w:val="false"/>
          <w:caps w:val="false"/>
          <w:smallCaps w:val="false"/>
          <w:sz w:val="20"/>
          <w:u w:val="single"/>
        </w:rPr>
        <w:t>Section 5.01(1)</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shall be proved that the Trustee was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or omitted to be taken by it in good faith in accordance with the direction of the Holders of not less than a majority in aggregate principal amount of the Outstanding Notes of any series relating to the time, method, and place of conducting any proceeding for any remedy available to the Trustee with respect to such series of Notes, or exercising any trust or power conferred upon the Trustee, under this Indenture with respect to such series of Notes;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provision of this Indenture shall require the Trustee to expend or risk its own funds or otherwise incur any financial loss, expense or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Whether or not therein expressly so provided, every provision of this Indenture relating to the conduct or affecting the liability of or affording protection to the Trustee shall be subject to the provisions of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5.02.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Within 90 days after the occurrence of any default hereunder with respect to any series of Notes for which a Responsible Officer has actual knowledge, the Trustee shall transmit by mail to all Holders of Notes of such series, as their names and addresses appear in the Security Register (or give electronically or pursuant to the procedures of the Depositary), notice of such default hereunder known to the Trustee, unless such default shall have been cured or waived; provided however, that, except in the case of a default in the payment of the principal of or interest or premium, if any, on any Note of such series, the Trustee shall be protected in withholding such notice if and so long as the Trustee determines in good faith that the withholding of such notice is in the interests of the Holders of the Outstanding Notes of such series, and provided further that, in the case of any default of the type specified in clause (3)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no such notice to Holders of Notes of such series shall be given until at least 60 days after the occurrence thereof. For the purpose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term “default” means any event which is, or after notice or lapse of time or both would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5.03.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rely and shall be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request or direction of the Issuer described herein shall be sufficiently evidenced by a Company Request or Company Order and any resolution of the Board of Directors may be sufficiently evidenced by a Board Resolution;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and willful misconduct on its part, rely upon an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may consult with counsel of its selection and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losses, costs, expenses and liabilities which might be incurred by it in compliance with such request or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permissive rights of the Trustee enumerated herein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shall not be responsible or liable for special, indirect or consequential loss or damage of any kind whatsoever (including, but not limited to, loss or profit irrespective of whether the Trustee has been advised of the likelihood of such loss or damage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Trustee shall not be required to give any note, bond, or surety in respect of the execution of the trusts and powers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Trustee shall not be responsible or liable for any failure or delay in the performance of its obligations under this Indenture arising out of or caused, directly or indirectly, by circumstances beyond its control, including, without limitation, strikes, work stoppages, accidents, or acts of God; earthquakes; fire; flood; terrorism; wars and other military disturbances, sabotage; epidemics; pandemics; riots; interruptions; loss or malfunction of utilities; computer (hardware or software) or communication services; accidents; labor disputes; acts of civil or military authorities and governmental action;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5.04.                    </w:t>
      </w:r>
      <w:r>
        <w:rPr>
          <w:rFonts w:ascii="Times New Roman;Times;Serif" w:hAnsi="Times New Roman;Times;Serif"/>
          <w:b w:val="false"/>
          <w:i w:val="false"/>
          <w:caps w:val="false"/>
          <w:smallCaps w:val="false"/>
          <w:sz w:val="20"/>
          <w:u w:val="single"/>
        </w:rPr>
        <w:t>Not Responsible for Recitals or Issuance of Notes</w:t>
      </w:r>
      <w:r>
        <w:rPr>
          <w:rFonts w:ascii="Times New Roman;Times;Serif" w:hAnsi="Times New Roman;Times;Serif"/>
          <w:b w:val="false"/>
          <w:i w:val="false"/>
          <w:caps w:val="false"/>
          <w:smallCaps w:val="false"/>
          <w:sz w:val="20"/>
        </w:rPr>
        <w:t xml:space="preserve">. The recitals contained herein and in the Notes, except the certificates of authentication, shall be taken as the statements of the Issuer, and the Trustee assumes no responsibility for their correctness. The Trustee makes no representations as to the validity or sufficiency of this Indenture or of the Notes. The Trustee shall not be accountable for the use or application by the Issuer of the Notes or the proceeds thereof. The Trustee shall not be charged with notice or knowledge of any Event of Default under clause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of the identity of a Significant Subsidiary of the Issuer unless either (i) a Responsible Officer of the Trustee assigned to and working in its Corporate Trust Office shall have actual knowledge thereof or (ii) notice thereof shall have been given to the Trustee in accordance with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from the Issuer or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5.05.                    </w:t>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xml:space="preserve">. The Trustee or any Paying Agent, Registrar, or other agent of the Issuer, in its individual or any other capacity, may become the owner or pledgee of Notes and, subject to </w:t>
      </w:r>
      <w:r>
        <w:rPr>
          <w:rFonts w:ascii="Times New Roman;Times;Serif" w:hAnsi="Times New Roman;Times;Serif"/>
          <w:b w:val="false"/>
          <w:i w:val="false"/>
          <w:caps w:val="false"/>
          <w:smallCaps w:val="false"/>
          <w:sz w:val="20"/>
          <w:u w:val="single"/>
        </w:rPr>
        <w:t>Sections 5.08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may otherwise deal with the Issuer with the same rights it would have if it were not Trustee, Paying Agent, Registrar, or such other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5.06.                    </w:t>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Money held by the Trustee in trust hereunder need not be segregated from other funds except to the extent required by law. Neither the Trustee nor any Paying Agent shall be under any liability for interest on any money received by it hereunder except as otherwise agreed with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5.07.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Issuer covenants and agrees: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the Trustee from time to time, and the Trustee shall be entitled to, compensation as may be agreed in writing for all services rendered by it hereunder (which compensation shall not be limited by any provision of law in regard to the compensation of a trustee of an express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and willful misconduct, as determined by a final, non-appealable order of a court of competent jurisdiction;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for, and to hold it harmless against, any loss, liability or expense incurred without negligence and willful misconduct on its part, arising out of or in connection with the acceptance or administration of this trust, including the reasonable costs and expenses of defending itself against any claim or liability in connection with the exercise or performance of any of its powers or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have a lien prior to the Notes upon all property and funds held by it hereunder for any amount owing it or any retiring Trustee pursuant to this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except with respect to funds held in trust for the benefit of the Holders of particular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incurs expenses or renders services in connection with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such expenses (including the reasonable charges and expenses of its counsel) and compensation for such services are intended to constitute expenses of administration under any applicable Federal or State bankruptcy, insolvency, reorganization, or other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survive the termination of this Indenture and the resignation or removal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5.08.                    </w:t>
      </w:r>
      <w:r>
        <w:rPr>
          <w:rFonts w:ascii="Times New Roman;Times;Serif" w:hAnsi="Times New Roman;Times;Serif"/>
          <w:b w:val="false"/>
          <w:i w:val="false"/>
          <w:caps w:val="false"/>
          <w:smallCaps w:val="false"/>
          <w:sz w:val="20"/>
          <w:u w:val="single"/>
        </w:rPr>
        <w:t>Disqualification; Conflicting Interests</w:t>
      </w:r>
      <w:r>
        <w:rPr>
          <w:rFonts w:ascii="Times New Roman;Times;Serif" w:hAnsi="Times New Roman;Times;Serif"/>
          <w:b w:val="false"/>
          <w:i w:val="false"/>
          <w:caps w:val="false"/>
          <w:smallCaps w:val="false"/>
          <w:sz w:val="20"/>
        </w:rPr>
        <w:t>. If the Trustee has or shall acquire any conflicting interest within the meaning of the Trust Indenture Act, it shall either eliminate such interest or resign as Trustee, to the extent and in the manner provided by, and subject to the provisions of, the Trust Indenture Act and this Indenture. The Trustee is subject to and shall comply with the provisions of Section 310(b) of the TIA during the period of time required by this Indenture. Nothing in this Indenture shall prevent the Trustee from filing with the SEC the application referred to in the penultimate paragraph of Section 310(b) of the TIA.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5.09.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xml:space="preserve">. There shall at all times be a Trustee hereunder that shall be a corporation organized and doing business under the laws of the United States of America or of any State or Territory thereof or of the District of Columbia, authorized under such laws to exercise corporate trust powers, having a combined capital and surplus of at least $100,000,000, and subject to supervision or examination by Federal or State authority. If such corporation publishes reports of condition at least annually, pursuant to law or to the requirements of the aforesaid supervising or examining authority, then for the purposes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the combined capital and surplus of such corporation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it shall resign immediately in the manner and with the effect hereinafter specified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5.10.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resignation or removal of the Trustee and no appointment of a successor Trustee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become effective until the acceptance of appointment by the successor Trustee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may resign at any time with respect to the Notes of one or more series by giving written notice thereof to the Issuer. If the instrument of acceptance by a successor Trustee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any court of competent jurisdiction for the appointment of a successor Trustee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be removed at any time with respect to the Notes of any series by Act of the Holders of 66 2/3% in aggregate principal amount of the Outstanding Notes of such series, delivered to the Trustee and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fail to comply with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after written request therefor by the Issuer or by any Holder who has been a bona fide Holder of a Note for at least six months,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cease to be eligible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and shall fail to resign after written request therefor by the Issuer or by any such Holder,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Issuer by a Board Resolution may remove the Trustee with respect to all Notes, or (B) subject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any Holder who has been a bona fide Holder of a Note for at least six months may, on behalf of himself and all others similarly situated, petition any court of competent jurisdiction for the removal of the Trustee with respect to all Notes and the appointment of a successor Trustee or Trustees.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the Trustee shall resign, be removed or become incapable of acting, or if a vacancy shall occur in the office of Trustee for any cause, with respect to the Notes of one or more series, the Issuer, by a Board Resolution, shall promptly appoint a successor Trustee or Trustees with respect to the Notes of that or those series (it being understood that any such successor Trustee may be appointed with respect to the Notes of one or more or all of such series and that at any time there shall be only one Trustee with respect to the Notes of any particular series) and shall comply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with respect to the Notes of any series shall be appointed by Act of the Holders of 66 2/3% in aggregate principal amount of the Outstanding Notes of such series delivered to the Issuer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become the successor Trustee with respect to the Notes of such series and to that extent supersede the successor Trustee appointed by the Issuer. If no successor Trustee with respect to the Notes of any series shall have been so appointed by the Issuer or the Holders and accepted appointment in the manner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any Holder who has been a bona fide Holder of a Note of such series for at least six months may, on behalf of himself and all others similarly situated, petition any court of competent jurisdiction for the appointment of a successor Trustee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give notice of each resignation and each removal of the Trustee with respect to the Notes of any series and each appointment of a successor Trustee with respect to the Notes of any series to all Holders of Notes of such series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Each notice shall include the name of the successor Trustee with respect to the Notes of such series and the address of its Corporate Trust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5.11.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In case of the appointment hereunder of a successor Trustee with respect to all Notes,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reasonable charges and subject to its lien, if any, provided by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Notes of one or more (but not all) series, the Issuer, the retiring Trustee and each successor Trustee with respect to the Notes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Notes of that or those series to which the appointment of such successor Trustee relates, (2) if the retiring Trustee is not retiring with respect to all Notes, shall contain such provisions as shall be deemed necessary or desirable to confirm that all the rights, powers, trusts and duties of the retiring Trustee with respect to the Notes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Notes of that or those series to which the appointment of such successor Trustee relates; but, on request of the Issuer or any successor Trustee, such retiring Trustee shall duly assign, transfer and deliver to such successor Trustee all property and money held by such retiring Trustee hereunder with respect to the Notes of that or those series to which the appointment of such successor Trustee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its appointment unless at the time of such acceptance such successor Trustee shall be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5.12.                    </w:t>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entity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entity shall be otherwise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without the execution or filing of any paper or any further act on the part of any of the parties hereto. In case any Notes shall have been authenticated, but not delivered, by the Trustee then in office, any successor Trustee by merger, conversion or consolidation to such authenticating Trustee may adopt such authentication and deliver the Notes so authenticated with the same effect as if such successor Trustee had itself authenticated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5.13.                    </w:t>
      </w:r>
      <w:r>
        <w:rPr>
          <w:rFonts w:ascii="Times New Roman;Times;Serif" w:hAnsi="Times New Roman;Times;Serif"/>
          <w:b w:val="false"/>
          <w:i w:val="false"/>
          <w:caps w:val="false"/>
          <w:smallCaps w:val="false"/>
          <w:sz w:val="20"/>
          <w:u w:val="single"/>
        </w:rPr>
        <w:t>Preferential Collection of Claims Against Issuer</w:t>
      </w:r>
      <w:r>
        <w:rPr>
          <w:rFonts w:ascii="Times New Roman;Times;Serif" w:hAnsi="Times New Roman;Times;Serif"/>
          <w:b w:val="false"/>
          <w:i w:val="false"/>
          <w:caps w:val="false"/>
          <w:smallCaps w:val="false"/>
          <w:sz w:val="20"/>
        </w:rPr>
        <w:t>. If and when the Trustee shall be or shall become a creditor of the Issuer (or of any other obligor upon the Notes), the Trustee shall be subject to the provisions of the Trust Indenture Act regarding the collection of claims against the Issuer (or against any such other obligor,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5.14.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At any time when any of the Notes remain Outstanding the Trustee, with the approval of the Issuer, may appoint an Authenticating Agent or Agents with respect to one or more series of Notes which shall be authorized to act on behalf of the Trustee to authenticate Notes of such series issued upon exchange, registration of transfer or partial redemption thereof or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Notes so authenticated shall be entitled to the benefits of this Indenture and shall be valid and obligatory for all purposes as if authenticated by the Trustee hereunder.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an Authenticating Agent, having a combined capital and surplus of not less than $100,000,000 and, if other than the Issuer itself, subject to supervision or examination by Federal or State authority. If such Authenticating Agent publishes reports of condition at least annually, pursuant to law or to the requirements of said supervising or examining authority, then for the purposes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such Authenticating Agent shall resign immediately in the manner and with the effect specified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entity into which an Authenticating Agent may be merged or converted or with which it may be consolidated, or any entity resulting from any merger, conversion or consolidation to which such Authenticating Agent shall be a party, or any entity succeeding to the corporate agency or corporate trust business of an Authenticating Agent, shall continue to be an Authenticating Agent, provided such entity shall be otherwise eligible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without the execution or filing of any paper or any further act on the part of the Trustee or the Authenticating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 Authenticating Agent may resign at any time by giving written notice thereof to the Trustee and, if other than the Issuer, to the Issuer. The Trustee may at any time terminate the agency of an Authenticating Agent by giving written notice thereof to such Authenticating Agent and, if other than the Issuer, to the Issuer. Upon receiving such a notice of resignation or upon such a termination, or in case at any time such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Trustee, with the approval of the Issuer, may appoint a successor Authenticating Agent which shall be acceptable to the Issuer and shall mail written notice of such appointment by first-class mail, postage prepaid, to all Holders of Notes of the series with respect to which such Authenticating Agent will serve, as their names and addresses appear in the Security Register (or shall give such notice electronically or pursuant to the procedures of the Depositary).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Issuer agrees to pay to each Authenticating Agent from time to time reasonable compensation for its services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an appointment is made pursuant to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Notes may have endorsed thereon, in addition to the Trustee’s certificate of authentication, an alternate certificate of authentication in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80"/>
        <w:gridCol w:w="791"/>
        <w:gridCol w:w="5093"/>
      </w:tblGrid>
      <w:tr>
        <w:trPr/>
        <w:tc>
          <w:tcPr>
            <w:tcW w:w="80"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80"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9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caps w:val="false"/>
                <w:smallCaps w:val="false"/>
              </w:rPr>
            </w:pPr>
            <w:r>
              <w:rPr>
                <w:caps w:val="false"/>
                <w:smallCaps w:val="false"/>
              </w:rPr>
              <w:t> </w:t>
            </w:r>
          </w:p>
        </w:tc>
        <w:tc>
          <w:tcPr>
            <w:tcW w:w="50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caps w:val="false"/>
                <w:smallCaps w:val="false"/>
              </w:rPr>
            </w:pPr>
            <w:r>
              <w:rPr>
                <w:caps w:val="false"/>
                <w:smallCaps w:val="false"/>
              </w:rPr>
              <w:t> </w:t>
            </w:r>
          </w:p>
        </w:tc>
        <w:tc>
          <w:tcPr>
            <w:tcW w:w="50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HOLDERS’ LISTS AND REPORTS BY TRUSTEE AND ISSUER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6.01.                    </w:t>
      </w:r>
      <w:r>
        <w:rPr>
          <w:rFonts w:ascii="Times New Roman;Times;Serif" w:hAnsi="Times New Roman;Times;Serif"/>
          <w:b w:val="false"/>
          <w:i w:val="false"/>
          <w:caps w:val="false"/>
          <w:smallCaps w:val="false"/>
          <w:sz w:val="20"/>
          <w:u w:val="single"/>
        </w:rPr>
        <w:t>Issuer to Furnish Trustee Names and Addresses of Holders</w:t>
      </w:r>
      <w:r>
        <w:rPr>
          <w:rFonts w:ascii="Times New Roman;Times;Serif" w:hAnsi="Times New Roman;Times;Serif"/>
          <w:b w:val="false"/>
          <w:i w:val="false"/>
          <w:caps w:val="false"/>
          <w:smallCaps w:val="false"/>
          <w:sz w:val="20"/>
        </w:rPr>
        <w:t>. The Issuer will furnish or cause to be furnished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semi-annually, not more than 15 days after the Record Date for the payment of interest in respect of each series of Notes, in such form as the Trustee may reasonably require, a list of the names and addresses of the Holders of such Notes as of such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such other times as the Trustee may request in writing, within 30 days after the receipt by the Issuer of any such request, a list of similar form and content as of a date not more than 15 days prior to the time such list is furnished, provided that, in the case of (1) and (2), if the Trustee shall be the Registrar, such list shall not be required to be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6.02.                    </w:t>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shall preserve, in as current a form as is reasonably practicable, the names and addresses of Holders of Notes of each series contained in the most recent list furnished to the Trustee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the names and addresses of Holders of Notes received by the Trustee. The Trustee may destroy any list furnished to it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Notes may communicate as provided in Section 312(b) of the Trust Indenture Act with other Holders of Notes with respect to their rights under this Indenture or under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Every Holder of Notes, by receiving and holding the same, agrees with the Issuer that the Issuer shall not be held accountable by reason of the disclosure of any such information as to the names and addresses of the Holders of Notes in accordance with </w:t>
      </w:r>
      <w:r>
        <w:rPr>
          <w:rFonts w:ascii="Times New Roman;Times;Serif" w:hAnsi="Times New Roman;Times;Serif"/>
          <w:b w:val="false"/>
          <w:i w:val="false"/>
          <w:caps w:val="false"/>
          <w:smallCaps w:val="false"/>
          <w:sz w:val="20"/>
          <w:u w:val="single"/>
        </w:rPr>
        <w:t>Section 6.02(2)</w:t>
      </w:r>
      <w:r>
        <w:rPr>
          <w:rFonts w:ascii="Times New Roman;Times;Serif" w:hAnsi="Times New Roman;Times;Serif"/>
          <w:b w:val="false"/>
          <w:i w:val="false"/>
          <w:caps w:val="false"/>
          <w:smallCaps w:val="false"/>
          <w:sz w:val="20"/>
        </w:rPr>
        <w:t>, regardless of the source from which such information was derived.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6.03.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60 days after May 15 of each year commencing with the first May 15 following the date of the initial issuance of Notes under this Indenture, the Trustee shall transmit by mail to the Holders of Notes as their names and addresses appear in the Security Register, a brief report dated as of such May 15, to the extent required under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comply with Sections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copy of each such report shall, at the time for such transmission to Holders of Notes, be filed by the Trustee with the Issuer, with each stock exchange upon which any Notes are listed (if so listed) and also with the Commission. The Issuer agrees to promptly notify the Trustee when any Notes become listed on any stock exchange and of any delisting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6.04.                    </w:t>
      </w:r>
      <w:r>
        <w:rPr>
          <w:rFonts w:ascii="Times New Roman;Times;Serif" w:hAnsi="Times New Roman;Times;Serif"/>
          <w:b w:val="false"/>
          <w:i w:val="false"/>
          <w:caps w:val="false"/>
          <w:smallCaps w:val="false"/>
          <w:sz w:val="20"/>
          <w:u w:val="single"/>
        </w:rPr>
        <w:t>Reports by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comply with the provisions of Section 314(a) and 314(c) of the TIA. Delivery of such reports, information and documents to the Trustee pursuant to TIA Section 314(a)(1), (2) and/or (3) shall be for informational purposes only and the Trustee’s receipt of such shall not constitute constructive notice of any information contained therein or matters determinable from information contained therein, including the Issuer’s compliance with any of its covenants hereunder (as to which the Trustee is entitled to rely exclusively on Officer’s Certificates provided pursuant to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below). The Trustee is under no duty to examine such reports, information or documents to ensure compliance with the provisions of this Indenture or to ascertain the correctness or otherwise of the information or the statements contained herein, or whether any such reports, information or documents have or have not been provided as required by the TIA. The Trustee is entitled to assume such compliance with the TIA unless a Responsible Officer of the Trustee is informed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6.05.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deliver to the Trustee, within 90 days after the end of each fiscal year, an Officer’s Certificate stating that a review of the activities of the Issuer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such default or Event of Default of which he or she may have knowledge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 long as any of the Notes are outstanding, the Issuer will deliver to the Trustee, forthwith upon any Officer becoming aware of any default or Event of Default,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with respect to receipt of Note payments when due and any default or Event of Default information contained in the Officer’s Certificates delivered to it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the Trustee shall have no duty to review, ascertain or confirm the Issuer’s compliance with, or the breach of any representation, warranty or covenant made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CONSOLIDATION, MERGER OR TRANSFER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7.01.                    </w:t>
      </w:r>
      <w:r>
        <w:rPr>
          <w:rFonts w:ascii="Times New Roman;Times;Serif" w:hAnsi="Times New Roman;Times;Serif"/>
          <w:b w:val="false"/>
          <w:i w:val="false"/>
          <w:caps w:val="false"/>
          <w:smallCaps w:val="false"/>
          <w:sz w:val="20"/>
          <w:u w:val="single"/>
        </w:rPr>
        <w:t>When Issuer May Merge or Transfer Assets</w:t>
      </w:r>
      <w:r>
        <w:rPr>
          <w:rFonts w:ascii="Times New Roman;Times;Serif" w:hAnsi="Times New Roman;Times;Serif"/>
          <w:b w:val="false"/>
          <w:i w:val="false"/>
          <w:caps w:val="false"/>
          <w:smallCaps w:val="false"/>
          <w:sz w:val="20"/>
        </w:rPr>
        <w:t>. The Issuer may not consolidate or merge with or into another entity, or sell, lease, convey, transfer or otherwise dispose of all or substantially all of the Issuer’s and its Subsidiaries’ property and assets (taken as a whole) to another entity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 (a) the Issuer shall be the continuing Person or (b) the Person (if other than the Issuer) formed by such consolidation or into which the Issuer is merged or to which all or substantially all of the properties and assets of the Issuer and its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hereto, executed and delivered to the Trustee, in form satisfactory to the Trustee, all of the obligations of the Issuer under the Notes and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transaction, no Event of Default, and no default or other event which, after notice or lapse of time or both, would become a default or Event of Default, shall have occurred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as a result of any consolidation, merger, sale or lease, conveyance or transfer described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properties or assets of the Issuer would become subject to any lien which would not be permitted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without equally and ratably securing the Notes of such series, the Issuer or such successor Person, as the case may be, will take steps as are necessary to effectively secure the Notes of such series equally and ratably with, or prior to, all Indebtedness secured by those liens as and to the extent required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shall have delivered to the Trustee an Officer’s Certificate and an Opinion of Counsel, each stating that all conditions precedent herein provided for relating to such transaction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7.02.                    </w:t>
      </w:r>
      <w:r>
        <w:rPr>
          <w:rFonts w:ascii="Times New Roman;Times;Serif" w:hAnsi="Times New Roman;Times;Serif"/>
          <w:b w:val="false"/>
          <w:i w:val="false"/>
          <w:caps w:val="false"/>
          <w:smallCaps w:val="false"/>
          <w:sz w:val="20"/>
          <w:u w:val="single"/>
        </w:rPr>
        <w:t>Successor Entity Substituted</w:t>
      </w:r>
      <w:r>
        <w:rPr>
          <w:rFonts w:ascii="Times New Roman;Times;Serif" w:hAnsi="Times New Roman;Times;Serif"/>
          <w:b w:val="false"/>
          <w:i w:val="false"/>
          <w:caps w:val="false"/>
          <w:smallCaps w:val="false"/>
          <w:sz w:val="20"/>
        </w:rPr>
        <w:t>. The successor Person formed by such consolidation or into which the Issuer is merged or any successor Person to which such sale, lease, conveyance, transfer or disposition of all or substantially all of its and its Subsidiaries’ assets (taken as a whole) is made, in each case other than a lease, shall succeed to, and be substituted for, and may exercise every right and power of the Issuer under this Indenture with the same effect as if such successor had been named as the Issuer herein; and thereafter the Issuer shall be discharged and released from all obligations and covenants under this Indenture and the Notes. The Trustee shall enter into a supplemental indenture to evidence the succession and substitution of such successor Person and such discharge and release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SUPPLEMENTAL INDENTURES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Without the consent of the Holders of any Notes, the Issuer and the Trustee, at any time and from time to time, may enter into one or more indentures supplemental hereto, in form satisfactory to the Trustee, for any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evidence the succession of another Person to the Issuer and the assumption by any such successor of the covenants of the Issuer under this Indenture and the Notes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add to the covenants of the Issuer for the benefit of Holders of the Notes or to surrender any right or power conferred upon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add any additional events of default for the benefit of Holders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add to or change any of the provisions of this Indenture as necessary to permit or facilitate the issuance of Notes in bearer form, registrable or not registrable as to principal, and with or without interest coupons, or to permit or facilitate the issuance of Notes in uncertificated form, or relating to the transfer and legending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secure the Notes or to add guarantees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or appoint a successor or separate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cure any ambiguity, defect, mistake or inconsistency;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to supplement any of the provisions of this Indenture as necessary to permit or facilitate the Defeasance (whether Legal Defeasance or Covenant Defeasance) or Discharge of any series of Notes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make any other change that would not adversely affect the contractual rights of any Holders of the Notes of the applicable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make any change necessary to comply with any requirement of the Commission in connection with the qualification of this Indenture or any supplemental Indenture under the TIA;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conform any provision in this Indenture, or in the Board Resolution, Officer’s Certificate or supplemental indenture establishing the Notes of any series, or the terms of the Notes of any series, to the prospectus supplement, offering memorandum, offering circular or any other document pursuant to which the Notes of such series were offered;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reflect the issuance of additional Notes of any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val="false"/>
          <w:caps w:val="false"/>
          <w:smallCaps w:val="false"/>
          <w:sz w:val="20"/>
        </w:rPr>
        <w:t>. With the consent of the Holders of not less than a majority in aggregate principal amount of the Outstanding Notes of any series affected by such supplemental indenture (including, without limitation, consents obtained in connection with a purchase of, or tender offer or exchange offer for, such securities), the Issuer and the Trustee, at any time and from time to time, may enter into one or more indentures supplemental hereto for the purpose of adding any provisions to or changing in any manner or eliminating any of the provisions of this Indenture or of any supplemental indenture or of modifying in any manner the rights of the Holders of the Notes of such series under this Indenture; provided however, that no such supplemental indenture shall, without the consent of the Holder of each Outstanding Note of such series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make any change to the percentage of principal amount of Notes the Holders of which must consent to an amendment, modification, supplement or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of payment for interest on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amount or extend the stated Maturity of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reduce the Redemption Price or repurchase price of any Note, change the date on which any Note is subject to redemption or repurchase (provided that this shall not apply to changes in the notice period for any redemption or repurchase) or add redemption or repurchase provisions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money other than that stated in this Indenture or the Note;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impair the right to institute suit for the enforcement of any payment on or with respect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Notes of any series may waive compliance by the Issuer with certain restrictive provisions of this Indenture with respect to the Notes of such series. The Holders of at least a majority in principal amount of the Outstanding Notes of any series may waive any past default under this Indenture, except a default not theretofore cured in the payment of principal or interest and any covenants and provisions of this Indenture which this Indenture (or the applicable Board Resolution, Officer’s Certificate or supplemental indenture establishing the series of Notes) expressly provides cannot be amended without the consent of the Holder of each Outstanding Note of the applicable series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8.03.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xml:space="preserve">. In executing, or accepting the additional trusts created by, any supplemental indenture permitted by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the modifications thereby of the trusts created by this Indenture, the Trustee shall be entitled to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be fully protected in relying upon, in addition to the documents required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 Opinion of Counsel stating that the execution of such supplemental indenture is authorized or permitted by this Indenture. Upon request of the Issuer and, in the case of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upon filing with the Trustee of evidence of an Act of Holders as aforementioned, the Trustee shall join with the Issuer in the execution of such supplemental indenture unless such supplemental indenture affects the Trustee’s own rights, powers, trusts,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8.04.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xml:space="preserve">. Upon the execution of any supplemental indenture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this Indenture shall be and be deemed to be modified and amended in accordance therewith, and such supplemental indenture shall form a part of this Indenture for all purposes; and the respective rights, limitation of rights, duties, powers, trusts and immunities under this Indenture of the Trustee, the Issuer and every Holder of Notes theretofore or thereafter authenticated and delivered hereunder shall be determined, exercised and enforced thereunder to the extent provided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8.05.                    </w:t>
      </w:r>
      <w:r>
        <w:rPr>
          <w:rFonts w:ascii="Times New Roman;Times;Serif" w:hAnsi="Times New Roman;Times;Serif"/>
          <w:b w:val="false"/>
          <w:i w:val="false"/>
          <w:caps w:val="false"/>
          <w:smallCaps w:val="false"/>
          <w:sz w:val="20"/>
          <w:u w:val="single"/>
        </w:rPr>
        <w:t>Conformity with Trust Indenture Act</w:t>
      </w:r>
      <w:r>
        <w:rPr>
          <w:rFonts w:ascii="Times New Roman;Times;Serif" w:hAnsi="Times New Roman;Times;Serif"/>
          <w:b w:val="false"/>
          <w:i w:val="false"/>
          <w:caps w:val="false"/>
          <w:smallCaps w:val="false"/>
          <w:sz w:val="20"/>
        </w:rPr>
        <w:t xml:space="preserve">. Every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conform to the requirements of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8.06.                    </w:t>
      </w:r>
      <w:r>
        <w:rPr>
          <w:rFonts w:ascii="Times New Roman;Times;Serif" w:hAnsi="Times New Roman;Times;Serif"/>
          <w:b w:val="false"/>
          <w:i w:val="false"/>
          <w:caps w:val="false"/>
          <w:smallCaps w:val="false"/>
          <w:sz w:val="20"/>
          <w:u w:val="single"/>
        </w:rPr>
        <w:t>Documents to Be Given to Trustee</w:t>
      </w:r>
      <w:r>
        <w:rPr>
          <w:rFonts w:ascii="Times New Roman;Times;Serif" w:hAnsi="Times New Roman;Times;Serif"/>
          <w:b w:val="false"/>
          <w:i w:val="false"/>
          <w:caps w:val="false"/>
          <w:smallCaps w:val="false"/>
          <w:sz w:val="20"/>
        </w:rPr>
        <w:t xml:space="preserve">. The Trustee, subject to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may receive an Officer’s Certificate and an Opinion of Counsel as conclusive evidence that any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8.07.                    </w:t>
      </w:r>
      <w:r>
        <w:rPr>
          <w:rFonts w:ascii="Times New Roman;Times;Serif" w:hAnsi="Times New Roman;Times;Serif"/>
          <w:b w:val="false"/>
          <w:i w:val="false"/>
          <w:caps w:val="false"/>
          <w:smallCaps w:val="false"/>
          <w:sz w:val="20"/>
          <w:u w:val="single"/>
        </w:rPr>
        <w:t>Notation on Notes in Respect of Supplemental Indentures</w:t>
      </w:r>
      <w:r>
        <w:rPr>
          <w:rFonts w:ascii="Times New Roman;Times;Serif" w:hAnsi="Times New Roman;Times;Serif"/>
          <w:b w:val="false"/>
          <w:i w:val="false"/>
          <w:caps w:val="false"/>
          <w:smallCaps w:val="false"/>
          <w:sz w:val="20"/>
        </w:rPr>
        <w:t>. Notes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Notes of any series so modified as to conform to any modification of this Indenture contained in any such supplemental indenture may be prepared by the Issuer, authenticated by the Trustee and delivered in exchange for the Notes of such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Issuer covenants and agrees for the benefit of each series of Notes that it shall pay or cause to be paid the principal, premium, if any, and interest on such series of Notes on the dates and in the manner provided in such series of Notes, and shall duly comply with all the other terms, agreements and conditions contained in this Indenture for the benefit of such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of, and premium, if any, and interest on a Global Note registered in the name of or held by the DTC or its nominee shall be made in immediately available funds to DTC or its nominee, as the case may be, as the Holder of such Global Note. If any of the Notes are no longer represented by a Global Note, payment of interest on certificated Notes in definitive form may, at the option of the Issuer, be made by (i) check mailed directly to Holders at their registered addresses or (ii) upon request of any Holder of at least $1,000,000 principal amount of Notes, wire transfer to an account located in the United States by the payee.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any interest (including any post-petition interest in any proceeding under any Federal or state bankruptcy, insolvency, reorganization, or other similar law) on overdue principal and premium, if any, from time to time on demand at the applicable rate of interest determined from time to time in the manner provided for in each series of Notes; it shall pay interest (including post-petition interest in any proceeding under any Federal or State bankruptcy, insolvency, reorganization, or other similar law) on overdue installments of interest and (without regard to any applicable grace periods) from time to time on demand at the same rates to the extent 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So long as any of the Notes remain outstanding, the Issuer shall maintain an office or agency in the United States (which initially will be the Corporate Trust Office) where Notes may be presented or surrendered for payment, where Notes may be surrendered for transfer or exchange, and where notices and demands to or upon the Issuer in respect of the Notes and this Indenture may be served. The Issuer shall give prompt written notice to the Trustee of the location, and of any change in the location, of such office or agency. If at any time the Issuer shall fail to maintain such office or agency or shall fail to furnish the Trustee with the address thereof, such presentations, surrenders, notices and demands may be made or served at the Corporate Trust Office of the Trustee, and the Issuer hereby appoints the Trustee its agent to receive all such presentations, surrenders, notices and demands; provided, that the Corporate Trust Office of the Trustee shall not be the office of service of legal process on the Issuer. Upon any insolvency, bankruptcy or reorganization proceedings relating to the Issuer (including, without limitation, its bankruptcy, voluntary or judicial liquidation, composition with creditors, reprieve from payment, controlled management, fraudulent conveyance, general settlement with creditors, reorganization or similar laws affecting the rights of creditors generally), the Trustee shall automatically serve as Paying Agent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also from time to time designate one or more other offices or agencies where one or more series of Notes may be presented or surrendered for any or all such purposes and may from time to time rescind such designations; provided however,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9.03.                    </w:t>
      </w:r>
      <w:r>
        <w:rPr>
          <w:rFonts w:ascii="Times New Roman;Times;Serif" w:hAnsi="Times New Roman;Times;Serif"/>
          <w:b w:val="false"/>
          <w:i w:val="false"/>
          <w:caps w:val="false"/>
          <w:smallCaps w:val="false"/>
          <w:sz w:val="20"/>
          <w:u w:val="single"/>
        </w:rPr>
        <w:t>Money for Note Payments to be Held in Trust</w:t>
      </w:r>
      <w:r>
        <w:rPr>
          <w:rFonts w:ascii="Times New Roman;Times;Serif" w:hAnsi="Times New Roman;Times;Serif"/>
          <w:b w:val="false"/>
          <w:i w:val="false"/>
          <w:caps w:val="false"/>
          <w:smallCaps w:val="false"/>
          <w:sz w:val="20"/>
        </w:rPr>
        <w:t>. If the Issuer shall at any time act as its own Paying Agent, it shall, on or before each due date of the principal, premium, if any, or interest on any series of Notes, segregate and hold in trust for the benefit of the Holders of such series of Notes a sum sufficient to pay such principal, premium, if any, or interest so becoming due until such sums shall be paid to such Holders of the Notes of such series or otherwise disposed of as herein provided, and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it shall, on or prior to (and if on, then before 10:00 a.m. (New York City time)) each due date of the principal, premium, if any, or interest, on any series of Notes, deposit with a Paying Agent a sum sufficient to pay such principal, premium, if any, or interest so becoming due, such sum to be held in trust for the benefit of the Holders of the Notes of such series entitled to the same and (unless such Paying Agent is the Trustee) the Issuer shall promptly notify the Trustee of its action or failure so to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cause each Paying Agent other than the Trustee to execute and deliver to the Trustee an instrument in which such Paying Agent shall agree with the Trustee, subject to the provisions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that such Paying Agent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hold all sums held by it for the payment of principal, premium, if any, or interest, on Notes of any series in trust for the benefit of the Holders of the Notes of such series entitled thereto until such sums shall be paid to such Holders or otherwise disposed of as herein provided;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give the Trustee prompt notice of any default by the Issuer (or any other obligor upon the Notes of such series) in the making of any such payment of principal, premium, if any, or interest, on such Notes;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any time during the continuance of any such default, upon the written request of the Trustee, forthwith pay to the Trustee all sums so held in trust by such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for the purpose of obtaining the discharge of this Indenture, or a Discharge or Defeasance of a series of Notes, or for any other purpose, pay, or by Company Order direct any Paying Agent to pay, to the Trustee all sums held in trust by the Issuer or such Paying Agent or, if for any other purpose, all sums so held in trust by the Issuer in respect of all series of Notes or Notes of such series, as applicable,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9.04.                    </w:t>
      </w:r>
      <w:r>
        <w:rPr>
          <w:rFonts w:ascii="Times New Roman;Times;Serif" w:hAnsi="Times New Roman;Times;Serif"/>
          <w:b w:val="false"/>
          <w:i w:val="false"/>
          <w:caps w:val="false"/>
          <w:smallCaps w:val="false"/>
          <w:sz w:val="20"/>
          <w:u w:val="single"/>
        </w:rPr>
        <w:t>Certificate to Trustee</w:t>
      </w:r>
      <w:r>
        <w:rPr>
          <w:rFonts w:ascii="Times New Roman;Times;Serif" w:hAnsi="Times New Roman;Times;Serif"/>
          <w:b w:val="false"/>
          <w:i w:val="false"/>
          <w:caps w:val="false"/>
          <w:smallCaps w:val="false"/>
          <w:sz w:val="20"/>
        </w:rPr>
        <w:t>. The Issuer shall deliver to the Trustee, within 120 days after the end of each fiscal year of the Issuer ending after the initial issuance of Notes under this Indenture, an Officer’s Certificate that complies with TIA Section 314(a)(4) stating that in the course of the performance by the signers of their duties as officers of the Issuer, they would normally have knowledge of any default by the Issuer in the performance of any of its covenants or agreements contained herein, stating whether or not they have knowledge of any such default and, if so, specifying each such default of which the signers have knowledge and the nature thereof and the actions the Issuer intends to take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Issuer shall do or cause to be done all things necessary to preserve and keep in full force and effect its corporate (or, if not a corporation, other type of entity)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9.06.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The Issuer shall not, and shall not permit any Significant Subsidiary to, create, incur, assume or permit to exist any lien on any property or asset (including the capital stock of any Subsidiary), to secure any Indebtedness of the Issuer, any Significant Subsidiary or any other Person, without securing the Notes equally and ratably with such Indebtedness for so long as such Indebtedness shall be so secured. The foregoing shall not apply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existing on the date of this Indenture (or the applicable Board Resolution, Officer’s Certificate or supplemental indenture establishing the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to secure any modification, extension, renewal, refinancing, replacement or refunding (or successive modifications, extensions, renewals, refinancings, replacements or refundings), in whole or in part, of any Indebtedness secured by liens referred to in clauses (1) through (3) above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the Issuer’s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liens on property incurred in Sale and Leaseback Transactions permitted by the second paragraph of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liens in favor of only the Issuer or one or more Subsidiaries granted by the Issuer or a Subsidiary to secure any obligations owed to the Issuer or a Subsidiary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on assets of any subsidiary of the Issuer registered or regulated as a “broker” or “dealer” as such terms are defined in Sections 3(a) (4) and (5) of the Exchange Act, as amended, created or otherwise arising in the ordinary course of such Subsidiary’s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customary liens in respect of a deposit for the benefit of a Holder of a series of Notes for a Discharge or Defeasance of such Notes or holders of other Indebtedness for a discharge or defeasance of such other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on securities deemed to exist under repurchase agreements and reverse repurchase agreements entered into by the Issuer or any Subsidiary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in favor of the Trustee granted in accordance with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the Issuer or any Subsidiary, as applicable, has maintained adequate reserves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attachment or judgment lien in existence less than 60 days after the entry thereof or with respect to which (i) execution has been stayed, (ii) payment is covered in full by insurance, or (iii) the Issuer or any of its Subsidiaries shall in good faith be prosecuting on appeal or proceedings for review and shall have set aside on its books such reserves as may be required by GAAP with respect to such judgment or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liens securing Swap Contracts of the Issuer or any of its Subsidiaries permitted to be incurred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arising out of conditional sale, title retention, consignment or similar arrangements for the sale or purchase of goods entered into by the Issuer or any Subsidiary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liens on the assets of, or capital stock or other equity interests in, any Subsidiary or any joint venture and which secures Indebtedness or other obligations of such Subsidiary or joint venture (or of another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securing obligations under the Revolving Credit Agreement in an aggregate amount not to exceed $750,000,000;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liens otherwise prohibited by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securing Indebtedness which, together with the value of Attributable Debt incurred in Sale and Leaseback Transactions permitted under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 xml:space="preserve"> below, do not exceed 15.0% of Consolidated Net Tangible Assets measured at the date of incurrence of such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9.07.                    </w:t>
      </w:r>
      <w:r>
        <w:rPr>
          <w:rFonts w:ascii="Times New Roman;Times;Serif" w:hAnsi="Times New Roman;Times;Serif"/>
          <w:b w:val="false"/>
          <w:i w:val="false"/>
          <w:caps w:val="false"/>
          <w:smallCaps w:val="false"/>
          <w:sz w:val="20"/>
          <w:u w:val="single"/>
        </w:rPr>
        <w:t>Limitation on Sale-Leaseback Transactions</w:t>
      </w:r>
      <w:r>
        <w:rPr>
          <w:rFonts w:ascii="Times New Roman;Times;Serif" w:hAnsi="Times New Roman;Times;Serif"/>
          <w:b w:val="false"/>
          <w:i w:val="false"/>
          <w:caps w:val="false"/>
          <w:smallCaps w:val="false"/>
          <w:sz w:val="20"/>
        </w:rPr>
        <w:t>. The Issuer shall not, and shall not permit any Significant Subsidiary to, enter into any arrangement with any Person pursuant to which the Issuer or any Significant Subsidiary leases any property that has been or is to be sold or transferred by the Issuer or the Significant Subsidiary to such Person (a “</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except that a Sale and Leaseback Transaction is permitted if the Issuer or such Significant Subsidiary would be entitled to incur Indebtedness secured by a lien on the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shall not apply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temporary leases for a term, including renewals at the option of the lessee, of not more than three years;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leases between only the Issuer and one or more Subsidiaries of the Issuer or only between or among Subsidiaries of the Issuer;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leases where the proceeds are at least equal to the fair market value (as determined by the Board of Directors) of the property and the Issuer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leases of property executed by the time of, or within 12 months after the latest of, the acquisition, the completion of construction or improvement, or the commencement of commercial operation of the property.</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REDEMPTION OF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10.01.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permitted to optionally redeem Notes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may, with respect to any series of Notes, reserve the right to redeem and pay the Notes of such series, or any part thereof, prior to the Maturity Date thereof at such time and on such terms as provided for with respect to such series of Notes. If a series of Notes is redeemable and the Issuer wants to redeem prior to the Maturity Date thereof all or part of the Notes of such series pursuant to the terms of such Notes, it shall notify the Trustee of the paragraph of the Notes and/or Section of this Indenture (or Board Resolution, supplemental indenture or Officers’ Certificate) pursuant to which the redemption shall occur and of the information set forth in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below. Notice of redemption of Notes of a series shall be given by the Issuer or, at the Issuer’s request, by the Trustee in the name and at the expense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redemption to the Holders of Notes of any series to be redeemed as a whole or in part at the option of the Issuer shall be given by first-class mail, postage prepaid, mailed or otherwise delivered electronically or in accordance with the procedures of DTC to holders of Global Notes, with a copy to the Trustee, not fewer than 10 nor more than 60 days (unless in connection with a Discharge or Defeasance) prior to the applicable date specified for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to each such Holder at such Holder’s last address appearing in the Security Register (or by electronic delivery or pursuant to the applicable procedures of the Depositary). All notices of redemption shall state: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or if not then ascertainable, the manner of calculating the Redemption Price;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fewer than all outstanding Notes of a series are to be redeemed, the identification (and, in the case of partial redemption, the respective principal amounts) of the Notes of such series to be redeemed from the Holder to whom the notice is given and that on and after the Redemption Date, subject to the waiver by the Issuer in its sole discretion or the satisfaction of any conditions precedent to such redemption, upon surrender of such Note, a new Note or Notes in the aggregate principal amount equal to the unredeemed portion thereof shall be issued in accordance with </w:t>
      </w:r>
      <w:r>
        <w:rPr>
          <w:rFonts w:ascii="Times New Roman;Times;Serif" w:hAnsi="Times New Roman;Times;Serif"/>
          <w:b w:val="false"/>
          <w:i w:val="false"/>
          <w:caps w:val="false"/>
          <w:smallCaps w:val="false"/>
          <w:sz w:val="20"/>
          <w:u w:val="single"/>
        </w:rPr>
        <w:t>Section 10.01(e)</w:t>
      </w:r>
      <w:r>
        <w:rPr>
          <w:rFonts w:ascii="Times New Roman;Times;Serif" w:hAnsi="Times New Roman;Times;Serif"/>
          <w:b w:val="false"/>
          <w:i w:val="false"/>
          <w:caps w:val="false"/>
          <w:smallCaps w:val="false"/>
          <w:sz w:val="20"/>
        </w:rPr>
        <w: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subject to the waiver by the Issuer in its sole discretion or the satisfaction of any conditions precedent to such redemption, on the Redemption Date the Redemption Price shall become due and payable upon each Note called for redemption, and that interest, if any, thereon shall cease to accrue from and after said date;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place where Notes called for redemption are to be surrendered for payment of the Redemption Price, which shall be the office or agency maintained by the Issuer pursuant to this Indenture;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the Notes called for redemption must be surrendered to the Paying Agent to collect the Redemption Price;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and/or ISIN number, and that no representation is made as to the correctness or accuracy of the CUSIP and/or ISIN number, if any, listed in such notice or printed on the Notes; and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conditions precedent to such redemption and, that in the Issuer’s discretion, the Redemption Date may be delayed until such time (including more than 60 days after the date the notice of redemption was sent)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or such notice may be rescinded at any time in the Issuer’s sole discretion if in the good faith judgement of the Issuer any or all of such conditions will not be satisfied;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10:00 a.m., New York City time, on any Redemption Date, the Issuer shall deposit with the Trustee or with a Paying Agent (or, if the Issuer is acting as its own Paying Agent, segregate and hold in trust as provided in this Indenture) an amount of money sufficient to pay the Redemption Price of, and any accrued interest on, all the Notes which are to be redeemed on that date.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Notice of redemption having been given as aforesaid, subject to the waiver by the Issuer in its sole discretion or the satisf</w:t>
      </w:r>
      <w:r>
        <w:rPr>
          <w:rFonts w:ascii="Times New Roman;Times;Serif" w:hAnsi="Times New Roman;Times;Serif"/>
          <w:b w:val="false"/>
          <w:i w:val="false"/>
          <w:caps w:val="false"/>
          <w:smallCaps w:val="false"/>
          <w:color w:val="000000"/>
          <w:sz w:val="20"/>
        </w:rPr>
        <w:t>action of any conditions precedent to such redemption, the Notes (or portions thereof) so to be redeemed shall, on the Redemption Date, become due and payable at the Redemption Price plus accrued and unpaid interest to, but not including, the Redemption Date therein specified and from and after such date (unless the Issuer shall default in the payment of the Redemption Price) such Notes shall cease to bear interest. Any installment of interest due and payable on or prior to the Redemption Date with respect to any Notes so called for redemption shall be payable to t</w:t>
      </w:r>
      <w:r>
        <w:rPr>
          <w:rFonts w:ascii="Times New Roman;Times;Serif" w:hAnsi="Times New Roman;Times;Serif"/>
          <w:b w:val="false"/>
          <w:i w:val="false"/>
          <w:caps w:val="false"/>
          <w:smallCaps w:val="false"/>
          <w:sz w:val="20"/>
        </w:rPr>
        <w:t xml:space="preserve">he Holders of such Notes registered as such on the relevant Record Date according to the terms and the provisions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this Indenture. If any Note called for redemption shall not be so paid upon surrender thereof for redemption, the principal shall, until paid, bear interest from the Redemption Date at the rate prescribed therefor by the Note.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Note that is to be redeemed only in part shall be surrendered at the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of this Indenture (with, if the Issuer or the Trustee so requires, due endorsement by, or a written instrument of transfer in form reasonably satisfactory to the Issuer and the Trustee duly executed by, the Holder thereof or the Holder’s attorney duly authorized in writing) and the Issuer shall execute and the Trustee shall authenticate and deliver to the Holder of such Note without service charge and at the expense of the Issuer, a new Note or Notes, of any authorized denomination as requested by such Holder in aggregate principal amount equal to and in exchange for the unredeemed portion of the principal of such Note so surrendered.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fewer than all the Notes of a series are to be redeemed, the particular Notes to be redeemed shall be selected not more than 60 days prior to the Redemption Date by the Trustee from the outstanding Notes of such series not previously called for redemption, pro rata, by lot or by such other method as the Trustee shall deem fair and appropriate and in accordance with the applicable procedures of the Depositary in the case of Global Notes, and may provide for the selection for redemption of portions (equal to the minimum authorized denomination for the Notes of such series or any integral multiple thereof) of the principal amount of Notes of such series of a denomination larger than the minimum authorized denomination for the Notes of such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promptly notify the Issuer in writing of the Notes of such series selected for redemption and, in the case of any Notes selected for partial redemption, the principal amount thereof to be redeemed.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all provisions relating to the redemption of Notes of a series shall relate, in the case of any Note redeemed or to be redeemed only in part, to the portion of the principal of such Note which has been or is to be redeemed.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10.02.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required to make mandatory redemption or sinking fund payments with respect to the Notes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80"/>
        <w:gridCol w:w="385"/>
        <w:gridCol w:w="655"/>
        <w:gridCol w:w="4843"/>
      </w:tblGrid>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9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9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26" w:name="tm2622643d1_ex4-2.htm"/>
      <w:bookmarkStart w:id="27" w:name="kstm2622643d1_ex42"/>
      <w:bookmarkEnd w:id="26"/>
      <w:bookmarkEnd w:id="27"/>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4.2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 Senior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50"/>
        <w:gridCol w:w="155"/>
      </w:tblGrid>
      <w:tr>
        <w:trPr/>
        <w:tc>
          <w:tcPr>
            <w:tcW w:w="10050" w:type="dxa"/>
            <w:tcBorders/>
            <w:vAlign w:val="center"/>
          </w:tcPr>
          <w:p>
            <w:pPr>
              <w:pStyle w:val="TableContents"/>
              <w:bidi w:val="0"/>
              <w:spacing w:before="0" w:after="283"/>
              <w:ind w:left="0" w:right="0" w:hanging="720"/>
              <w:jc w:val="left"/>
              <w:rPr/>
            </w:pPr>
            <w:r>
              <w:rPr/>
              <w:t>Article I DEFINITIONS</w:t>
            </w:r>
          </w:p>
        </w:tc>
        <w:tc>
          <w:tcPr>
            <w:tcW w:w="155" w:type="dxa"/>
            <w:tcBorders/>
            <w:vAlign w:val="center"/>
          </w:tcPr>
          <w:p>
            <w:pPr>
              <w:pStyle w:val="TableContents"/>
              <w:bidi w:val="0"/>
              <w:spacing w:before="0" w:after="283"/>
              <w:ind w:left="0" w:right="0" w:hanging="1440"/>
              <w:jc w:val="right"/>
              <w:rPr/>
            </w:pPr>
            <w:r>
              <w:rPr/>
              <w:t>1</w:t>
            </w:r>
          </w:p>
        </w:tc>
      </w:tr>
      <w:tr>
        <w:trPr/>
        <w:tc>
          <w:tcPr>
            <w:tcW w:w="10050" w:type="dxa"/>
            <w:tcBorders/>
            <w:vAlign w:val="center"/>
          </w:tcPr>
          <w:p>
            <w:pPr>
              <w:pStyle w:val="TableContents"/>
              <w:bidi w:val="0"/>
              <w:spacing w:before="0" w:after="283"/>
              <w:jc w:val="left"/>
              <w:rPr/>
            </w:pPr>
            <w:r>
              <w:rPr/>
              <w:t>Section 1.1   Definitions</w:t>
            </w:r>
          </w:p>
        </w:tc>
        <w:tc>
          <w:tcPr>
            <w:tcW w:w="155" w:type="dxa"/>
            <w:tcBorders/>
            <w:vAlign w:val="center"/>
          </w:tcPr>
          <w:p>
            <w:pPr>
              <w:pStyle w:val="TableContents"/>
              <w:bidi w:val="0"/>
              <w:spacing w:before="0" w:after="283"/>
              <w:ind w:left="0" w:right="0" w:hanging="720"/>
              <w:jc w:val="right"/>
              <w:rPr/>
            </w:pPr>
            <w:r>
              <w:rPr/>
              <w:t>1</w:t>
            </w:r>
          </w:p>
        </w:tc>
      </w:tr>
      <w:tr>
        <w:trPr/>
        <w:tc>
          <w:tcPr>
            <w:tcW w:w="10050" w:type="dxa"/>
            <w:tcBorders/>
            <w:vAlign w:val="center"/>
          </w:tcPr>
          <w:p>
            <w:pPr>
              <w:pStyle w:val="TableContents"/>
              <w:bidi w:val="0"/>
              <w:spacing w:before="0" w:after="283"/>
              <w:jc w:val="left"/>
              <w:rPr/>
            </w:pPr>
            <w:r>
              <w:rPr/>
              <w:t>Article II TERMS OF THE NOTES</w:t>
            </w:r>
          </w:p>
        </w:tc>
        <w:tc>
          <w:tcPr>
            <w:tcW w:w="155" w:type="dxa"/>
            <w:tcBorders/>
            <w:vAlign w:val="center"/>
          </w:tcPr>
          <w:p>
            <w:pPr>
              <w:pStyle w:val="TableContents"/>
              <w:bidi w:val="0"/>
              <w:spacing w:before="0" w:after="283"/>
              <w:ind w:left="0" w:right="0" w:hanging="1440"/>
              <w:jc w:val="right"/>
              <w:rPr/>
            </w:pPr>
            <w:r>
              <w:rPr/>
              <w:t>4</w:t>
            </w:r>
          </w:p>
        </w:tc>
      </w:tr>
      <w:tr>
        <w:trPr/>
        <w:tc>
          <w:tcPr>
            <w:tcW w:w="10050" w:type="dxa"/>
            <w:tcBorders/>
            <w:vAlign w:val="center"/>
          </w:tcPr>
          <w:p>
            <w:pPr>
              <w:pStyle w:val="TableContents"/>
              <w:bidi w:val="0"/>
              <w:spacing w:before="0" w:after="283"/>
              <w:jc w:val="left"/>
              <w:rPr/>
            </w:pPr>
            <w:r>
              <w:rPr/>
              <w:t>Section 2.1     Title</w:t>
            </w:r>
          </w:p>
        </w:tc>
        <w:tc>
          <w:tcPr>
            <w:tcW w:w="155" w:type="dxa"/>
            <w:tcBorders/>
            <w:vAlign w:val="center"/>
          </w:tcPr>
          <w:p>
            <w:pPr>
              <w:pStyle w:val="TableContents"/>
              <w:bidi w:val="0"/>
              <w:spacing w:before="0" w:after="283"/>
              <w:ind w:left="0" w:right="0" w:hanging="1440"/>
              <w:jc w:val="right"/>
              <w:rPr/>
            </w:pPr>
            <w:r>
              <w:rPr/>
              <w:t>4</w:t>
            </w:r>
          </w:p>
        </w:tc>
      </w:tr>
      <w:tr>
        <w:trPr/>
        <w:tc>
          <w:tcPr>
            <w:tcW w:w="10050" w:type="dxa"/>
            <w:tcBorders/>
            <w:vAlign w:val="center"/>
          </w:tcPr>
          <w:p>
            <w:pPr>
              <w:pStyle w:val="TableContents"/>
              <w:bidi w:val="0"/>
              <w:spacing w:before="0" w:after="283"/>
              <w:jc w:val="left"/>
              <w:rPr/>
            </w:pPr>
            <w:r>
              <w:rPr/>
              <w:t>Section 2.2     Aggregate Principal Amount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2.3     Maturity</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2.4     Interest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2.5     Place of Payment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2.6     Optional Redemption</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2.7     Change of Control Repurchase</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2.8     Special Mandatory Redemption</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2.9     Issue Date</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2.10   Issue Price</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2.11   Definitive and Global Notes</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2.12   Denomination</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2.13   Defeasance and Discharge of Covenants upon Deposit of Moneys, U.S. Government Obligations</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2.14   Events of Default</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$800,000,000 aggregate principal amount of 5.000% Senior Notes due 2028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First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Article I</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First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First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means this First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has the meaning assigned in Section 2.8(b).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Maturity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as applicable. If there is no United States Treasury security maturing on the Maturity Date but there are two or more United States Treasury securities with a maturity date equally distant from the Maturity Date, one with a maturity date preceding the Maturity Date and one with a maturity date following the Maturity Date, the Issuer shall select the United States Treasury security with a maturity date preceding the Maturity Date. If there are two or more United States Treasury securities maturing on the Maturity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rPr>
        <w:br/>
        <w:br/>
      </w:r>
      <w:r>
        <w:rPr>
          <w:rFonts w:ascii="Times New Roman;Times;Serif" w:hAnsi="Times New Roman;Times;Serif"/>
          <w:b/>
          <w:i w:val="false"/>
          <w:caps/>
          <w:sz w:val="20"/>
          <w:u w:val="single"/>
        </w:rP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“5.000% Senior Notes due 2028”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First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August 10, 2028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5.000%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February 10 and August 10 of each year, beginning on February 10, 2027. The Record Dates for payment of interest shall be January 26 and July 26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Senior Notes shall be redeemable at any time, and from time to time, prior to the Maturity Date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Prior to the Maturity Date, the Issuer may redeem the Senior Notes at its option at any time, and from time to time, in whole or in part. If the Issuer elects to redeem the Senior Notes,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 (a) the sum of the present values of the remaining scheduled payments of principal and interest thereon discounted to the Redemption Date </w:t>
      </w:r>
      <w:r>
        <w:rPr>
          <w:rFonts w:ascii="Times New Roman;Times;Serif" w:hAnsi="Times New Roman;Times;Serif"/>
          <w:b w:val="false"/>
          <w:i w:val="false"/>
          <w:caps w:val="false"/>
          <w:smallCaps w:val="false"/>
          <w:sz w:val="20"/>
        </w:rPr>
        <w:t>(assuming the Senior Notes matured on the Maturity Date) on a semi-annual basis (assuming a 360-day year consisting of twelve 30-day months) at the Treasury Rate plus 15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2.8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If (i) the consummation of the Mergers does not occur on or before 11:59 p.m. Pacific Time on November 3, 2027, (ii) the Issuer notifies the Trustee and the Holders of the Senior Notes that the Issuer will not pursue the consummation of the Mergers or (iii) the Merger Agreement has been terminated without the consummation of the Mergers (any event described in clause (i), (ii) or (iii), a “</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the Issuer will be required to redeem the Senior Notes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on the Special Mandatory Redemption Date at a redemption price equal to 101% of the aggregate principal amount of the Senior Notes, plus accrued and unpaid interest, if any, to, but not including,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In the event that the Issuer becomes obligated to redeem the Senior Notes pursuant to this Section 2.8, the Issuer will promptly, and in any event not more than ten Business Days after the date on which a Special Mandatory Redemption Trigger occurred, deliver notice to the Trustee and the Holders of the Senior Notes of the Special Mandatory Redemption and the date upon which the Senior Notes will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date shall be no earlier than five days and no later than thirty days following the date of such notice, unless some longer minimum period may be required by DTC) together with a notice of Special Mandatory Redemption for the Trustee to deliver to each registered Holder of Senior Notes to be redeemed. At the Issuer’s request, given at least two Business Days before such notice is to be sent, the Trustee will then promptly mail, or electronically deliver, according to the procedures of DTC, such notice of Special Mandatory Redemption to each registered Holder of the Senior Notes to be redeemed. Unless the Issuer defaults in payment of the Special Mandatory Redemption Price, on and after such Special Mandatory Redemption Date, interest will cease to accrue on the Senior Notes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Notwithstanding the foregoing, installments of interest on the Senior Notes that are due and payable on Interest Payment Dates falling on or prior to the Special Mandatory Redemption Date will be payable on such Interest Payment Dates to the registered Holders as of the close of business on the relevant Record Dates in accordance with the Senior Notes and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2.10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99.722%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2.11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2.12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2.13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First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First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2.14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In addition to the Events of Default set forth in Section 4.01 of the Indenture, the Senior Notes shall include the following additional Event of Default designated as clause (7) of such Section, which shall be deemed an Event of Default under Section 4.01 of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rPr>
        <w:t xml:space="preserve">(7) a failure by the Issuer to redeem the Senior Notes following the occurrence of a Special Mandatory Redemption Trigger in conformity with </w:t>
      </w:r>
      <w:r>
        <w:rPr>
          <w:rFonts w:ascii="Times New Roman;Times;Serif" w:hAnsi="Times New Roman;Times;Serif"/>
          <w:b w:val="false"/>
          <w:i w:val="false"/>
          <w:caps w:val="false"/>
          <w:smallCaps w:val="false"/>
          <w:sz w:val="20"/>
        </w:rPr>
        <w:t>Section 2.8 of the First Supplemental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80"/>
        <w:gridCol w:w="342"/>
        <w:gridCol w:w="584"/>
        <w:gridCol w:w="4313"/>
      </w:tblGrid>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SKYWORKS SOLUTIONS, INC.</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U.S. BANK TRUST COMPANY, NATIONAL ASSOCIATION</w:t>
            </w:r>
            <w:r>
              <w:rPr>
                <w:rFonts w:ascii="Times New Roman;Times;Serif" w:hAnsi="Times New Roman;Times;Serif"/>
                <w:sz w:val="20"/>
              </w:rPr>
              <w:t>,</w:t>
            </w:r>
          </w:p>
        </w:tc>
      </w:tr>
      <w:tr>
        <w:trPr/>
        <w:tc>
          <w:tcPr>
            <w:tcW w:w="80" w:type="dxa"/>
            <w:tcBorders/>
            <w:vAlign w:val="center"/>
          </w:tcPr>
          <w:p>
            <w:pPr>
              <w:pStyle w:val="TableContents"/>
              <w:bidi w:val="0"/>
              <w:spacing w:before="0" w:after="283"/>
              <w:jc w:val="left"/>
              <w:rPr/>
            </w:pPr>
            <w:r>
              <w:rPr/>
              <w:t> </w:t>
            </w:r>
          </w:p>
        </w:tc>
        <w:tc>
          <w:tcPr>
            <w:tcW w:w="92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Note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83088MAP7</w:t>
        <w:br/>
        <w:t>ISIN No. US83088MAP77</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August 10,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10 and August 10, beginning on February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26 and July 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80"/>
        <w:gridCol w:w="1116"/>
        <w:gridCol w:w="2082"/>
        <w:gridCol w:w="346"/>
      </w:tblGrid>
      <w:tr>
        <w:trPr/>
        <w:tc>
          <w:tcPr>
            <w:tcW w:w="80"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b/>
              </w:rPr>
            </w:pPr>
            <w:r>
              <w:rPr>
                <w:b/>
              </w:rPr>
              <w:t>SKYWORKS SOLUTIONS, INC.</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428"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198" w:type="dxa"/>
            <w:gridSpan w:val="2"/>
            <w:tcBorders/>
            <w:vAlign w:val="center"/>
          </w:tcPr>
          <w:p>
            <w:pPr>
              <w:pStyle w:val="TableContents"/>
              <w:bidi w:val="0"/>
              <w:spacing w:before="0" w:after="283"/>
              <w:jc w:val="left"/>
              <w:rPr/>
            </w:pPr>
            <w:r>
              <w:rPr/>
              <w:t>Dated:</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First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429" w:type="dxa"/>
        <w:jc w:val="left"/>
        <w:tblInd w:w="0" w:type="dxa"/>
        <w:tblLayout w:type="fixed"/>
        <w:tblCellMar>
          <w:top w:w="0" w:type="dxa"/>
          <w:left w:w="0" w:type="dxa"/>
          <w:bottom w:w="0" w:type="dxa"/>
          <w:right w:w="0" w:type="dxa"/>
        </w:tblCellMar>
      </w:tblPr>
      <w:tblGrid>
        <w:gridCol w:w="80"/>
        <w:gridCol w:w="320"/>
        <w:gridCol w:w="909"/>
        <w:gridCol w:w="1120"/>
      </w:tblGrid>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2029" w:type="dxa"/>
            <w:gridSpan w:val="2"/>
            <w:tcBorders/>
            <w:vAlign w:val="center"/>
          </w:tcPr>
          <w:p>
            <w:pPr>
              <w:pStyle w:val="TableContents"/>
              <w:bidi w:val="0"/>
              <w:spacing w:before="0" w:after="283"/>
              <w:jc w:val="left"/>
              <w:rPr/>
            </w:pPr>
            <w:r>
              <w:rPr/>
              <w:t>Authorized signatory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875"/>
        <w:gridCol w:w="1295"/>
        <w:gridCol w:w="1295"/>
        <w:gridCol w:w="1550"/>
        <w:gridCol w:w="1100"/>
      </w:tblGrid>
      <w:tr>
        <w:trPr/>
        <w:tc>
          <w:tcPr>
            <w:tcW w:w="8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 xml:space="preserve">Principal </w:t>
              <w:br/>
              <w:t xml:space="preserve">Amount of this </w:t>
              <w:br/>
              <w:t>Global Note</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increase in </w:t>
              <w:br/>
              <w:t>Principal</w:t>
              <w:br/>
              <w:t xml:space="preserve">Amount of this </w:t>
              <w:br/>
              <w:t>Global Note</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w:t>
              <w:br/>
              <w:t xml:space="preserve">of this Global </w:t>
              <w:br/>
              <w:t>Note following</w:t>
              <w:br/>
              <w:t>such decrease or</w:t>
              <w:br/>
              <w:t>increase</w:t>
            </w:r>
          </w:p>
        </w:tc>
        <w:tc>
          <w:tcPr>
            <w:tcW w:w="11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 xml:space="preserve">authorized </w:t>
              <w:br/>
              <w:t xml:space="preserve">signatory of </w:t>
              <w:br/>
              <w:t>Trustee</w:t>
            </w:r>
          </w:p>
        </w:tc>
      </w:tr>
      <w:tr>
        <w:trPr/>
        <w:tc>
          <w:tcPr>
            <w:tcW w:w="8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Notes due 2028</w:t>
      </w:r>
    </w:p>
    <w:p>
      <w:pPr>
        <w:pStyle w:val="TextBody"/>
        <w:bidi w:val="0"/>
        <w:spacing w:before="0" w:after="0"/>
        <w:ind w:left="0" w:right="0" w:firstLine="72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February 10 and August 10 of each year, beginning on February 10, 2027. The Record Dates for payment of interest shall be January 26 and July 26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First Supplemental Indenture, dated as of August 10, 2026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Maturity Date of this Senior Note, the Issuer may redeem the Senior Notes at its option at any time, and from time to time, in whole or in part. If the Issuer elects to redeem the Senior Notes prior to the Maturity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Maturity Date) on a semi-annual basis (assuming a 360-day year consisting of twelve 30-day months) at the Treasury Rate plus 15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51" w:type="dxa"/>
            <w:tcBorders/>
            <w:vAlign w:val="center"/>
          </w:tcPr>
          <w:p>
            <w:pPr>
              <w:pStyle w:val="TableContents"/>
              <w:bidi w:val="0"/>
              <w:spacing w:before="0" w:after="283"/>
              <w:jc w:val="both"/>
              <w:rPr>
                <w:u w:val="single"/>
              </w:rPr>
            </w:pPr>
            <w:r>
              <w:rPr>
                <w:u w:val="single"/>
              </w:rPr>
              <w:t>Special Mandatory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required to redeem all outstanding Senior Notes upon the occurrence of a Special Mandatory Redemption Trigger, as described in Section 2.8 of the First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45"/>
        <w:gridCol w:w="9358"/>
      </w:tblGrid>
      <w:tr>
        <w:trPr/>
        <w:tc>
          <w:tcPr>
            <w:tcW w:w="1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58"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28" w:name="tm2622643d1_ex4-3.htm"/>
      <w:bookmarkStart w:id="29" w:name="kstm2622643d1_ex43"/>
      <w:bookmarkEnd w:id="28"/>
      <w:bookmarkEnd w:id="29"/>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4.3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5.750%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5"/>
        <w:gridCol w:w="8824"/>
        <w:gridCol w:w="156"/>
      </w:tblGrid>
      <w:tr>
        <w:trPr/>
        <w:tc>
          <w:tcPr>
            <w:tcW w:w="10049" w:type="dxa"/>
            <w:gridSpan w:val="2"/>
            <w:tcBorders/>
            <w:vAlign w:val="center"/>
          </w:tcPr>
          <w:p>
            <w:pPr>
              <w:pStyle w:val="TableContents"/>
              <w:bidi w:val="0"/>
              <w:spacing w:before="0" w:after="283"/>
              <w:jc w:val="left"/>
              <w:rPr/>
            </w:pPr>
            <w:r>
              <w:rPr/>
              <w:t>Article I DEFINITIONS</w:t>
            </w:r>
          </w:p>
        </w:tc>
        <w:tc>
          <w:tcPr>
            <w:tcW w:w="156" w:type="dxa"/>
            <w:tcBorders/>
            <w:vAlign w:val="center"/>
          </w:tcPr>
          <w:p>
            <w:pPr>
              <w:pStyle w:val="TableContents"/>
              <w:bidi w:val="0"/>
              <w:spacing w:before="0" w:after="283"/>
              <w:jc w:val="right"/>
              <w:rPr/>
            </w:pPr>
            <w:r>
              <w:rPr/>
              <w:t>1</w:t>
            </w:r>
          </w:p>
        </w:tc>
      </w:tr>
      <w:tr>
        <w:trPr/>
        <w:tc>
          <w:tcPr>
            <w:tcW w:w="1225" w:type="dxa"/>
            <w:tcBorders/>
            <w:vAlign w:val="center"/>
          </w:tcPr>
          <w:p>
            <w:pPr>
              <w:pStyle w:val="TableContents"/>
              <w:bidi w:val="0"/>
              <w:spacing w:before="0" w:after="283"/>
              <w:jc w:val="left"/>
              <w:rPr/>
            </w:pPr>
            <w:r>
              <w:rPr/>
              <w:t>Section 1.1</w:t>
            </w:r>
          </w:p>
        </w:tc>
        <w:tc>
          <w:tcPr>
            <w:tcW w:w="8824" w:type="dxa"/>
            <w:tcBorders/>
            <w:vAlign w:val="center"/>
          </w:tcPr>
          <w:p>
            <w:pPr>
              <w:pStyle w:val="TableContents"/>
              <w:bidi w:val="0"/>
              <w:spacing w:before="0" w:after="283"/>
              <w:jc w:val="left"/>
              <w:rPr/>
            </w:pPr>
            <w:r>
              <w:rPr/>
              <w:t>Definitions</w:t>
            </w:r>
          </w:p>
        </w:tc>
        <w:tc>
          <w:tcPr>
            <w:tcW w:w="156" w:type="dxa"/>
            <w:tcBorders/>
            <w:vAlign w:val="center"/>
          </w:tcPr>
          <w:p>
            <w:pPr>
              <w:pStyle w:val="TableContents"/>
              <w:bidi w:val="0"/>
              <w:spacing w:before="0" w:after="283"/>
              <w:jc w:val="right"/>
              <w:rPr/>
            </w:pPr>
            <w:r>
              <w:rPr/>
              <w:t>1</w:t>
            </w:r>
          </w:p>
        </w:tc>
      </w:tr>
      <w:tr>
        <w:trPr/>
        <w:tc>
          <w:tcPr>
            <w:tcW w:w="10049" w:type="dxa"/>
            <w:gridSpan w:val="2"/>
            <w:tcBorders/>
            <w:vAlign w:val="center"/>
          </w:tcPr>
          <w:p>
            <w:pPr>
              <w:pStyle w:val="TableContents"/>
              <w:bidi w:val="0"/>
              <w:spacing w:before="0" w:after="283"/>
              <w:jc w:val="left"/>
              <w:rPr/>
            </w:pPr>
            <w:r>
              <w:rPr/>
              <w:t>Article II TERMS OF THE NOTES</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2.1 </w:t>
            </w:r>
          </w:p>
        </w:tc>
        <w:tc>
          <w:tcPr>
            <w:tcW w:w="8824" w:type="dxa"/>
            <w:tcBorders/>
            <w:vAlign w:val="center"/>
          </w:tcPr>
          <w:p>
            <w:pPr>
              <w:pStyle w:val="TableContents"/>
              <w:bidi w:val="0"/>
              <w:spacing w:before="0" w:after="283"/>
              <w:jc w:val="left"/>
              <w:rPr/>
            </w:pPr>
            <w:r>
              <w:rPr/>
              <w:t>Title</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2.2</w:t>
            </w:r>
          </w:p>
        </w:tc>
        <w:tc>
          <w:tcPr>
            <w:tcW w:w="8824" w:type="dxa"/>
            <w:tcBorders/>
            <w:vAlign w:val="center"/>
          </w:tcPr>
          <w:p>
            <w:pPr>
              <w:pStyle w:val="TableContents"/>
              <w:bidi w:val="0"/>
              <w:spacing w:before="0" w:after="283"/>
              <w:jc w:val="left"/>
              <w:rPr/>
            </w:pPr>
            <w:r>
              <w:rPr/>
              <w:t>Aggregate Principal Amount</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2.3</w:t>
            </w:r>
          </w:p>
        </w:tc>
        <w:tc>
          <w:tcPr>
            <w:tcW w:w="8824" w:type="dxa"/>
            <w:tcBorders/>
            <w:vAlign w:val="center"/>
          </w:tcPr>
          <w:p>
            <w:pPr>
              <w:pStyle w:val="TableContents"/>
              <w:bidi w:val="0"/>
              <w:spacing w:before="0" w:after="283"/>
              <w:jc w:val="left"/>
              <w:rPr/>
            </w:pPr>
            <w:r>
              <w:rPr/>
              <w:t>Maturity</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2.4</w:t>
            </w:r>
          </w:p>
        </w:tc>
        <w:tc>
          <w:tcPr>
            <w:tcW w:w="8824" w:type="dxa"/>
            <w:tcBorders/>
            <w:vAlign w:val="center"/>
          </w:tcPr>
          <w:p>
            <w:pPr>
              <w:pStyle w:val="TableContents"/>
              <w:bidi w:val="0"/>
              <w:spacing w:before="0" w:after="283"/>
              <w:jc w:val="left"/>
              <w:rPr/>
            </w:pPr>
            <w:r>
              <w:rPr/>
              <w:t>Interest</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2.5 </w:t>
            </w:r>
          </w:p>
        </w:tc>
        <w:tc>
          <w:tcPr>
            <w:tcW w:w="8824" w:type="dxa"/>
            <w:tcBorders/>
            <w:vAlign w:val="center"/>
          </w:tcPr>
          <w:p>
            <w:pPr>
              <w:pStyle w:val="TableContents"/>
              <w:bidi w:val="0"/>
              <w:spacing w:before="0" w:after="283"/>
              <w:jc w:val="left"/>
              <w:rPr/>
            </w:pPr>
            <w:r>
              <w:rPr/>
              <w:t>Place of Payment</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2.6 </w:t>
            </w:r>
          </w:p>
        </w:tc>
        <w:tc>
          <w:tcPr>
            <w:tcW w:w="8824" w:type="dxa"/>
            <w:tcBorders/>
            <w:vAlign w:val="center"/>
          </w:tcPr>
          <w:p>
            <w:pPr>
              <w:pStyle w:val="TableContents"/>
              <w:bidi w:val="0"/>
              <w:spacing w:before="0" w:after="283"/>
              <w:jc w:val="left"/>
              <w:rPr/>
            </w:pPr>
            <w:r>
              <w:rPr/>
              <w:t>Optional Redemption</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2.7 </w:t>
            </w:r>
          </w:p>
        </w:tc>
        <w:tc>
          <w:tcPr>
            <w:tcW w:w="8824" w:type="dxa"/>
            <w:tcBorders/>
            <w:vAlign w:val="center"/>
          </w:tcPr>
          <w:p>
            <w:pPr>
              <w:pStyle w:val="TableContents"/>
              <w:bidi w:val="0"/>
              <w:spacing w:before="0" w:after="283"/>
              <w:jc w:val="left"/>
              <w:rPr/>
            </w:pPr>
            <w:r>
              <w:rPr/>
              <w:t>Change of Control Repurchase</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2.8 </w:t>
            </w:r>
          </w:p>
        </w:tc>
        <w:tc>
          <w:tcPr>
            <w:tcW w:w="8824" w:type="dxa"/>
            <w:tcBorders/>
            <w:vAlign w:val="center"/>
          </w:tcPr>
          <w:p>
            <w:pPr>
              <w:pStyle w:val="TableContents"/>
              <w:bidi w:val="0"/>
              <w:spacing w:before="0" w:after="283"/>
              <w:jc w:val="left"/>
              <w:rPr/>
            </w:pPr>
            <w:r>
              <w:rPr/>
              <w:t>Issue Date</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2.9 </w:t>
            </w:r>
          </w:p>
        </w:tc>
        <w:tc>
          <w:tcPr>
            <w:tcW w:w="8824" w:type="dxa"/>
            <w:tcBorders/>
            <w:vAlign w:val="center"/>
          </w:tcPr>
          <w:p>
            <w:pPr>
              <w:pStyle w:val="TableContents"/>
              <w:bidi w:val="0"/>
              <w:spacing w:before="0" w:after="283"/>
              <w:jc w:val="left"/>
              <w:rPr/>
            </w:pPr>
            <w:r>
              <w:rPr/>
              <w:t>Issue Price</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2.10 </w:t>
            </w:r>
          </w:p>
        </w:tc>
        <w:tc>
          <w:tcPr>
            <w:tcW w:w="8824" w:type="dxa"/>
            <w:tcBorders/>
            <w:vAlign w:val="center"/>
          </w:tcPr>
          <w:p>
            <w:pPr>
              <w:pStyle w:val="TableContents"/>
              <w:bidi w:val="0"/>
              <w:spacing w:before="0" w:after="283"/>
              <w:jc w:val="left"/>
              <w:rPr/>
            </w:pPr>
            <w:r>
              <w:rPr/>
              <w:t>Definitive and Global Notes</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2.11 </w:t>
            </w:r>
          </w:p>
        </w:tc>
        <w:tc>
          <w:tcPr>
            <w:tcW w:w="8824" w:type="dxa"/>
            <w:tcBorders/>
            <w:vAlign w:val="center"/>
          </w:tcPr>
          <w:p>
            <w:pPr>
              <w:pStyle w:val="TableContents"/>
              <w:bidi w:val="0"/>
              <w:spacing w:before="0" w:after="283"/>
              <w:jc w:val="left"/>
              <w:rPr/>
            </w:pPr>
            <w:r>
              <w:rPr/>
              <w:t>Denomination</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2.12 </w:t>
            </w:r>
          </w:p>
        </w:tc>
        <w:tc>
          <w:tcPr>
            <w:tcW w:w="8824" w:type="dxa"/>
            <w:tcBorders/>
            <w:vAlign w:val="center"/>
          </w:tcPr>
          <w:p>
            <w:pPr>
              <w:pStyle w:val="TableContents"/>
              <w:bidi w:val="0"/>
              <w:spacing w:before="0" w:after="283"/>
              <w:jc w:val="left"/>
              <w:rPr/>
            </w:pPr>
            <w:r>
              <w:rPr/>
              <w:t>Defeasance and Discharge of Covenants upon Deposit of Moneys, U.S. Government Obligations</w:t>
            </w:r>
          </w:p>
        </w:tc>
        <w:tc>
          <w:tcPr>
            <w:tcW w:w="156"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$600,000,000 aggregate principal amount of 5.750% Senior Notes due 2032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Second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w:t>
      </w:r>
      <w:r>
        <w:rPr>
          <w:rFonts w:ascii="Times New Roman;Times;Serif" w:hAnsi="Times New Roman;Times;Serif"/>
          <w:b/>
          <w:i w:val="false"/>
          <w:caps/>
          <w:sz w:val="20"/>
          <w:u w:val="single"/>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Second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Second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December 10, 2031 (one month prior to the Maturity Date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means this Second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Par Call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u w:val="single"/>
        </w:rPr>
        <w:br/>
        <w:b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“5.750% Senior Notes due 2032”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Second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January 10, 2032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5.750%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January 10 and July 10 of each year, beginning on January 10, 2027. The Record Dates for payment of interest shall be December 26 and June 25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Senior Notes shall be redeemable at any time, and from time to time,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2.8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99.932%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2.10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2.11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2.12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Second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Second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Second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80"/>
        <w:gridCol w:w="342"/>
        <w:gridCol w:w="584"/>
        <w:gridCol w:w="4313"/>
      </w:tblGrid>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br/>
              <w:t>as Trustee</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83088MAQ5</w:t>
        <w:br/>
        <w:t>ISIN No. US83088MAQ50</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January 10,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10 and July 10, beginning on January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December 26 and June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2889" w:type="dxa"/>
        <w:jc w:val="left"/>
        <w:tblInd w:w="0" w:type="dxa"/>
        <w:tblLayout w:type="fixed"/>
        <w:tblCellMar>
          <w:top w:w="0" w:type="dxa"/>
          <w:left w:w="0" w:type="dxa"/>
          <w:bottom w:w="0" w:type="dxa"/>
          <w:right w:w="0" w:type="dxa"/>
        </w:tblCellMar>
      </w:tblPr>
      <w:tblGrid>
        <w:gridCol w:w="80"/>
        <w:gridCol w:w="740"/>
        <w:gridCol w:w="1260"/>
        <w:gridCol w:w="809"/>
      </w:tblGrid>
      <w:tr>
        <w:trPr/>
        <w:tc>
          <w:tcPr>
            <w:tcW w:w="80" w:type="dxa"/>
            <w:tcBorders/>
            <w:vAlign w:val="center"/>
          </w:tcPr>
          <w:p>
            <w:pPr>
              <w:pStyle w:val="TableContents"/>
              <w:bidi w:val="0"/>
              <w:spacing w:before="0" w:after="283"/>
              <w:jc w:val="left"/>
              <w:rPr/>
            </w:pPr>
            <w:r>
              <w:rPr/>
              <w:t> </w:t>
            </w:r>
          </w:p>
        </w:tc>
        <w:tc>
          <w:tcPr>
            <w:tcW w:w="280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280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5"/>
        <w:gridCol w:w="650"/>
      </w:tblGrid>
      <w:tr>
        <w:trPr/>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 w:type="dxa"/>
        <w:jc w:val="left"/>
        <w:tblInd w:w="0" w:type="dxa"/>
        <w:tblLayout w:type="fixed"/>
        <w:tblCellMar>
          <w:top w:w="0" w:type="dxa"/>
          <w:left w:w="0" w:type="dxa"/>
          <w:bottom w:w="0" w:type="dxa"/>
          <w:right w:w="0" w:type="dxa"/>
        </w:tblCellMar>
      </w:tblPr>
      <w:tblGrid>
        <w:gridCol w:w="95"/>
      </w:tblGrid>
      <w:tr>
        <w:trPr/>
        <w:tc>
          <w:tcPr>
            <w:tcW w:w="95" w:type="dxa"/>
            <w:tcBorders/>
            <w:vAlign w:val="center"/>
          </w:tcPr>
          <w:p>
            <w:pPr>
              <w:pStyle w:val="TableContents"/>
              <w:bidi w:val="0"/>
              <w:spacing w:before="0" w:after="283"/>
              <w:jc w:val="center"/>
              <w:rPr/>
            </w:pPr>
            <w:r>
              <w:rPr/>
              <w:t> </w:t>
            </w:r>
          </w:p>
        </w:tc>
      </w:tr>
    </w:tbl>
    <w:tbl>
      <w:tblPr>
        <w:tblW w:w="95" w:type="dxa"/>
        <w:jc w:val="left"/>
        <w:tblInd w:w="0" w:type="dxa"/>
        <w:tblLayout w:type="fixed"/>
        <w:tblCellMar>
          <w:top w:w="0" w:type="dxa"/>
          <w:left w:w="0" w:type="dxa"/>
          <w:bottom w:w="0" w:type="dxa"/>
          <w:right w:w="0" w:type="dxa"/>
        </w:tblCellMar>
      </w:tblPr>
      <w:tblGrid>
        <w:gridCol w:w="95"/>
      </w:tblGrid>
      <w:tr>
        <w:trPr/>
        <w:tc>
          <w:tcPr>
            <w:tcW w:w="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Second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65"/>
        <w:gridCol w:w="365"/>
        <w:gridCol w:w="2015"/>
      </w:tblGrid>
      <w:tr>
        <w:trPr/>
        <w:tc>
          <w:tcPr>
            <w:tcW w:w="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875"/>
        <w:gridCol w:w="65"/>
        <w:gridCol w:w="1250"/>
        <w:gridCol w:w="65"/>
        <w:gridCol w:w="1250"/>
        <w:gridCol w:w="65"/>
        <w:gridCol w:w="1505"/>
        <w:gridCol w:w="65"/>
        <w:gridCol w:w="1115"/>
      </w:tblGrid>
      <w:tr>
        <w:trPr/>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w:t>
              <w:br/>
              <w:t>Amount of this</w:t>
              <w:br/>
              <w:t>Global Note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 xml:space="preserve">increase in </w:t>
              <w:br/>
              <w:t>Principal</w:t>
              <w:br/>
              <w:t>Amount of this</w:t>
              <w:br/>
              <w:t>Global Note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Global</w:t>
              <w:br/>
              <w:t xml:space="preserve">Note following </w:t>
              <w:br/>
              <w:t>such decrease or</w:t>
              <w:br/>
              <w:t>increase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authorized</w:t>
              <w:br/>
              <w:t xml:space="preserve">signatory of </w:t>
              <w:br/>
              <w:t>Trustee</w:t>
            </w:r>
          </w:p>
        </w:tc>
      </w:tr>
      <w:tr>
        <w:trPr/>
        <w:tc>
          <w:tcPr>
            <w:tcW w:w="87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2032</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January 10 and July 10 of each year, beginning on January 10, 2027. The Record Dates for payment of interest shall be December 26 and June 25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Second Supplemental Indenture, dated as of August 10, 2026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10, 2031 (one month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626"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30" w:name="tm2622643d1_ex4-4.htm"/>
      <w:bookmarkStart w:id="31" w:name="kstm2622643d1_ex44"/>
      <w:bookmarkEnd w:id="30"/>
      <w:bookmarkEnd w:id="31"/>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05"/>
        <w:gridCol w:w="8770"/>
        <w:gridCol w:w="155"/>
      </w:tblGrid>
      <w:tr>
        <w:trPr/>
        <w:tc>
          <w:tcPr>
            <w:tcW w:w="10050" w:type="dxa"/>
            <w:gridSpan w:val="3"/>
            <w:tcBorders/>
            <w:vAlign w:val="center"/>
          </w:tcPr>
          <w:p>
            <w:pPr>
              <w:pStyle w:val="TableContents"/>
              <w:bidi w:val="0"/>
              <w:spacing w:before="0" w:after="283"/>
              <w:jc w:val="left"/>
              <w:rPr/>
            </w:pPr>
            <w:r>
              <w:rPr/>
              <w:t>Article I DEFINITIONS</w:t>
            </w:r>
          </w:p>
        </w:tc>
        <w:tc>
          <w:tcPr>
            <w:tcW w:w="155" w:type="dxa"/>
            <w:tcBorders/>
            <w:vAlign w:val="center"/>
          </w:tcPr>
          <w:p>
            <w:pPr>
              <w:pStyle w:val="TableContents"/>
              <w:bidi w:val="0"/>
              <w:spacing w:before="0" w:after="283"/>
              <w:jc w:val="right"/>
              <w:rPr/>
            </w:pPr>
            <w:r>
              <w:rPr/>
              <w:t>1</w:t>
            </w:r>
          </w:p>
        </w:tc>
      </w:tr>
      <w:tr>
        <w:trPr/>
        <w:tc>
          <w:tcPr>
            <w:tcW w:w="10050" w:type="dxa"/>
            <w:gridSpan w:val="3"/>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1.1</w:t>
            </w:r>
          </w:p>
        </w:tc>
        <w:tc>
          <w:tcPr>
            <w:tcW w:w="8770" w:type="dxa"/>
            <w:tcBorders/>
            <w:vAlign w:val="center"/>
          </w:tcPr>
          <w:p>
            <w:pPr>
              <w:pStyle w:val="TableContents"/>
              <w:bidi w:val="0"/>
              <w:spacing w:before="0" w:after="283"/>
              <w:jc w:val="left"/>
              <w:rPr/>
            </w:pPr>
            <w:r>
              <w:rPr/>
              <w:t>Definitions</w:t>
            </w:r>
          </w:p>
        </w:tc>
        <w:tc>
          <w:tcPr>
            <w:tcW w:w="155" w:type="dxa"/>
            <w:tcBorders/>
            <w:vAlign w:val="center"/>
          </w:tcPr>
          <w:p>
            <w:pPr>
              <w:pStyle w:val="TableContents"/>
              <w:bidi w:val="0"/>
              <w:spacing w:before="0" w:after="283"/>
              <w:jc w:val="right"/>
              <w:rPr/>
            </w:pPr>
            <w:r>
              <w:rPr/>
              <w:t>1</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050" w:type="dxa"/>
            <w:gridSpan w:val="3"/>
            <w:tcBorders/>
            <w:vAlign w:val="center"/>
          </w:tcPr>
          <w:p>
            <w:pPr>
              <w:pStyle w:val="TableContents"/>
              <w:bidi w:val="0"/>
              <w:spacing w:before="0" w:after="283"/>
              <w:jc w:val="left"/>
              <w:rPr/>
            </w:pPr>
            <w:r>
              <w:rPr/>
              <w:t>Article II TERMS OF THE NOTES</w:t>
            </w:r>
          </w:p>
        </w:tc>
        <w:tc>
          <w:tcPr>
            <w:tcW w:w="155" w:type="dxa"/>
            <w:tcBorders/>
            <w:vAlign w:val="center"/>
          </w:tcPr>
          <w:p>
            <w:pPr>
              <w:pStyle w:val="TableContents"/>
              <w:bidi w:val="0"/>
              <w:spacing w:before="0" w:after="283"/>
              <w:jc w:val="right"/>
              <w:rPr/>
            </w:pPr>
            <w:r>
              <w:rPr/>
              <w:t>5</w:t>
            </w:r>
          </w:p>
        </w:tc>
      </w:tr>
      <w:tr>
        <w:trPr/>
        <w:tc>
          <w:tcPr>
            <w:tcW w:w="10050" w:type="dxa"/>
            <w:gridSpan w:val="3"/>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w:t>
            </w:r>
          </w:p>
        </w:tc>
        <w:tc>
          <w:tcPr>
            <w:tcW w:w="8770" w:type="dxa"/>
            <w:tcBorders/>
            <w:vAlign w:val="center"/>
          </w:tcPr>
          <w:p>
            <w:pPr>
              <w:pStyle w:val="TableContents"/>
              <w:bidi w:val="0"/>
              <w:spacing w:before="0" w:after="283"/>
              <w:jc w:val="left"/>
              <w:rPr/>
            </w:pPr>
            <w:r>
              <w:rPr/>
              <w:t>Title</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2.2</w:t>
            </w:r>
          </w:p>
        </w:tc>
        <w:tc>
          <w:tcPr>
            <w:tcW w:w="8770" w:type="dxa"/>
            <w:tcBorders/>
            <w:vAlign w:val="center"/>
          </w:tcPr>
          <w:p>
            <w:pPr>
              <w:pStyle w:val="TableContents"/>
              <w:bidi w:val="0"/>
              <w:spacing w:before="0" w:after="283"/>
              <w:jc w:val="left"/>
              <w:rPr/>
            </w:pPr>
            <w:r>
              <w:rPr/>
              <w:t>Aggregate Principal Amount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2.3</w:t>
            </w:r>
          </w:p>
        </w:tc>
        <w:tc>
          <w:tcPr>
            <w:tcW w:w="8770" w:type="dxa"/>
            <w:tcBorders/>
            <w:vAlign w:val="center"/>
          </w:tcPr>
          <w:p>
            <w:pPr>
              <w:pStyle w:val="TableContents"/>
              <w:bidi w:val="0"/>
              <w:spacing w:before="0" w:after="283"/>
              <w:jc w:val="left"/>
              <w:rPr/>
            </w:pPr>
            <w:r>
              <w:rPr/>
              <w:t>Maturity</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2.4</w:t>
            </w:r>
          </w:p>
        </w:tc>
        <w:tc>
          <w:tcPr>
            <w:tcW w:w="8770" w:type="dxa"/>
            <w:tcBorders/>
            <w:vAlign w:val="center"/>
          </w:tcPr>
          <w:p>
            <w:pPr>
              <w:pStyle w:val="TableContents"/>
              <w:bidi w:val="0"/>
              <w:spacing w:before="0" w:after="283"/>
              <w:jc w:val="left"/>
              <w:rPr/>
            </w:pPr>
            <w:r>
              <w:rPr/>
              <w:t>Interest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2.5</w:t>
            </w:r>
          </w:p>
        </w:tc>
        <w:tc>
          <w:tcPr>
            <w:tcW w:w="8770" w:type="dxa"/>
            <w:tcBorders/>
            <w:vAlign w:val="center"/>
          </w:tcPr>
          <w:p>
            <w:pPr>
              <w:pStyle w:val="TableContents"/>
              <w:bidi w:val="0"/>
              <w:spacing w:before="0" w:after="283"/>
              <w:jc w:val="left"/>
              <w:rPr/>
            </w:pPr>
            <w:r>
              <w:rPr/>
              <w:t>Place of Payment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2.6</w:t>
            </w:r>
          </w:p>
        </w:tc>
        <w:tc>
          <w:tcPr>
            <w:tcW w:w="8770" w:type="dxa"/>
            <w:tcBorders/>
            <w:vAlign w:val="center"/>
          </w:tcPr>
          <w:p>
            <w:pPr>
              <w:pStyle w:val="TableContents"/>
              <w:bidi w:val="0"/>
              <w:spacing w:before="0" w:after="283"/>
              <w:jc w:val="left"/>
              <w:rPr/>
            </w:pPr>
            <w:r>
              <w:rPr/>
              <w:t>Optional Redemption</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2.7</w:t>
            </w:r>
          </w:p>
        </w:tc>
        <w:tc>
          <w:tcPr>
            <w:tcW w:w="8770" w:type="dxa"/>
            <w:tcBorders/>
            <w:vAlign w:val="center"/>
          </w:tcPr>
          <w:p>
            <w:pPr>
              <w:pStyle w:val="TableContents"/>
              <w:bidi w:val="0"/>
              <w:spacing w:before="0" w:after="283"/>
              <w:jc w:val="left"/>
              <w:rPr/>
            </w:pPr>
            <w:r>
              <w:rPr/>
              <w:t>Change of Control Repurchase</w:t>
            </w:r>
          </w:p>
        </w:tc>
        <w:tc>
          <w:tcPr>
            <w:tcW w:w="155" w:type="dxa"/>
            <w:tcBorders/>
            <w:vAlign w:val="center"/>
          </w:tcPr>
          <w:p>
            <w:pPr>
              <w:pStyle w:val="TableContents"/>
              <w:bidi w:val="0"/>
              <w:spacing w:before="0" w:after="283"/>
              <w:jc w:val="right"/>
              <w:rPr/>
            </w:pPr>
            <w:r>
              <w:rPr/>
              <w:t>6</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2.8</w:t>
            </w:r>
          </w:p>
        </w:tc>
        <w:tc>
          <w:tcPr>
            <w:tcW w:w="8770" w:type="dxa"/>
            <w:tcBorders/>
            <w:vAlign w:val="center"/>
          </w:tcPr>
          <w:p>
            <w:pPr>
              <w:pStyle w:val="TableContents"/>
              <w:bidi w:val="0"/>
              <w:spacing w:before="0" w:after="283"/>
              <w:jc w:val="left"/>
              <w:rPr/>
            </w:pPr>
            <w:r>
              <w:rPr/>
              <w:t>Special Mandatory Redemption</w:t>
            </w:r>
          </w:p>
        </w:tc>
        <w:tc>
          <w:tcPr>
            <w:tcW w:w="155" w:type="dxa"/>
            <w:tcBorders/>
            <w:vAlign w:val="center"/>
          </w:tcPr>
          <w:p>
            <w:pPr>
              <w:pStyle w:val="TableContents"/>
              <w:bidi w:val="0"/>
              <w:spacing w:before="0" w:after="283"/>
              <w:jc w:val="right"/>
              <w:rPr/>
            </w:pPr>
            <w:r>
              <w:rPr/>
              <w:t>7</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2.9</w:t>
            </w:r>
          </w:p>
        </w:tc>
        <w:tc>
          <w:tcPr>
            <w:tcW w:w="8770" w:type="dxa"/>
            <w:tcBorders/>
            <w:vAlign w:val="center"/>
          </w:tcPr>
          <w:p>
            <w:pPr>
              <w:pStyle w:val="TableContents"/>
              <w:bidi w:val="0"/>
              <w:spacing w:before="0" w:after="283"/>
              <w:jc w:val="left"/>
              <w:rPr/>
            </w:pPr>
            <w:r>
              <w:rPr/>
              <w:t>Issue Date</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2.10</w:t>
            </w:r>
          </w:p>
        </w:tc>
        <w:tc>
          <w:tcPr>
            <w:tcW w:w="8770" w:type="dxa"/>
            <w:tcBorders/>
            <w:vAlign w:val="center"/>
          </w:tcPr>
          <w:p>
            <w:pPr>
              <w:pStyle w:val="TableContents"/>
              <w:bidi w:val="0"/>
              <w:spacing w:before="0" w:after="283"/>
              <w:jc w:val="left"/>
              <w:rPr/>
            </w:pPr>
            <w:r>
              <w:rPr/>
              <w:t>Issue Price</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2.11</w:t>
            </w:r>
          </w:p>
        </w:tc>
        <w:tc>
          <w:tcPr>
            <w:tcW w:w="8770" w:type="dxa"/>
            <w:tcBorders/>
            <w:vAlign w:val="center"/>
          </w:tcPr>
          <w:p>
            <w:pPr>
              <w:pStyle w:val="TableContents"/>
              <w:bidi w:val="0"/>
              <w:spacing w:before="0" w:after="283"/>
              <w:jc w:val="left"/>
              <w:rPr/>
            </w:pPr>
            <w:r>
              <w:rPr/>
              <w:t>Definitive and Global Notes</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2.12</w:t>
            </w:r>
          </w:p>
        </w:tc>
        <w:tc>
          <w:tcPr>
            <w:tcW w:w="8770" w:type="dxa"/>
            <w:tcBorders/>
            <w:vAlign w:val="center"/>
          </w:tcPr>
          <w:p>
            <w:pPr>
              <w:pStyle w:val="TableContents"/>
              <w:bidi w:val="0"/>
              <w:spacing w:before="0" w:after="283"/>
              <w:jc w:val="left"/>
              <w:rPr/>
            </w:pPr>
            <w:r>
              <w:rPr/>
              <w:t>Denomination</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2.13</w:t>
            </w:r>
          </w:p>
        </w:tc>
        <w:tc>
          <w:tcPr>
            <w:tcW w:w="8770" w:type="dxa"/>
            <w:tcBorders/>
            <w:vAlign w:val="center"/>
          </w:tcPr>
          <w:p>
            <w:pPr>
              <w:pStyle w:val="TableContents"/>
              <w:bidi w:val="0"/>
              <w:spacing w:before="0" w:after="283"/>
              <w:jc w:val="left"/>
              <w:rPr/>
            </w:pPr>
            <w:r>
              <w:rPr/>
              <w:t>Defeasance and Discharge of Covenants upon Deposit of Moneys, U.S. Government Obligations</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2.14</w:t>
            </w:r>
          </w:p>
        </w:tc>
        <w:tc>
          <w:tcPr>
            <w:tcW w:w="8770" w:type="dxa"/>
            <w:tcBorders/>
            <w:vAlign w:val="center"/>
          </w:tcPr>
          <w:p>
            <w:pPr>
              <w:pStyle w:val="TableContents"/>
              <w:bidi w:val="0"/>
              <w:spacing w:before="0" w:after="283"/>
              <w:jc w:val="left"/>
              <w:rPr/>
            </w:pPr>
            <w:r>
              <w:rPr/>
              <w:t>Events of Default</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$600,000,000 aggregate principal amount of 6.250% Senior Notes due 2036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Third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w:t>
      </w:r>
      <w:r>
        <w:rPr>
          <w:rFonts w:ascii="Times New Roman;Times;Serif" w:hAnsi="Times New Roman;Times;Serif"/>
          <w:b/>
          <w:i w:val="false"/>
          <w:caps/>
          <w:sz w:val="20"/>
          <w:u w:val="single"/>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Third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Third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has the meaning set forth in Section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May 10, 2036 (three months prior to the Maturity Date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has the meaning assigned in Section 2.8(b).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means this Third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Par Call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u w:val="single"/>
        </w:rPr>
        <w:br/>
        <w:b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“6.250% Senior Notes due 2036”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Third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August 10, 2036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6.250%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February 10 and August 10 of each year, beginning on February 10, 2027. The Record Dates for payment of interest shall be January 26 and July 26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Senior Notes shall be redeemable at any time, and from time to time,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w:t>
      </w:r>
      <w:r>
        <w:rPr>
          <w:rFonts w:ascii="Times New Roman;Times;Serif" w:hAnsi="Times New Roman;Times;Serif"/>
          <w:b w:val="false"/>
          <w:i w:val="false"/>
          <w:caps w:val="false"/>
          <w:smallCaps w:val="false"/>
          <w:sz w:val="20"/>
        </w:rPr>
        <w:t>30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2.8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If  (i) the consummation of the Mergers does not occur on or before 11:59 p.m. Pacific Time on November 3, 2027, (ii) the Issuer notifies the Trustee and the Holders of the Senior Notes that the Issuer will not pursue the consummation of the Mergers or (iii) the Merger Agreement has been terminated without the consummation of the Mergers (any event described in clause (i), (ii) or (iii), a “</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the Issuer will be required to redeem the Senior Notes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on the Special Mandatory Redemption Date at a redemption price equal to 101% of the aggregate principal amount of the Senior Notes, plus accrued and unpaid interest, if any, to, but not including,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In the event that the Issuer becomes obligated to redeem the Senior Notes pursuant to this Section 2.8, the Issuer will promptly, and in any event not more than ten Business Days after the date on which a Special Mandatory Redemption Trigger occurred, deliver notice to the Trustee and the Holders of the Senior Notes of the Special Mandatory Redemption and the date upon which the Senior Notes will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date shall be no earlier than five days and no later than thirty days following the date of such notice, unless some longer minimum period may be required by DTC) together with a notice of Special Mandatory Redemption for the Trustee to deliver to each registered Holder of Senior Notes to be redeemed. At the Issuer’s request, given at least two Business Days before such notice is to be sent, the Trustee will then promptly mail, or electronically deliver, according to the procedures of DTC, such notice of Special Mandatory Redemption to each registered Holder of the Senior Notes to be redeemed. Unless the Issuer defaults in payment of the Special Mandatory Redemption Price, on and after such Special Mandatory Redemption Date, interest will cease to accrue on the Senior Notes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Notwithstanding the foregoing, installments of interest on the Senior Notes that are due and payable on Interest Payment Dates falling on or prior to the Special Mandatory Redemption Date will be payable on such Interest Payment Dates to the registered Holders as of the close of business on the relevant Record Dates in accordance with the Senior Notes and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2.10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98.680%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2.11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2.12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2.13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Third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Third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2.14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addition to the Events of Default set forth in Section 4.01 of the Indenture, the Senior Notes shall include the following additional Event of Default designated as clause (7) of such Section, which shall be deemed an Event of Default under Section 4.01 of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rPr>
        <w:t xml:space="preserve">(7) a failure by the Issuer to redeem the Senior Notes following the occurrence of a Special Mandatory Redemption Trigger in conformity with </w:t>
      </w:r>
      <w:r>
        <w:rPr>
          <w:rFonts w:ascii="Times New Roman;Times;Serif" w:hAnsi="Times New Roman;Times;Serif"/>
          <w:b w:val="false"/>
          <w:i w:val="false"/>
          <w:caps w:val="false"/>
          <w:smallCaps w:val="false"/>
          <w:sz w:val="20"/>
        </w:rPr>
        <w:t>Section 2.8 of the Third Supplemental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Third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65"/>
        <w:gridCol w:w="545"/>
        <w:gridCol w:w="4025"/>
      </w:tblGrid>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689"/>
        <w:gridCol w:w="1029"/>
        <w:gridCol w:w="3521"/>
      </w:tblGrid>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caps w:val="false"/>
                <w:smallCaps w:val="false"/>
              </w:rPr>
            </w:pPr>
            <w:r>
              <w:rPr>
                <w:caps w:val="false"/>
                <w:smallCaps w:val="false"/>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caps w:val="false"/>
                <w:smallCaps w:val="false"/>
              </w:rPr>
            </w:pPr>
            <w:r>
              <w:rPr>
                <w:caps w:val="false"/>
                <w:smallCaps w:val="false"/>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3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83088MAR3</w:t>
        <w:br/>
        <w:t>ISIN No. US83088MAR34</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August 10, 2036.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10 and August 10, beginning on February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26 and July 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60"/>
        <w:gridCol w:w="1849"/>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Third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28" w:type="dxa"/>
          <w:right w:w="0" w:type="dxa"/>
        </w:tblCellMar>
      </w:tblPr>
      <w:tblGrid>
        <w:gridCol w:w="875"/>
        <w:gridCol w:w="60"/>
        <w:gridCol w:w="1250"/>
        <w:gridCol w:w="60"/>
        <w:gridCol w:w="1250"/>
        <w:gridCol w:w="60"/>
        <w:gridCol w:w="1505"/>
        <w:gridCol w:w="60"/>
        <w:gridCol w:w="1100"/>
      </w:tblGrid>
      <w:tr>
        <w:trPr/>
        <w:tc>
          <w:tcPr>
            <w:tcW w:w="8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w:t>
              <w:br/>
              <w:t>Amount of this</w:t>
              <w:br/>
              <w:t>Global 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w:t>
              <w:br/>
              <w:t>Amount of this</w:t>
              <w:br/>
              <w:t>Global 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Global</w:t>
              <w:br/>
              <w:t>Note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 xml:space="preserve">signatory of </w:t>
              <w:br/>
              <w:t>Trustee</w:t>
            </w:r>
          </w:p>
        </w:tc>
      </w:tr>
      <w:tr>
        <w:trPr/>
        <w:tc>
          <w:tcPr>
            <w:tcW w:w="87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Notes due 2036</w:t>
      </w:r>
    </w:p>
    <w:p>
      <w:pPr>
        <w:pStyle w:val="TextBody"/>
        <w:bidi w:val="0"/>
        <w:spacing w:before="0" w:after="0"/>
        <w:ind w:left="0" w:right="0" w:firstLine="72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February 10 and August 10 of each year, beginning on February 10, 2027. The Record Dates for payment of interest shall be January 26 and July 26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Third Supplemental Indenture, dated as of August 10, 2026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10, 2036 (three months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30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51" w:type="dxa"/>
            <w:tcBorders/>
            <w:vAlign w:val="center"/>
          </w:tcPr>
          <w:p>
            <w:pPr>
              <w:pStyle w:val="TableContents"/>
              <w:bidi w:val="0"/>
              <w:spacing w:before="0" w:after="283"/>
              <w:jc w:val="both"/>
              <w:rPr>
                <w:u w:val="single"/>
              </w:rPr>
            </w:pPr>
            <w:r>
              <w:rPr>
                <w:u w:val="single"/>
              </w:rPr>
              <w:t>Special Mandatory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required to redeem all outstanding Senior Notes upon the occurrence of a Special Mandatory Redemption Trigger, as described in Section 2.8 of the Third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45"/>
        <w:gridCol w:w="9358"/>
      </w:tblGrid>
      <w:tr>
        <w:trPr/>
        <w:tc>
          <w:tcPr>
            <w:tcW w:w="1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58"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22643d1_ex5-1.htm"/>
      <w:bookmarkStart w:id="33" w:name="kstm2622643d1_ex51"/>
      <w:bookmarkEnd w:id="32"/>
      <w:bookmarkEnd w:id="33"/>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smallCaps/>
          <w:sz w:val="28"/>
        </w:rPr>
      </w:pPr>
      <w:r>
        <w:rPr>
          <w:rFonts w:ascii="Times New Roman;Times;Serif" w:hAnsi="Times New Roman;Times;Serif"/>
          <w:b w:val="false"/>
          <w:i w:val="false"/>
          <w:smallCaps/>
          <w:sz w:val="28"/>
        </w:rPr>
        <w:t>Skadden, Arps, Slate, Meagher &amp; Flom llp</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ONE MANHATTAN WEST</w:t>
      </w:r>
    </w:p>
    <w:tbl>
      <w:tblPr>
        <w:tblW w:w="6360" w:type="dxa"/>
        <w:jc w:val="left"/>
        <w:tblInd w:w="0" w:type="dxa"/>
        <w:tblLayout w:type="fixed"/>
        <w:tblCellMar>
          <w:top w:w="0" w:type="dxa"/>
          <w:left w:w="0" w:type="dxa"/>
          <w:bottom w:w="0" w:type="dxa"/>
          <w:right w:w="0" w:type="dxa"/>
        </w:tblCellMar>
      </w:tblPr>
      <w:tblGrid>
        <w:gridCol w:w="2045"/>
        <w:gridCol w:w="1970"/>
        <w:gridCol w:w="2345"/>
      </w:tblGrid>
      <w:tr>
        <w:trPr/>
        <w:tc>
          <w:tcPr>
            <w:tcW w:w="2045" w:type="dxa"/>
            <w:tcBorders/>
            <w:vAlign w:val="center"/>
          </w:tcPr>
          <w:p>
            <w:pPr>
              <w:pStyle w:val="TableContents"/>
              <w:bidi w:val="0"/>
              <w:spacing w:before="0" w:after="283"/>
              <w:jc w:val="left"/>
              <w:rPr>
                <w:sz w:val="20"/>
              </w:rPr>
            </w:pPr>
            <w:r>
              <w:rPr>
                <w:sz w:val="20"/>
              </w:rPr>
              <w:t>Skyworks Solutions, Inc.</w:t>
              <w:br/>
              <w:t>5260 California Avenue</w:t>
              <w:br/>
              <w:t>Irvine, California 92617</w:t>
            </w:r>
          </w:p>
        </w:tc>
        <w:tc>
          <w:tcPr>
            <w:tcW w:w="197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NEW YORK, NY 10001</w:t>
            </w:r>
          </w:p>
          <w:p>
            <w:pPr>
              <w:pStyle w:val="TableContents"/>
              <w:bidi w:val="0"/>
              <w:spacing w:before="0" w:after="0"/>
              <w:ind w:left="0" w:right="0" w:hanging="0"/>
              <w:jc w:val="center"/>
              <w:rPr>
                <w:caps/>
              </w:rPr>
            </w:pPr>
            <w:r>
              <w:rPr>
                <w:caps/>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Tel: (212) 735-3000</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Fax: (212) 735-2000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c>
          <w:tcPr>
            <w:tcW w:w="234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FIRM/AFFILIATE OFFICES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BRUSSELS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FRANKFURT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SEOUL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3"/>
        <w:gridCol w:w="9548"/>
      </w:tblGrid>
      <w:tr>
        <w:trPr/>
        <w:tc>
          <w:tcPr>
            <w:tcW w:w="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pPr>
            <w:r>
              <w:rPr/>
              <w:t>Re:</w:t>
            </w:r>
          </w:p>
        </w:tc>
        <w:tc>
          <w:tcPr>
            <w:tcW w:w="9548" w:type="dxa"/>
            <w:tcBorders/>
            <w:vAlign w:val="center"/>
          </w:tcPr>
          <w:p>
            <w:pPr>
              <w:pStyle w:val="TableContents"/>
              <w:bidi w:val="0"/>
              <w:spacing w:before="0" w:after="283"/>
              <w:jc w:val="left"/>
              <w:rPr/>
            </w:pPr>
            <w:r>
              <w:rPr/>
              <w:t>Skyworks Solutions, Inc.</w:t>
              <w:br/>
            </w:r>
            <w:r>
              <w:rPr>
                <w:u w:val="single"/>
              </w:rPr>
              <w:t>Registration Statement on Form S-3 (File No. 333-297918)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Skyworks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public offering of (i) $800,000,000 aggregate principal amount of the Company’s 5.000%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(ii) $600,000,000 aggregate principal amount of the Company’s 5.750%% Senior Notes due 2032 (the “</w:t>
      </w:r>
      <w:r>
        <w:rPr>
          <w:rFonts w:ascii="Times New Roman;Times;Serif" w:hAnsi="Times New Roman;Times;Serif"/>
          <w:b w:val="false"/>
          <w:i w:val="false"/>
          <w:caps w:val="false"/>
          <w:smallCaps w:val="false"/>
          <w:sz w:val="20"/>
          <w:u w:val="single"/>
        </w:rPr>
        <w:t>2032 Notes</w:t>
      </w:r>
      <w:r>
        <w:rPr>
          <w:rFonts w:ascii="Times New Roman;Times;Serif" w:hAnsi="Times New Roman;Times;Serif"/>
          <w:b w:val="false"/>
          <w:i w:val="false"/>
          <w:caps w:val="false"/>
          <w:smallCaps w:val="false"/>
          <w:sz w:val="20"/>
        </w:rPr>
        <w:t>”) and (iii) $600,000,000 aggregate principal amount of the Company’s 6.250%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and, collectively with the 2028 Notes and the 2032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to be issued under the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Trust Company, National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the First Supplemental Indenture with respect to the 2028 Notes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2028 Notes Indenture</w:t>
      </w:r>
      <w:r>
        <w:rPr>
          <w:rFonts w:ascii="Times New Roman;Times;Serif" w:hAnsi="Times New Roman;Times;Serif"/>
          <w:b w:val="false"/>
          <w:i w:val="false"/>
          <w:caps w:val="false"/>
          <w:smallCaps w:val="false"/>
          <w:sz w:val="20"/>
        </w:rPr>
        <w:t>”), the Second Supplemental Indenture with respect to the 2032 Notes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2032 Notes Indenture</w:t>
      </w:r>
      <w:r>
        <w:rPr>
          <w:rFonts w:ascii="Times New Roman;Times;Serif" w:hAnsi="Times New Roman;Times;Serif"/>
          <w:b w:val="false"/>
          <w:i w:val="false"/>
          <w:caps w:val="false"/>
          <w:smallCaps w:val="false"/>
          <w:sz w:val="20"/>
        </w:rPr>
        <w:t>”) and the Third Supplemental Indenture with respect to the 2036 Notes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2036 Notes Indenture</w:t>
      </w:r>
      <w:r>
        <w:rPr>
          <w:rFonts w:ascii="Times New Roman;Times;Serif" w:hAnsi="Times New Roman;Times;Serif"/>
          <w:b w:val="false"/>
          <w:i w:val="false"/>
          <w:caps w:val="false"/>
          <w:smallCaps w:val="false"/>
          <w:sz w:val="20"/>
        </w:rPr>
        <w:t>”; the 2028 Notes Indenture, the 2032 Notes Indenture and the 2036 Notes Indenture, collectively, the “</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each dated as of August 10, 2026, between the Company and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examined and relied upon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registration statement on Form S-3ASR (File No. 333-297918) of the Company relating to the Notes and other securities of the Company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August 3, 2026 under the Securities Act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including the information deemed to be a part of the registration statement pursuant to Rule 430B of the Rules and Regulations (such registration statement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prospectus, dated August 3,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preliminary prospectus supplement, dated August 3, 2026 (together with the Base Prospectus,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relating to the offering of the Notes,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the prospectus supplement, dated August 4,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Notes,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an executed copy of the Underwriting Agreement, dated August 4,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among the Company and Goldman Sachs &amp; Co. LLC, BofA Securities, Inc., J.P. Morgan Securities LLC and Wells Fargo Securities, LLC, as representatives of the several Underwriters named therein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relating to the sale by the Company to the Underwriters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executed copies of the Indentures;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the global certificates evidencing the Notes, executed by the Company and registered in the name of Cede &amp; Co. (the “</w:t>
      </w:r>
      <w:r>
        <w:rPr>
          <w:rFonts w:ascii="Times New Roman;Times;Serif" w:hAnsi="Times New Roman;Times;Serif"/>
          <w:b w:val="false"/>
          <w:i w:val="false"/>
          <w:caps w:val="false"/>
          <w:smallCaps w:val="false"/>
          <w:sz w:val="20"/>
          <w:u w:val="single"/>
        </w:rPr>
        <w:t>Note Certificates</w:t>
      </w:r>
      <w:r>
        <w:rPr>
          <w:rFonts w:ascii="Times New Roman;Times;Serif" w:hAnsi="Times New Roman;Times;Serif"/>
          <w:b w:val="false"/>
          <w:i w:val="false"/>
          <w:caps w:val="false"/>
          <w:smallCaps w:val="false"/>
          <w:sz w:val="20"/>
        </w:rPr>
        <w:t>”), delivered by the Company to the Trustee for authentication and delivery;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sz w:val="20"/>
        </w:rPr>
        <w:t>an executed copy of a certificate of Robert J. Terry,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 copy of the Company’s Restated Certificate of Incorporation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certified by the Secretary of State of the State of Delaware as of July 31, 2026 and certified pursuant to the Secretary’s Certificate as being in effect on the date of the resolutions referred to below and as of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(j)               </w:t>
      </w:r>
      <w:r>
        <w:rPr>
          <w:rFonts w:ascii="Times New Roman;Times;Serif" w:hAnsi="Times New Roman;Times;Serif"/>
          <w:b w:val="false"/>
          <w:i w:val="false"/>
          <w:caps w:val="false"/>
          <w:smallCaps w:val="false"/>
          <w:sz w:val="20"/>
        </w:rPr>
        <w:t>a copy of the Company’s Fourth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certified pursuant to the Secretary’s Certificate as being in effect on the date of the resolutions referred to below and as of the date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(k)               </w:t>
      </w:r>
      <w:r>
        <w:rPr>
          <w:rFonts w:ascii="Times New Roman;Times;Serif" w:hAnsi="Times New Roman;Times;Serif"/>
          <w:b w:val="false"/>
          <w:i w:val="false"/>
          <w:caps w:val="false"/>
          <w:smallCaps w:val="false"/>
          <w:sz w:val="20"/>
        </w:rPr>
        <w:t>a copy of certain resolutions of the Board of Directors of the Company, certified pursuant to the Secretary’s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Underwriting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(i) the laws, of the State of New York and (ii)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(all of the foregoing being referred to as “</w:t>
      </w:r>
      <w:r>
        <w:rPr>
          <w:rFonts w:ascii="Times New Roman;Times;Serif" w:hAnsi="Times New Roman;Times;Serif"/>
          <w:b w:val="false"/>
          <w:i w:val="false"/>
          <w:caps w:val="false"/>
          <w:smallCaps w:val="false"/>
          <w:sz w:val="20"/>
          <w:u w:val="single"/>
        </w:rPr>
        <w:t>Opined-on Law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Underwriting Agreement, the Indentures and the Note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Note Certificates have been duly authorized by all requisite action on the part of the Company and duly executed by the Company under the DGCL, and when duly authenticated by the Trustee and issued and delivered by the Company against payment therefor in accordance with the terms of the Underwriting Agreement and the applicable Indenture, will constitute valid and binding obligations of the Company, enforceable against the Company in accordance with their terms under the laws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stated herein is subject to the following assumptions and qualifications: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governmental orders and by general principles of equity (regardless of whether enforcement is sought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opinion stated herein is limited to the agreements and documents specifically identified in the opinion contained herein (the “</w:t>
      </w:r>
      <w:r>
        <w:rPr>
          <w:rFonts w:ascii="Times New Roman;Times;Serif" w:hAnsi="Times New Roman;Times;Serif"/>
          <w:b w:val="false"/>
          <w:i w:val="false"/>
          <w:caps w:val="false"/>
          <w:smallCaps w:val="false"/>
          <w:sz w:val="20"/>
          <w:u w:val="single"/>
        </w:rPr>
        <w:t>Specified Documents</w:t>
      </w:r>
      <w:r>
        <w:rPr>
          <w:rFonts w:ascii="Times New Roman;Times;Serif" w:hAnsi="Times New Roman;Times;Serif"/>
          <w:b w:val="false"/>
          <w:i w:val="false"/>
          <w:caps w:val="false"/>
          <w:smallCaps w:val="false"/>
          <w:sz w:val="20"/>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sz w:val="20"/>
        </w:rPr>
        <w:t>subsequent to the effectiveness of the Base Indenture and immediately prior to the effectiveness of the First Supplemental Indenture, the Second Supplemental Indenture and the Third Supplemental Indenture, respectively, the Indenture has not been amended, restated, supplemented or otherwise modified in any way that affects or relates to the Note Certificates other than by the applicable Transaction Documents relating to each series of Notes;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to the extent that any opinion relates to the enforceability of the choice of New York law and choice of New York forum provisions contained in any Transaction 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 we have also assumed that, at all applicable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neither the execution and delivery by the Company of the Transaction Documents nor the performance by the Company of its obligations thereunder, including the issuance and sale of the Notes: (i) constituted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October 3, 2025), (ii) contravened or will contravene any order or decree of any governmental authority to which the Company or its properties is subject, or (iii) violated or will violate any law, rule or regulation to which the Company or its properties is subject (except that we do not make the assumption set forth in this clause (iii) with respect to the Opined-on Law);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7" w:right="0" w:hanging="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73491</Words>
  <Characters>374030</Characters>
  <CharactersWithSpaces>455368</CharactersWithSpaces>
  <Paragraphs>4413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