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88" w:before="0" w:after="0"/>
        <w:ind w:left="0" w:right="0" w:firstLine="360"/>
        <w:jc w:val="left"/>
        <w:rPr/>
      </w:pP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January 2,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0" w:after="0"/>
        <w:ind w:left="0" w:right="0" w:firstLine="360"/>
        <w:jc w:val="left"/>
        <w:rPr/>
      </w:pP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For the transition period from __________to__________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001-05560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Skyworks Solutions, Inc. </w:t>
      </w:r>
    </w:p>
    <w:p>
      <w:pPr>
        <w:pStyle w:val="TextBody"/>
        <w:bidi w:val="0"/>
        <w:spacing w:lineRule="auto" w:line="288" w:before="0" w:after="16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44" w:type="dxa"/>
        <w:jc w:val="center"/>
        <w:tblInd w:w="0" w:type="dxa"/>
        <w:tblLayout w:type="fixed"/>
        <w:tblCellMar>
          <w:top w:w="28" w:type="dxa"/>
          <w:left w:w="28" w:type="dxa"/>
          <w:bottom w:w="28" w:type="dxa"/>
          <w:right w:w="28" w:type="dxa"/>
        </w:tblCellMar>
      </w:tblPr>
      <w:tblGrid>
        <w:gridCol w:w="1562"/>
        <w:gridCol w:w="1371"/>
        <w:gridCol w:w="1387"/>
        <w:gridCol w:w="766"/>
        <w:gridCol w:w="766"/>
        <w:gridCol w:w="1092"/>
      </w:tblGrid>
      <w:tr>
        <w:trPr/>
        <w:tc>
          <w:tcPr>
            <w:tcW w:w="15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04-2302115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5260 California Avenue</w:t>
            </w:r>
          </w:p>
        </w:tc>
        <w:tc>
          <w:tcPr>
            <w:tcW w:w="2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92617</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Irvine, California</w:t>
            </w:r>
          </w:p>
        </w:tc>
        <w:tc>
          <w:tcPr>
            <w:tcW w:w="26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bl>
    <w:tbl>
      <w:tblPr>
        <w:tblW w:w="3878" w:type="dxa"/>
        <w:jc w:val="center"/>
        <w:tblInd w:w="0" w:type="dxa"/>
        <w:tblLayout w:type="fixed"/>
        <w:tblCellMar>
          <w:top w:w="28" w:type="dxa"/>
          <w:left w:w="28" w:type="dxa"/>
          <w:bottom w:w="28" w:type="dxa"/>
          <w:right w:w="28" w:type="dxa"/>
        </w:tblCellMar>
      </w:tblPr>
      <w:tblGrid>
        <w:gridCol w:w="223"/>
        <w:gridCol w:w="196"/>
        <w:gridCol w:w="196"/>
        <w:gridCol w:w="323"/>
        <w:gridCol w:w="323"/>
        <w:gridCol w:w="326"/>
        <w:gridCol w:w="539"/>
        <w:gridCol w:w="539"/>
        <w:gridCol w:w="543"/>
        <w:gridCol w:w="196"/>
        <w:gridCol w:w="196"/>
        <w:gridCol w:w="278"/>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(949)</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231-3000</w:t>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8" w:type="dxa"/>
            <w:gridSpan w:val="12"/>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824" w:type="dxa"/>
        <w:jc w:val="center"/>
        <w:tblInd w:w="0" w:type="dxa"/>
        <w:tblLayout w:type="fixed"/>
        <w:tblCellMar>
          <w:top w:w="28" w:type="dxa"/>
          <w:left w:w="28" w:type="dxa"/>
          <w:bottom w:w="28" w:type="dxa"/>
          <w:right w:w="28" w:type="dxa"/>
        </w:tblCellMar>
      </w:tblPr>
      <w:tblGrid>
        <w:gridCol w:w="566"/>
        <w:gridCol w:w="498"/>
        <w:gridCol w:w="498"/>
        <w:gridCol w:w="498"/>
        <w:gridCol w:w="498"/>
        <w:gridCol w:w="498"/>
        <w:gridCol w:w="484"/>
        <w:gridCol w:w="484"/>
        <w:gridCol w:w="486"/>
        <w:gridCol w:w="970"/>
        <w:gridCol w:w="970"/>
        <w:gridCol w:w="1374"/>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$0.25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SWKS</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0" w:after="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 xml:space="preserve">No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6"/>
        </w:rPr>
        <w:t>Yes</w:t>
      </w:r>
      <w:r>
        <w:rPr>
          <w:color w:val="000000"/>
        </w:rPr>
        <w:t xml:space="preserve"> ☐ </w:t>
      </w:r>
      <w:r>
        <w:rPr>
          <w:rFonts w:ascii="Times New Roman;serif" w:hAnsi="Times New Roman;serif"/>
          <w:b w:val="false"/>
          <w:color w:val="000000"/>
          <w:sz w:val="16"/>
        </w:rPr>
        <w:t>No</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14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99"/>
        <w:gridCol w:w="499"/>
        <w:gridCol w:w="501"/>
        <w:gridCol w:w="604"/>
        <w:gridCol w:w="604"/>
        <w:gridCol w:w="606"/>
        <w:gridCol w:w="704"/>
        <w:gridCol w:w="704"/>
        <w:gridCol w:w="707"/>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Accelerated filer </w:t>
            </w:r>
            <w:r>
              <w:rPr>
                <w:color w:val="000000"/>
              </w:rPr>
              <w:t>☐</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Non-accelerated filer </w:t>
            </w:r>
            <w:r>
              <w:rPr>
                <w:color w:val="000000"/>
              </w:rPr>
              <w:t>☐</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As of February 3, 2026, the registrant had 150,373,612 shares of common stock, par value $0.25 per share,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SKYWORKS SOLUTIONS,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QUARTERLY REPORT ON FORM 10-Q</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 ENDED JANUARY 2,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10094" w:type="dxa"/>
        <w:jc w:val="left"/>
        <w:tblInd w:w="0" w:type="dxa"/>
        <w:tblLayout w:type="fixed"/>
        <w:tblCellMar>
          <w:top w:w="28" w:type="dxa"/>
          <w:left w:w="28" w:type="dxa"/>
          <w:bottom w:w="28" w:type="dxa"/>
          <w:right w:w="28" w:type="dxa"/>
        </w:tblCellMar>
      </w:tblPr>
      <w:tblGrid>
        <w:gridCol w:w="3302"/>
        <w:gridCol w:w="2899"/>
        <w:gridCol w:w="2904"/>
        <w:gridCol w:w="288"/>
        <w:gridCol w:w="288"/>
        <w:gridCol w:w="413"/>
      </w:tblGrid>
      <w:tr>
        <w:trPr/>
        <w:tc>
          <w:tcPr>
            <w:tcW w:w="3302"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 NO.</w:t>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10">
              <w:r>
                <w:rPr>
                  <w:rStyle w:val="InternetLink"/>
                  <w:rFonts w:ascii="Times New Roman;serif" w:hAnsi="Times New Roman;serif"/>
                  <w:b w:val="false"/>
                  <w:color w:val="0000FF"/>
                  <w:sz w:val="16"/>
                  <w:u w:val="single"/>
                </w:rPr>
                <w:t>PART I. FINANCIAL INFORMATION</w:t>
              </w:r>
            </w:hyperlink>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13">
              <w:r>
                <w:rPr>
                  <w:rStyle w:val="InternetLink"/>
                  <w:rFonts w:ascii="Times New Roman;serif" w:hAnsi="Times New Roman;serif"/>
                  <w:b w:val="false"/>
                  <w:color w:val="0000FF"/>
                  <w:sz w:val="16"/>
                  <w:u w:val="single"/>
                </w:rPr>
                <w:t>ITEM 1: FINANCIAL STATEMENTS (UNAUDITED)</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10">
              <w:r>
                <w:rPr>
                  <w:rStyle w:val="InternetLink"/>
                  <w:rFonts w:ascii="Times New Roman;serif" w:hAnsi="Times New Roman;serif"/>
                  <w:b w:val="false"/>
                  <w:color w:val="0000FF"/>
                  <w:sz w:val="18"/>
                  <w:u w:val="single"/>
                </w:rPr>
                <w:t>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16">
              <w:r>
                <w:rPr>
                  <w:rStyle w:val="InternetLink"/>
                  <w:rFonts w:ascii="Times New Roman;serif" w:hAnsi="Times New Roman;serif"/>
                  <w:b w:val="false"/>
                  <w:color w:val="0000FF"/>
                  <w:sz w:val="16"/>
                  <w:u w:val="single"/>
                </w:rPr>
                <w:t>CONSOLIDATED STATEMENTS OF OPERATIONS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16">
              <w:r>
                <w:rPr>
                  <w:rStyle w:val="InternetLink"/>
                  <w:rFonts w:ascii="Times New Roman;serif" w:hAnsi="Times New Roman;serif"/>
                  <w:b w:val="false"/>
                  <w:color w:val="0000FF"/>
                  <w:sz w:val="18"/>
                  <w:u w:val="single"/>
                </w:rPr>
                <w:t>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19">
              <w:r>
                <w:rPr>
                  <w:rStyle w:val="InternetLink"/>
                  <w:rFonts w:ascii="Times New Roman;serif" w:hAnsi="Times New Roman;serif"/>
                  <w:b w:val="false"/>
                  <w:color w:val="0000FF"/>
                  <w:sz w:val="16"/>
                  <w:u w:val="single"/>
                </w:rPr>
                <w:t>CONSOLIDATED STATEMENTS OF COMPREHENSIVE INCOME</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19">
              <w:r>
                <w:rPr>
                  <w:rStyle w:val="InternetLink"/>
                  <w:rFonts w:ascii="Times New Roman;serif" w:hAnsi="Times New Roman;serif"/>
                  <w:b w:val="false"/>
                  <w:color w:val="0000FF"/>
                  <w:sz w:val="18"/>
                  <w:u w:val="single"/>
                </w:rPr>
                <w:t>3</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22">
              <w:r>
                <w:rPr>
                  <w:rStyle w:val="InternetLink"/>
                  <w:rFonts w:ascii="Times New Roman;serif" w:hAnsi="Times New Roman;serif"/>
                  <w:b w:val="false"/>
                  <w:color w:val="0000FF"/>
                  <w:sz w:val="16"/>
                  <w:u w:val="single"/>
                </w:rPr>
                <w:t>CONSOLIDATED BALANCE SHEETS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22">
              <w:r>
                <w:rPr>
                  <w:rStyle w:val="InternetLink"/>
                  <w:rFonts w:ascii="Times New Roman;serif" w:hAnsi="Times New Roman;serif"/>
                  <w:b w:val="false"/>
                  <w:color w:val="0000FF"/>
                  <w:sz w:val="18"/>
                  <w:u w:val="single"/>
                </w:rPr>
                <w:t>4</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25">
              <w:r>
                <w:rPr>
                  <w:rStyle w:val="InternetLink"/>
                  <w:rFonts w:ascii="Times New Roman;serif" w:hAnsi="Times New Roman;serif"/>
                  <w:b w:val="false"/>
                  <w:color w:val="0000FF"/>
                  <w:sz w:val="16"/>
                  <w:u w:val="single"/>
                </w:rPr>
                <w:t>CONSOLIDATED STATEMENTS OF CASH FLOWS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25">
              <w:r>
                <w:rPr>
                  <w:rStyle w:val="InternetLink"/>
                  <w:rFonts w:ascii="Times New Roman;serif" w:hAnsi="Times New Roman;serif"/>
                  <w:b w:val="false"/>
                  <w:color w:val="0000FF"/>
                  <w:sz w:val="18"/>
                  <w:u w:val="single"/>
                </w:rPr>
                <w:t>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28">
              <w:r>
                <w:rPr>
                  <w:rStyle w:val="InternetLink"/>
                  <w:rFonts w:ascii="Times New Roman;serif" w:hAnsi="Times New Roman;serif"/>
                  <w:b w:val="false"/>
                  <w:color w:val="0000FF"/>
                  <w:sz w:val="16"/>
                  <w:u w:val="single"/>
                </w:rPr>
                <w:t>CONSOLIDATED STATEMENTS OF STOCKHOLDERS' EQUITY</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28">
              <w:r>
                <w:rPr>
                  <w:rStyle w:val="InternetLink"/>
                  <w:rFonts w:ascii="Times New Roman;serif" w:hAnsi="Times New Roman;serif"/>
                  <w:b w:val="false"/>
                  <w:color w:val="0000FF"/>
                  <w:sz w:val="18"/>
                  <w:u w:val="single"/>
                </w:rPr>
                <w:t>6</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31">
              <w:r>
                <w:rPr>
                  <w:rStyle w:val="InternetLink"/>
                  <w:rFonts w:ascii="Times New Roman;serif" w:hAnsi="Times New Roman;serif"/>
                  <w:b w:val="false"/>
                  <w:color w:val="0000FF"/>
                  <w:sz w:val="16"/>
                  <w:u w:val="single"/>
                </w:rPr>
                <w:t>NOTES TO CONSOLIDATED FINANCIAL STATEMENTS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31">
              <w:r>
                <w:rPr>
                  <w:rStyle w:val="InternetLink"/>
                  <w:rFonts w:ascii="Times New Roman;serif" w:hAnsi="Times New Roman;serif"/>
                  <w:b w:val="false"/>
                  <w:color w:val="0000FF"/>
                  <w:sz w:val="18"/>
                  <w:u w:val="single"/>
                </w:rPr>
                <w:t>7</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73">
              <w:r>
                <w:rPr>
                  <w:rStyle w:val="InternetLink"/>
                  <w:rFonts w:ascii="Times New Roman;serif" w:hAnsi="Times New Roman;serif"/>
                  <w:b w:val="false"/>
                  <w:color w:val="0000FF"/>
                  <w:sz w:val="16"/>
                  <w:u w:val="single"/>
                </w:rPr>
                <w:t>ITEM 2: MANAGEMENT’S DISCUSSION AND ANALYSIS OF FINANCIAL CONDITION AND RESULTS OF OPERATIONS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73">
              <w:r>
                <w:rPr>
                  <w:rStyle w:val="InternetLink"/>
                  <w:rFonts w:ascii="Times New Roman;serif" w:hAnsi="Times New Roman;serif"/>
                  <w:b w:val="false"/>
                  <w:color w:val="0000FF"/>
                  <w:sz w:val="18"/>
                  <w:u w:val="single"/>
                </w:rPr>
                <w:t>16</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85">
              <w:r>
                <w:rPr>
                  <w:rStyle w:val="InternetLink"/>
                  <w:rFonts w:ascii="Times New Roman;serif" w:hAnsi="Times New Roman;serif"/>
                  <w:b w:val="false"/>
                  <w:color w:val="0000FF"/>
                  <w:sz w:val="16"/>
                  <w:u w:val="single"/>
                </w:rPr>
                <w:t>ITEM 3: QUANTITATIVE AND QUALITATIVE DISCLOSURES ABOUT MARKET RISK</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85">
              <w:r>
                <w:rPr>
                  <w:rStyle w:val="InternetLink"/>
                  <w:rFonts w:ascii="Times New Roman;serif" w:hAnsi="Times New Roman;serif"/>
                  <w:b w:val="false"/>
                  <w:color w:val="0000FF"/>
                  <w:sz w:val="18"/>
                  <w:u w:val="single"/>
                </w:rPr>
                <w:t>23</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88">
              <w:r>
                <w:rPr>
                  <w:rStyle w:val="InternetLink"/>
                  <w:rFonts w:ascii="Times New Roman;serif" w:hAnsi="Times New Roman;serif"/>
                  <w:b w:val="false"/>
                  <w:color w:val="0000FF"/>
                  <w:sz w:val="16"/>
                  <w:u w:val="single"/>
                </w:rPr>
                <w:t>ITEM 4: CONTROLS AND PROCEDURES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88">
              <w:r>
                <w:rPr>
                  <w:rStyle w:val="InternetLink"/>
                  <w:rFonts w:ascii="Times New Roman;serif" w:hAnsi="Times New Roman;serif"/>
                  <w:b w:val="false"/>
                  <w:color w:val="0000FF"/>
                  <w:sz w:val="18"/>
                  <w:u w:val="single"/>
                </w:rPr>
                <w:t>23</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91">
              <w:r>
                <w:rPr>
                  <w:rStyle w:val="InternetLink"/>
                  <w:rFonts w:ascii="Times New Roman;serif" w:hAnsi="Times New Roman;serif"/>
                  <w:b w:val="false"/>
                  <w:color w:val="0000FF"/>
                  <w:sz w:val="16"/>
                  <w:u w:val="single"/>
                </w:rPr>
                <w:t>PART II. OTHER INFORMATION</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94">
              <w:r>
                <w:rPr>
                  <w:rStyle w:val="InternetLink"/>
                  <w:rFonts w:ascii="Times New Roman;serif" w:hAnsi="Times New Roman;serif"/>
                  <w:b w:val="false"/>
                  <w:color w:val="0000FF"/>
                  <w:sz w:val="18"/>
                  <w:u w:val="single"/>
                </w:rPr>
                <w:t>25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94">
              <w:r>
                <w:rPr>
                  <w:rStyle w:val="InternetLink"/>
                  <w:rFonts w:ascii="Times New Roman;serif" w:hAnsi="Times New Roman;serif"/>
                  <w:b w:val="false"/>
                  <w:color w:val="0000FF"/>
                  <w:sz w:val="16"/>
                  <w:u w:val="single"/>
                </w:rPr>
                <w:t>ITEM 1: LEGAL PROCEEDINGS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94">
              <w:r>
                <w:rPr>
                  <w:rStyle w:val="InternetLink"/>
                  <w:rFonts w:ascii="Times New Roman;serif" w:hAnsi="Times New Roman;serif"/>
                  <w:b w:val="false"/>
                  <w:color w:val="0000FF"/>
                  <w:sz w:val="18"/>
                  <w:u w:val="single"/>
                </w:rPr>
                <w:t>25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97">
              <w:r>
                <w:rPr>
                  <w:rStyle w:val="InternetLink"/>
                  <w:rFonts w:ascii="Times New Roman;serif" w:hAnsi="Times New Roman;serif"/>
                  <w:b w:val="false"/>
                  <w:color w:val="0000FF"/>
                  <w:sz w:val="16"/>
                  <w:u w:val="single"/>
                </w:rPr>
                <w:t>ITEM 1A: RISK FACTORS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97">
              <w:r>
                <w:rPr>
                  <w:rStyle w:val="InternetLink"/>
                  <w:rFonts w:ascii="Times New Roman;serif" w:hAnsi="Times New Roman;serif"/>
                  <w:b w:val="false"/>
                  <w:color w:val="0000FF"/>
                  <w:sz w:val="18"/>
                  <w:u w:val="single"/>
                </w:rPr>
                <w:t>25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100">
              <w:r>
                <w:rPr>
                  <w:rStyle w:val="InternetLink"/>
                  <w:rFonts w:ascii="Times New Roman;serif" w:hAnsi="Times New Roman;serif"/>
                  <w:b w:val="false"/>
                  <w:color w:val="0000FF"/>
                  <w:sz w:val="16"/>
                  <w:u w:val="single"/>
                </w:rPr>
                <w:t>ITEM 2: UNREGISTERED SALES OF EQUITY SECURITIES AND USE OF PROCEEDS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100">
              <w:r>
                <w:rPr>
                  <w:rStyle w:val="InternetLink"/>
                  <w:rFonts w:ascii="Times New Roman;serif" w:hAnsi="Times New Roman;serif"/>
                  <w:b w:val="false"/>
                  <w:color w:val="0000FF"/>
                  <w:sz w:val="18"/>
                  <w:u w:val="single"/>
                </w:rPr>
                <w:t>25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910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106">
              <w:r>
                <w:rPr>
                  <w:rStyle w:val="InternetLink"/>
                  <w:rFonts w:ascii="Times New Roman;serif" w:hAnsi="Times New Roman;serif"/>
                  <w:b w:val="false"/>
                  <w:color w:val="0000FF"/>
                  <w:sz w:val="16"/>
                  <w:u w:val="single"/>
                </w:rPr>
                <w:t>ITEM 6: EXHIBITS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106">
              <w:r>
                <w:rPr>
                  <w:rStyle w:val="InternetLink"/>
                  <w:rFonts w:ascii="Times New Roman;serif" w:hAnsi="Times New Roman;serif"/>
                  <w:b w:val="false"/>
                  <w:color w:val="0000FF"/>
                  <w:sz w:val="18"/>
                  <w:u w:val="single"/>
                </w:rPr>
                <w:t>26</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d5e9beceb4b9caa404847d7f80d49_109">
              <w:r>
                <w:rPr>
                  <w:rStyle w:val="InternetLink"/>
                  <w:rFonts w:ascii="Times New Roman;serif" w:hAnsi="Times New Roman;serif"/>
                  <w:b w:val="false"/>
                  <w:color w:val="0000FF"/>
                  <w:sz w:val="16"/>
                  <w:u w:val="single"/>
                </w:rPr>
                <w:t>SIGNATURES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d5e9beceb4b9caa404847d7f80d49_109">
              <w:r>
                <w:rPr>
                  <w:rStyle w:val="InternetLink"/>
                  <w:rFonts w:ascii="Times New Roman;serif" w:hAnsi="Times New Roman;serif"/>
                  <w:b w:val="false"/>
                  <w:color w:val="0000FF"/>
                  <w:sz w:val="18"/>
                  <w:u w:val="singl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1.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millions, except per share amounts) </w:t>
      </w:r>
    </w:p>
    <w:tbl>
      <w:tblPr>
        <w:tblW w:w="7453" w:type="dxa"/>
        <w:jc w:val="left"/>
        <w:tblInd w:w="0" w:type="dxa"/>
        <w:tblLayout w:type="fixed"/>
        <w:tblCellMar>
          <w:top w:w="28" w:type="dxa"/>
          <w:left w:w="28" w:type="dxa"/>
          <w:bottom w:w="28" w:type="dxa"/>
          <w:right w:w="28" w:type="dxa"/>
        </w:tblCellMar>
      </w:tblPr>
      <w:tblGrid>
        <w:gridCol w:w="1363"/>
        <w:gridCol w:w="1200"/>
        <w:gridCol w:w="1202"/>
        <w:gridCol w:w="259"/>
        <w:gridCol w:w="942"/>
        <w:gridCol w:w="134"/>
        <w:gridCol w:w="109"/>
        <w:gridCol w:w="109"/>
        <w:gridCol w:w="109"/>
        <w:gridCol w:w="300"/>
        <w:gridCol w:w="1090"/>
        <w:gridCol w:w="155"/>
        <w:gridCol w:w="109"/>
        <w:gridCol w:w="109"/>
        <w:gridCol w:w="109"/>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millions) </w:t>
      </w:r>
    </w:p>
    <w:tbl>
      <w:tblPr>
        <w:tblW w:w="6808" w:type="dxa"/>
        <w:jc w:val="left"/>
        <w:tblInd w:w="0" w:type="dxa"/>
        <w:tblLayout w:type="fixed"/>
        <w:tblCellMar>
          <w:top w:w="28" w:type="dxa"/>
          <w:left w:w="28" w:type="dxa"/>
          <w:bottom w:w="28" w:type="dxa"/>
          <w:right w:w="28" w:type="dxa"/>
        </w:tblCellMar>
      </w:tblPr>
      <w:tblGrid>
        <w:gridCol w:w="1129"/>
        <w:gridCol w:w="991"/>
        <w:gridCol w:w="1000"/>
        <w:gridCol w:w="339"/>
        <w:gridCol w:w="821"/>
        <w:gridCol w:w="175"/>
        <w:gridCol w:w="109"/>
        <w:gridCol w:w="109"/>
        <w:gridCol w:w="109"/>
        <w:gridCol w:w="348"/>
        <w:gridCol w:w="1017"/>
        <w:gridCol w:w="180"/>
        <w:gridCol w:w="109"/>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investments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2995"/>
        <w:gridCol w:w="2237"/>
        <w:gridCol w:w="2214"/>
        <w:gridCol w:w="232"/>
        <w:gridCol w:w="846"/>
        <w:gridCol w:w="120"/>
        <w:gridCol w:w="109"/>
        <w:gridCol w:w="109"/>
        <w:gridCol w:w="109"/>
        <w:gridCol w:w="229"/>
        <w:gridCol w:w="833"/>
        <w:gridCol w:w="172"/>
      </w:tblGrid>
      <w:tr>
        <w:trPr/>
        <w:tc>
          <w:tcPr>
            <w:tcW w:w="2995"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securities </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allowances of $0.9 and $0.9, respectively</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25.0 shares authorized, no shares issued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$0.25 par value: 525.0 shares authorized; 149.9 shares issued and outstanding at January 2, 2026, and 148.7 shares issued and outstanding at October 3, 2025</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9970" w:type="dxa"/>
        <w:jc w:val="left"/>
        <w:tblInd w:w="0" w:type="dxa"/>
        <w:tblLayout w:type="fixed"/>
        <w:tblCellMar>
          <w:top w:w="28" w:type="dxa"/>
          <w:left w:w="28" w:type="dxa"/>
          <w:bottom w:w="28" w:type="dxa"/>
          <w:right w:w="28" w:type="dxa"/>
        </w:tblCellMar>
      </w:tblPr>
      <w:tblGrid>
        <w:gridCol w:w="2429"/>
        <w:gridCol w:w="2138"/>
        <w:gridCol w:w="2152"/>
        <w:gridCol w:w="259"/>
        <w:gridCol w:w="942"/>
        <w:gridCol w:w="134"/>
        <w:gridCol w:w="109"/>
        <w:gridCol w:w="109"/>
        <w:gridCol w:w="109"/>
        <w:gridCol w:w="296"/>
        <w:gridCol w:w="1077"/>
        <w:gridCol w:w="216"/>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long-term assets and liabilities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intangibles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investing activities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 payroll tax withholdings on equity awards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Incentives paid in common stock</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in purchased intangibles, accrued but not paid</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in capital expenditures, accrued but not paid</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new lease liabilities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pPr>
      <w:r>
        <w:rPr>
          <w:rFonts w:ascii="Times New Roman;serif" w:hAnsi="Times New Roman;serif"/>
          <w:b/>
          <w:color w:val="000000"/>
          <w:sz w:val="20"/>
        </w:rPr>
        <w:t>CONSOLIDATED STATEMENTS OF STOCKHOLDERS’ EQUITY</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806"/>
        <w:gridCol w:w="466"/>
        <w:gridCol w:w="469"/>
        <w:gridCol w:w="345"/>
        <w:gridCol w:w="304"/>
        <w:gridCol w:w="305"/>
        <w:gridCol w:w="109"/>
        <w:gridCol w:w="109"/>
        <w:gridCol w:w="109"/>
        <w:gridCol w:w="239"/>
        <w:gridCol w:w="570"/>
        <w:gridCol w:w="133"/>
        <w:gridCol w:w="109"/>
        <w:gridCol w:w="109"/>
        <w:gridCol w:w="109"/>
        <w:gridCol w:w="243"/>
        <w:gridCol w:w="692"/>
        <w:gridCol w:w="137"/>
        <w:gridCol w:w="109"/>
        <w:gridCol w:w="109"/>
        <w:gridCol w:w="109"/>
        <w:gridCol w:w="208"/>
        <w:gridCol w:w="734"/>
        <w:gridCol w:w="115"/>
        <w:gridCol w:w="109"/>
        <w:gridCol w:w="109"/>
        <w:gridCol w:w="109"/>
        <w:gridCol w:w="413"/>
        <w:gridCol w:w="826"/>
        <w:gridCol w:w="232"/>
        <w:gridCol w:w="109"/>
        <w:gridCol w:w="109"/>
        <w:gridCol w:w="109"/>
        <w:gridCol w:w="248"/>
        <w:gridCol w:w="877"/>
        <w:gridCol w:w="208"/>
      </w:tblGrid>
      <w:tr>
        <w:trPr/>
        <w:tc>
          <w:tcPr>
            <w:tcW w:w="8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 value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stockholders</w:t>
            </w:r>
            <w:r>
              <w:rPr>
                <w:color w:val="000000"/>
              </w:rPr>
              <w:t xml:space="preserve">’ </w:t>
            </w:r>
            <w:r>
              <w:rPr>
                <w:rFonts w:ascii="Times New Roman;serif" w:hAnsi="Times New Roman;serif"/>
                <w:b/>
                <w:color w:val="000000"/>
                <w:sz w:val="18"/>
              </w:rPr>
              <w:t>equity</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October 3, 2025</w:t>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5,757.1 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January 2, 2026</w:t>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5,758.9 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September 27, 2024</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27, 2024</w:t>
            </w:r>
          </w:p>
        </w:tc>
        <w:tc>
          <w:tcPr>
            <w:tcW w:w="6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6,400.7 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DESCRIPTION OF BUSINESS AND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Skyworks Solutions, Inc., together with its consolidated subsidiaries (“Skyworks” or the “Company”),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have been prepared pursuant to the rules and regulations of the Securities and Exchange Commission (“SEC”) for interim financial reporting. Certain information and footnote disclosures, normally included in annual consolidated financial statements prepared in accordance with accounting principles generally accepted in the United States of America (“GAAP”), have been condensed or omitted pursuant to those rules and regulations. However, in management’s opinion, the financial information reflects all adjustments, including those of a normal recurring nature, necessary to present fairly the results of operations, financial position, and cash flows of the Company for the periods presented. The results of operations, financial position, and cash flows for the Company during the interim periods are not necessarily indicative of those expected for the full year. This information should be read in conjunction with the Company’s financial statements and notes thereto contained in the Company’s Annual Report on Form 10-K for the fiscal year ended October 3, 2025, filed with the SEC on November 7, 2025, as amended by Amendment No. 1 to such Annual Report on Form 10-K, filed with the SEC on January 30, 2026 (“2025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liabilities, and expenses, particularly those classified as Level 2 or Level 3 in the fair value hierarchy, including: marketable securities, inventory, intangible assets associated with business combinations, share-based compensation, revenue reserves, loss contingencies, and income taxes. In addition, judgment is required in determining whether a potential indicator of impairment of long-lived assets, indefinite-lived intangible assets, and goodwill exists and in estimating future cash flows for any necessary impairment testing. Actual results could differ significantly from these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fiscal year ends on the Friday closest to September 30. The fiscal year ending on October 2, 2026 consists of 52 weeks (“fiscal 2026”). The fiscal year ended on October 3, 2025 consisted of 53 weeks (“fiscal 2025”). The three months ended January 2, 2026, and December 27, 2024, each consisted of 13 weeks.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2023-09, “Income Taxes (Topic 740): Improvements to Income Tax Disclosures” (“ASU 2023-09”). ASU 2023-09 includes amendments that further enhance income tax disclosures, primarily through standardization and disaggregation of rate reconciliation categories and income taxes paid by jurisdiction. ASU 2023-09 is effective for annual periods beginning after December 15, 2024, on either a prospective or retrospective basis, with early adoption permitted. The Company will provide the required disclosures of ASU 2023-09 in its fiscal 2026 annual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requires disaggregated disclosure of certain expense captions into specified categories in the notes to financial statements on an annual and interim basis. ASU 2024-03 is effective for annual periods beginning after December 15, 2026, and interim periods within annual periods beginning after December 15, 2027, on either a prospective or retrospective basis. Early adoption is permitted. The Company is currently evaluating the impact of ASU 2024-03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ASU 2025-06 makes targeted improvements that clarify and modernize the accounting for costs related to internal-use software. ASU 2025-06 is effective for annual periods beginning after December 15, 2027, and interim periods within those annual periods, on either a prospective, retrospective, or modified basis. Early adoption is permitted. The Company is currently evaluating the impact of ASU 2025-06 on its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    REVENUE RECOGNITION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presents net revenue by geographic area, based upon the location of the original equipment manufacturers’ (“OEMs”) headquarters, and by sales channel, as it believes that doing so best depicts how the nature, amount, timing, and uncertainty of revenue and cash flows are affected by economic factors. Individually insignificant OEMs are presented based upon the location of the Company’s direct customer, which is typically a distributor.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revenue by geographic area is as follows (in millions):</w:t>
      </w:r>
    </w:p>
    <w:tbl>
      <w:tblPr>
        <w:tblW w:w="6403" w:type="dxa"/>
        <w:jc w:val="left"/>
        <w:tblInd w:w="0" w:type="dxa"/>
        <w:tblLayout w:type="fixed"/>
        <w:tblCellMar>
          <w:top w:w="28" w:type="dxa"/>
          <w:left w:w="28" w:type="dxa"/>
          <w:bottom w:w="28" w:type="dxa"/>
          <w:right w:w="28" w:type="dxa"/>
        </w:tblCellMar>
      </w:tblPr>
      <w:tblGrid>
        <w:gridCol w:w="985"/>
        <w:gridCol w:w="863"/>
        <w:gridCol w:w="867"/>
        <w:gridCol w:w="259"/>
        <w:gridCol w:w="942"/>
        <w:gridCol w:w="134"/>
        <w:gridCol w:w="109"/>
        <w:gridCol w:w="109"/>
        <w:gridCol w:w="109"/>
        <w:gridCol w:w="300"/>
        <w:gridCol w:w="1090"/>
        <w:gridCol w:w="155"/>
        <w:gridCol w:w="109"/>
        <w:gridCol w:w="109"/>
        <w:gridCol w:w="109"/>
        <w:gridCol w:w="154"/>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Asia-Pacific</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revenue by sales channel is as follows (in millions):</w:t>
      </w:r>
    </w:p>
    <w:tbl>
      <w:tblPr>
        <w:tblW w:w="5233" w:type="dxa"/>
        <w:jc w:val="left"/>
        <w:tblInd w:w="0" w:type="dxa"/>
        <w:tblLayout w:type="fixed"/>
        <w:tblCellMar>
          <w:top w:w="28" w:type="dxa"/>
          <w:left w:w="28" w:type="dxa"/>
          <w:bottom w:w="28" w:type="dxa"/>
          <w:right w:w="28" w:type="dxa"/>
        </w:tblCellMar>
      </w:tblPr>
      <w:tblGrid>
        <w:gridCol w:w="559"/>
        <w:gridCol w:w="492"/>
        <w:gridCol w:w="494"/>
        <w:gridCol w:w="259"/>
        <w:gridCol w:w="942"/>
        <w:gridCol w:w="134"/>
        <w:gridCol w:w="109"/>
        <w:gridCol w:w="109"/>
        <w:gridCol w:w="109"/>
        <w:gridCol w:w="300"/>
        <w:gridCol w:w="1090"/>
        <w:gridCol w:w="155"/>
        <w:gridCol w:w="109"/>
        <w:gridCol w:w="109"/>
        <w:gridCol w:w="109"/>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Distributors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customers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 from external customers is generated principally from the sale of semiconductor products. Accordingly, the Company considers its product offerings to be similar in nature and therefore not segregated for reporting purposes.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3.    MARKETABLE SECURITIES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portfolio of available-for-sale marketable securities consists of the following (in millions):    </w:t>
      </w:r>
    </w:p>
    <w:tbl>
      <w:tblPr>
        <w:tblW w:w="9679" w:type="dxa"/>
        <w:jc w:val="left"/>
        <w:tblInd w:w="0" w:type="dxa"/>
        <w:tblLayout w:type="fixed"/>
        <w:tblCellMar>
          <w:top w:w="28" w:type="dxa"/>
          <w:left w:w="28" w:type="dxa"/>
          <w:bottom w:w="28" w:type="dxa"/>
          <w:right w:w="28" w:type="dxa"/>
        </w:tblCellMar>
      </w:tblPr>
      <w:tblGrid>
        <w:gridCol w:w="1222"/>
        <w:gridCol w:w="1075"/>
        <w:gridCol w:w="1078"/>
        <w:gridCol w:w="387"/>
        <w:gridCol w:w="745"/>
        <w:gridCol w:w="202"/>
        <w:gridCol w:w="109"/>
        <w:gridCol w:w="109"/>
        <w:gridCol w:w="109"/>
        <w:gridCol w:w="294"/>
        <w:gridCol w:w="859"/>
        <w:gridCol w:w="152"/>
        <w:gridCol w:w="109"/>
        <w:gridCol w:w="109"/>
        <w:gridCol w:w="109"/>
        <w:gridCol w:w="387"/>
        <w:gridCol w:w="745"/>
        <w:gridCol w:w="202"/>
        <w:gridCol w:w="109"/>
        <w:gridCol w:w="109"/>
        <w:gridCol w:w="109"/>
        <w:gridCol w:w="325"/>
        <w:gridCol w:w="788"/>
        <w:gridCol w:w="237"/>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Noncurrent</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securities</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 and notes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contractual maturities of noncurrent available-for-sale marketable securities were within two years or less of issuance of the applicable securities. Neither gross unrealized gains and losses nor realized gains and losses were material as of January 2, 2026, or October 3,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FAIR VALUE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Assets and Liabilities Measured and Recorded at Fair Value on a Recurring Basis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groups its financial assets and liabilities measured at fair value on a recurring basis in three levels, based on the markets in which the assets and liabilities are traded and the reliability of the assumptions used to determine fair value. These levels 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Level 1 - Quoted prices in active markets for identical assets or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 Observable inputs other than Level 1 prices, such as quoted prices for similar assets or liabilities, quoted prices in markets with insufficient volume or infrequent transactions (less-active markets), or model-driven valuations in which all significant inputs are observable or can be derived principally from, or corroborated with, observable market data.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Level 3 - Fair value is derived from valuation techniques in which one or more significant inputs are unobservable, including assumptions and judgments made by the Company.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on a recurring basis consisted of the following (in millions):         </w:t>
      </w:r>
    </w:p>
    <w:tbl>
      <w:tblPr>
        <w:tblW w:w="10333" w:type="dxa"/>
        <w:jc w:val="left"/>
        <w:tblInd w:w="0" w:type="dxa"/>
        <w:tblLayout w:type="fixed"/>
        <w:tblCellMar>
          <w:top w:w="28" w:type="dxa"/>
          <w:left w:w="28" w:type="dxa"/>
          <w:bottom w:w="28" w:type="dxa"/>
          <w:right w:w="28" w:type="dxa"/>
        </w:tblCellMar>
      </w:tblPr>
      <w:tblGrid>
        <w:gridCol w:w="375"/>
        <w:gridCol w:w="291"/>
        <w:gridCol w:w="295"/>
        <w:gridCol w:w="196"/>
        <w:gridCol w:w="691"/>
        <w:gridCol w:w="109"/>
        <w:gridCol w:w="109"/>
        <w:gridCol w:w="109"/>
        <w:gridCol w:w="109"/>
        <w:gridCol w:w="196"/>
        <w:gridCol w:w="691"/>
        <w:gridCol w:w="109"/>
        <w:gridCol w:w="109"/>
        <w:gridCol w:w="109"/>
        <w:gridCol w:w="109"/>
        <w:gridCol w:w="196"/>
        <w:gridCol w:w="466"/>
        <w:gridCol w:w="109"/>
        <w:gridCol w:w="109"/>
        <w:gridCol w:w="109"/>
        <w:gridCol w:w="109"/>
        <w:gridCol w:w="196"/>
        <w:gridCol w:w="406"/>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406"/>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and government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bonds and notes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 Cash equivalents included in Levels 1 and 2 consist of money market funds, corporate bonds and notes, and U.S. Treasury and government securities purchased with ninety days or less until maturity.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Assets Measured and Recorded at Fair Value on a Nonrecurring Basis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There were no indicators of impairment identified during the three months ended January 2, 2026 and December 27, 2024, respectively.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debt is carried at amortized cost and is measured at fair value quarterly for disclosure purposes. The estimated fair values are based on Level 2 inputs as the fair value is based on quoted prices for the Company’s debt and comparable instruments in inactive markets.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carrying amount and estimated fair value of debt consists of the following (in millions):</w:t>
      </w:r>
    </w:p>
    <w:tbl>
      <w:tblPr>
        <w:tblW w:w="10053" w:type="dxa"/>
        <w:jc w:val="left"/>
        <w:tblInd w:w="0" w:type="dxa"/>
        <w:tblLayout w:type="fixed"/>
        <w:tblCellMar>
          <w:top w:w="28" w:type="dxa"/>
          <w:left w:w="28" w:type="dxa"/>
          <w:bottom w:w="28" w:type="dxa"/>
          <w:right w:w="28" w:type="dxa"/>
        </w:tblCellMar>
      </w:tblPr>
      <w:tblGrid>
        <w:gridCol w:w="924"/>
        <w:gridCol w:w="809"/>
        <w:gridCol w:w="817"/>
        <w:gridCol w:w="338"/>
        <w:gridCol w:w="987"/>
        <w:gridCol w:w="174"/>
        <w:gridCol w:w="109"/>
        <w:gridCol w:w="109"/>
        <w:gridCol w:w="109"/>
        <w:gridCol w:w="392"/>
        <w:gridCol w:w="1145"/>
        <w:gridCol w:w="202"/>
        <w:gridCol w:w="109"/>
        <w:gridCol w:w="109"/>
        <w:gridCol w:w="109"/>
        <w:gridCol w:w="338"/>
        <w:gridCol w:w="987"/>
        <w:gridCol w:w="174"/>
        <w:gridCol w:w="109"/>
        <w:gridCol w:w="109"/>
        <w:gridCol w:w="109"/>
        <w:gridCol w:w="384"/>
        <w:gridCol w:w="1121"/>
        <w:gridCol w:w="280"/>
      </w:tblGrid>
      <w:tr>
        <w:trPr/>
        <w:tc>
          <w:tcPr>
            <w:tcW w:w="92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1.80% Senior Notes due 2026</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 Senior Notes due 2031</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under Senior Notes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5.    INVENTORY</w:t>
      </w:r>
      <w:r>
        <w:rPr>
          <w:color w:val="000000"/>
        </w:rPr>
        <w:t xml:space="preserve">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consists of the following (in millions): </w:t>
      </w:r>
    </w:p>
    <w:tbl>
      <w:tblPr>
        <w:tblW w:w="4468" w:type="dxa"/>
        <w:jc w:val="left"/>
        <w:tblInd w:w="0" w:type="dxa"/>
        <w:tblLayout w:type="fixed"/>
        <w:tblCellMar>
          <w:top w:w="28" w:type="dxa"/>
          <w:left w:w="28" w:type="dxa"/>
          <w:bottom w:w="28" w:type="dxa"/>
          <w:right w:w="28" w:type="dxa"/>
        </w:tblCellMar>
      </w:tblPr>
      <w:tblGrid>
        <w:gridCol w:w="527"/>
        <w:gridCol w:w="462"/>
        <w:gridCol w:w="467"/>
        <w:gridCol w:w="301"/>
        <w:gridCol w:w="879"/>
        <w:gridCol w:w="155"/>
        <w:gridCol w:w="109"/>
        <w:gridCol w:w="109"/>
        <w:gridCol w:w="109"/>
        <w:gridCol w:w="290"/>
        <w:gridCol w:w="848"/>
        <w:gridCol w:w="212"/>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PROPERTY, PLANT, AND EQUIPMENT, NET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consists of the following (in millions): </w:t>
      </w:r>
    </w:p>
    <w:tbl>
      <w:tblPr>
        <w:tblW w:w="6626" w:type="dxa"/>
        <w:jc w:val="left"/>
        <w:tblInd w:w="0" w:type="dxa"/>
        <w:tblLayout w:type="fixed"/>
        <w:tblCellMar>
          <w:top w:w="28" w:type="dxa"/>
          <w:left w:w="28" w:type="dxa"/>
          <w:bottom w:w="28" w:type="dxa"/>
          <w:right w:w="28" w:type="dxa"/>
        </w:tblCellMar>
      </w:tblPr>
      <w:tblGrid>
        <w:gridCol w:w="1310"/>
        <w:gridCol w:w="1149"/>
        <w:gridCol w:w="1155"/>
        <w:gridCol w:w="259"/>
        <w:gridCol w:w="942"/>
        <w:gridCol w:w="134"/>
        <w:gridCol w:w="109"/>
        <w:gridCol w:w="109"/>
        <w:gridCol w:w="109"/>
        <w:gridCol w:w="252"/>
        <w:gridCol w:w="915"/>
        <w:gridCol w:w="183"/>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gross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7.    GOODWILL AND INTANGIBLE ASSETS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to the carrying amount of goodwill during the three months ended January 2,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tests its goodwill and its indefinite-lived intangible assets for impairment annually as of the first day of its fourth fiscal quarter and in interim periods if certain events occur indicating the carrying value may be impaired. There were no indicators of goodwill and in-process research and development (“IPR&amp;D”) impairment noted during the three months ended January 2, 2026 and December 27, 2024, respectively.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millions):</w:t>
      </w:r>
    </w:p>
    <w:tbl>
      <w:tblPr>
        <w:tblW w:w="10205" w:type="dxa"/>
        <w:jc w:val="left"/>
        <w:tblInd w:w="0" w:type="dxa"/>
        <w:tblLayout w:type="fixed"/>
        <w:tblCellMar>
          <w:top w:w="28" w:type="dxa"/>
          <w:left w:w="28" w:type="dxa"/>
          <w:bottom w:w="28" w:type="dxa"/>
          <w:right w:w="28" w:type="dxa"/>
        </w:tblCellMar>
      </w:tblPr>
      <w:tblGrid>
        <w:gridCol w:w="531"/>
        <w:gridCol w:w="350"/>
        <w:gridCol w:w="353"/>
        <w:gridCol w:w="360"/>
        <w:gridCol w:w="360"/>
        <w:gridCol w:w="361"/>
        <w:gridCol w:w="211"/>
        <w:gridCol w:w="766"/>
        <w:gridCol w:w="109"/>
        <w:gridCol w:w="109"/>
        <w:gridCol w:w="109"/>
        <w:gridCol w:w="109"/>
        <w:gridCol w:w="239"/>
        <w:gridCol w:w="717"/>
        <w:gridCol w:w="125"/>
        <w:gridCol w:w="109"/>
        <w:gridCol w:w="109"/>
        <w:gridCol w:w="109"/>
        <w:gridCol w:w="211"/>
        <w:gridCol w:w="616"/>
        <w:gridCol w:w="109"/>
        <w:gridCol w:w="109"/>
        <w:gridCol w:w="109"/>
        <w:gridCol w:w="109"/>
        <w:gridCol w:w="211"/>
        <w:gridCol w:w="766"/>
        <w:gridCol w:w="109"/>
        <w:gridCol w:w="109"/>
        <w:gridCol w:w="109"/>
        <w:gridCol w:w="109"/>
        <w:gridCol w:w="239"/>
        <w:gridCol w:w="717"/>
        <w:gridCol w:w="125"/>
        <w:gridCol w:w="109"/>
        <w:gridCol w:w="109"/>
        <w:gridCol w:w="109"/>
        <w:gridCol w:w="211"/>
        <w:gridCol w:w="616"/>
        <w:gridCol w:w="158"/>
      </w:tblGrid>
      <w:tr>
        <w:trPr/>
        <w:tc>
          <w:tcPr>
            <w:tcW w:w="5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25"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Amortization</w:t>
              <w:br/>
              <w:t>Period (Years)</w:t>
            </w:r>
          </w:p>
        </w:tc>
        <w:tc>
          <w:tcPr>
            <w:tcW w:w="37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1234" w:type="dxa"/>
            <w:gridSpan w:val="3"/>
            <w:tcBorders/>
            <w:tcMar>
              <w:top w:w="0" w:type="dxa"/>
              <w:left w:w="0" w:type="dxa"/>
              <w:bottom w:w="0" w:type="dxa"/>
              <w:right w:w="0" w:type="dxa"/>
            </w:tcMar>
            <w:vAlign w:val="center"/>
          </w:tcPr>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 xml:space="preserve">Carrying </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and other</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licenses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Fully amortized intangible assets are eliminated from both the gross and accumulated amortization amounts in the first quarter of each fiscal year. Amortization expense related to definite-lived intangible assets was $44.5 million and $48.4 million for the three months ended January 2, 2026 and December 27, 2024, respectively, primarily recorded within cost of goods sold.</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Annual amortization expense for the next five fiscal years related to definite-lived intangible assets, excluding IPR&amp;D, is expected to be as follows (in millions):</w:t>
      </w:r>
    </w:p>
    <w:tbl>
      <w:tblPr>
        <w:tblW w:w="9405" w:type="dxa"/>
        <w:jc w:val="left"/>
        <w:tblInd w:w="0" w:type="dxa"/>
        <w:tblLayout w:type="fixed"/>
        <w:tblCellMar>
          <w:top w:w="28" w:type="dxa"/>
          <w:left w:w="28" w:type="dxa"/>
          <w:bottom w:w="28" w:type="dxa"/>
          <w:right w:w="28" w:type="dxa"/>
        </w:tblCellMar>
      </w:tblPr>
      <w:tblGrid>
        <w:gridCol w:w="690"/>
        <w:gridCol w:w="606"/>
        <w:gridCol w:w="609"/>
        <w:gridCol w:w="304"/>
        <w:gridCol w:w="888"/>
        <w:gridCol w:w="158"/>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consists of the following components (in millions):</w:t>
      </w:r>
    </w:p>
    <w:tbl>
      <w:tblPr>
        <w:tblW w:w="5966" w:type="dxa"/>
        <w:jc w:val="left"/>
        <w:tblInd w:w="0" w:type="dxa"/>
        <w:tblLayout w:type="fixed"/>
        <w:tblCellMar>
          <w:top w:w="28" w:type="dxa"/>
          <w:left w:w="28" w:type="dxa"/>
          <w:bottom w:w="28" w:type="dxa"/>
          <w:right w:w="28" w:type="dxa"/>
        </w:tblCellMar>
      </w:tblPr>
      <w:tblGrid>
        <w:gridCol w:w="825"/>
        <w:gridCol w:w="726"/>
        <w:gridCol w:w="729"/>
        <w:gridCol w:w="283"/>
        <w:gridCol w:w="687"/>
        <w:gridCol w:w="364"/>
        <w:gridCol w:w="109"/>
        <w:gridCol w:w="109"/>
        <w:gridCol w:w="109"/>
        <w:gridCol w:w="328"/>
        <w:gridCol w:w="795"/>
        <w:gridCol w:w="421"/>
        <w:gridCol w:w="109"/>
        <w:gridCol w:w="109"/>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difference between the Company’s effective tax rate and the 21.0% United States federal statutory rate for the three months ended January 2, 2026 resulted primarily from tax on global intangible low-taxed income (“GILTI”), net of foreign tax credits, tax expense related to share-based compensation shortfalls and uncertain tax positions, and transaction costs related to the pending transaction with Qorvo (see Note 13), partially offset by foreign earnings taxed at rates lower than the federal statutory rate, a benefit from foreign-derived intangible income deduction (“FDII”), and research and experimentation tax credits.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Company’s effective tax rate and the 21.0% United States federal statutory rate for the three months ended December 27, 2024 resulted primarily from foreign earnings taxed at rates lower than the federal statutory rate, a benefit from FDII, and research and experimentation and foreign tax credits earned, partially offset by a tax on GILTI, and tax expense related to share-based compensation shortfalls.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2022, the U.S. government enacted the Inflation Reduction Act, which imposes a corporate alternative minimum tax (“CAMT”) of 15% on corporations with three-year average annual adjusted financial statement income exceeding $1.0 billion. The Company was subject to the provisions of CAMT beginning in fiscal 2024. CAMT did not have a material impact on the Company’s consolidated financial statements during the three months ended January 2, 2026 and had no impact on the Company’s consolidated financial statements during the three months ended December 27,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2021, the Organization for Economic Co-operation and Development’s (“OECD”) Inclusive Framework on Base Erosion and Profit Shifting (“BEPS”) released Global Anti-Base Erosion (“GloBE”) rules under Pillar Two. Many countries have implemented laws based on Pillar Two, which was effective for the Company beginning in fiscal 2025. Pillar Two did not have a material impact on the Company’s consolidated financial statements during the three months ended January 2, 2026 and December 27,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U.S. government enacted the One Big Beautiful Bill Act (“OBBBA”). The OBBBA contains numerous provisions, including the permanent extension or restoration of certain expiring corporate income tax provisions, originally introduced by the Tax Cuts and Jobs Act of 2017, and incremental modifications to the international tax framework. The OBBBA did not have a material impact on the Company’s consolidated estimated annualized effective tax rate during the three months ended January 2, 2026. The Company continues to evaluate the impact of the OBBBA on its business for future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9.    COMMITMENTS AND CONTINGENCIES</w:t>
      </w:r>
      <w:r>
        <w:rPr>
          <w:color w:val="000000"/>
        </w:rPr>
        <w:t xml:space="preserve">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various lawsuits, claims, and proceedings have been, and may in the future be, instituted or asserted against the Company, including those pertaining to patent infringement, intellectual property, securities litigation, environmental hazards, product liability and warranty, safety and health, employment, and contractual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monitors the status of legal proceedings and other contingencies on an ongoing basis to assess whether loss contingencies should be recognized and disclosed in its financial statements and footnotes. Other than as described below, the Company does not believe there are any pending legal proceedings that are at least reasonably possible to result in a material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20, 2025, Denso Corporation filed patent infringement litigation against the Company in the U.S. (United States District Court for the Central District of California) and on June 20, 2025 and October 31, 2025, Denso Corporation filed patent infringement litigation against the Company in Japan (Civil Division of the Osaka District Court). Denso alleges that the Company has and is willfully infringing Denso’s U.S. patent (7,758,979) and Japanese patents (JP5190841 and JP5966199), each relating to piezoelectric thin film. Denso is seeking monetary damages, including enhanced damages, interest, fees and costs, and injunctive relief. While the Company is unable to determine the ultimate outcome of these suits, the Company believes it has substantial defenses and intends to vigorously oppose the suits.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matter, the Company is engaged in various legal actions in the normal course of business and, while there can be no assurances, the Company believes the outcome of such pending legal actions will not have, individually or in the aggregate, a material adverse effect on its business or financial statements. The Company’s aggregate accrual for legal contingencies was not material as of January 2, 2026 and October 3, 2025.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Guarantees and Indemnities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Purchase Commitments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purchases materials primarily pursuant to individual purchase orders, some of which have underlying master purchase agreements. Some of these purchase commitments are cancelable, and some are non-cancelable, depending on the terms with each individual supplier. In the event of cancellation, the Company may be required to pay costs incurred through the date of cancellation or other fees. When cancellation would result in incurring costs or other fees, the Company has historically sought to negotiate amended terms to the original agreements and orders to limit such exposure. As such, the Company believes that purchase commitments as of any particular date may not be a reliable indicator of future liabilities.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maintains certain minimum purchase commitments under long-term capacity reservation agreements primarily with foundries for the purchase of wafers. Under these agreements, </w:t>
      </w:r>
      <w:r>
        <w:rPr>
          <w:rFonts w:ascii="Times New Roman;serif" w:hAnsi="Times New Roman;serif"/>
          <w:b w:val="false"/>
          <w:color w:val="000000"/>
          <w:sz w:val="20"/>
          <w:shd w:fill="FFFFFF" w:val="clear"/>
        </w:rPr>
        <w:t>the Company has agreed to pay a combination of refundable deposits and prepayments to the suppliers in exchange for reserved manufacturing production capacity over the term of the agreemen</w:t>
      </w:r>
      <w:r>
        <w:rPr>
          <w:rFonts w:ascii="Times New Roman;serif" w:hAnsi="Times New Roman;serif"/>
          <w:b w:val="false"/>
          <w:color w:val="000000"/>
          <w:sz w:val="20"/>
        </w:rPr>
        <w:t>ts. As of January 2, 2026, deposits and prepayments under the long-term capacity reservation agreements were $22.6 million, with $5.4 million recorded within other current assets and $17.2 million recorded within other long-term assets. As of October 3, 2025, deposits and prepayments under the long-term capacity reservation agreements were $26.4 million, with $7.7 million recorded within other current assets and $18.7 million recorded within other long-term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Stock Repurchase and Retirement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4, 2025, the Board of Directors approved a stock repurchase program, pursuant to which the Company is authorized to repurchase up to $2.0 billion of its common stock from time to time through February 3, 2027, on the open market or in privately negotiated transactions, in compliance with applicable securities laws and other legal requirements. The timing and amount of any shares of the Company’s common stock that are repurchased under the stock repurchase program will be determined by the Company’s management based on its evaluation of market conditions and other factors. The stock repurchase program may be suspended or discontinued at any time. The Company currently expects to fund the stock repurchase program using the Company’s working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each of the three months ended January 2, 2026 and December 27, 2024, the Company did not repurchase any shares of its common stock. As of January 2, 2026, approximately $1.2 billion remained available under the stock repurchase program.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Dividends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3, 2026, the Company announced that the Board of Directors had declared a cash dividend on the Company’s common stock of $0.71 per share. This dividend is payable on March 17, 2026, to the Company’s stockholders of record as of the close of business on February 24, 2026. Future dividends are subject to declaration by the Board of Directors.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Dividends charged to retained earnings were as follows (in millions, except per share data):</w:t>
      </w:r>
    </w:p>
    <w:tbl>
      <w:tblPr>
        <w:tblW w:w="6228" w:type="dxa"/>
        <w:jc w:val="center"/>
        <w:tblInd w:w="0" w:type="dxa"/>
        <w:tblLayout w:type="fixed"/>
        <w:tblCellMar>
          <w:top w:w="28" w:type="dxa"/>
          <w:left w:w="28" w:type="dxa"/>
          <w:bottom w:w="28" w:type="dxa"/>
          <w:right w:w="28" w:type="dxa"/>
        </w:tblCellMar>
      </w:tblPr>
      <w:tblGrid>
        <w:gridCol w:w="396"/>
        <w:gridCol w:w="348"/>
        <w:gridCol w:w="350"/>
        <w:gridCol w:w="217"/>
        <w:gridCol w:w="526"/>
        <w:gridCol w:w="112"/>
        <w:gridCol w:w="109"/>
        <w:gridCol w:w="109"/>
        <w:gridCol w:w="109"/>
        <w:gridCol w:w="270"/>
        <w:gridCol w:w="790"/>
        <w:gridCol w:w="139"/>
        <w:gridCol w:w="109"/>
        <w:gridCol w:w="109"/>
        <w:gridCol w:w="109"/>
        <w:gridCol w:w="217"/>
        <w:gridCol w:w="526"/>
        <w:gridCol w:w="112"/>
        <w:gridCol w:w="109"/>
        <w:gridCol w:w="109"/>
        <w:gridCol w:w="109"/>
        <w:gridCol w:w="267"/>
        <w:gridCol w:w="782"/>
        <w:gridCol w:w="195"/>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Amount</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share-based compensation expense by line item in the Consolidated Statements of Operations (in millions):</w:t>
      </w:r>
    </w:p>
    <w:tbl>
      <w:tblPr>
        <w:tblW w:w="6687" w:type="dxa"/>
        <w:jc w:val="left"/>
        <w:tblInd w:w="0" w:type="dxa"/>
        <w:tblLayout w:type="fixed"/>
        <w:tblCellMar>
          <w:top w:w="28" w:type="dxa"/>
          <w:left w:w="28" w:type="dxa"/>
          <w:bottom w:w="28" w:type="dxa"/>
          <w:right w:w="28" w:type="dxa"/>
        </w:tblCellMar>
      </w:tblPr>
      <w:tblGrid>
        <w:gridCol w:w="1086"/>
        <w:gridCol w:w="953"/>
        <w:gridCol w:w="960"/>
        <w:gridCol w:w="339"/>
        <w:gridCol w:w="821"/>
        <w:gridCol w:w="175"/>
        <w:gridCol w:w="109"/>
        <w:gridCol w:w="109"/>
        <w:gridCol w:w="109"/>
        <w:gridCol w:w="392"/>
        <w:gridCol w:w="949"/>
        <w:gridCol w:w="204"/>
        <w:gridCol w:w="109"/>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EARNINGS PER SHARE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(in millions, except per share amounts):</w:t>
      </w:r>
    </w:p>
    <w:tbl>
      <w:tblPr>
        <w:tblW w:w="7618" w:type="dxa"/>
        <w:jc w:val="left"/>
        <w:tblInd w:w="0" w:type="dxa"/>
        <w:tblLayout w:type="fixed"/>
        <w:tblCellMar>
          <w:top w:w="28" w:type="dxa"/>
          <w:left w:w="28" w:type="dxa"/>
          <w:bottom w:w="28" w:type="dxa"/>
          <w:right w:w="28" w:type="dxa"/>
        </w:tblCellMar>
      </w:tblPr>
      <w:tblGrid>
        <w:gridCol w:w="1420"/>
        <w:gridCol w:w="1248"/>
        <w:gridCol w:w="1262"/>
        <w:gridCol w:w="339"/>
        <w:gridCol w:w="821"/>
        <w:gridCol w:w="175"/>
        <w:gridCol w:w="109"/>
        <w:gridCol w:w="109"/>
        <w:gridCol w:w="109"/>
        <w:gridCol w:w="348"/>
        <w:gridCol w:w="1017"/>
        <w:gridCol w:w="180"/>
        <w:gridCol w:w="109"/>
        <w:gridCol w:w="109"/>
        <w:gridCol w:w="109"/>
        <w:gridCol w:w="154"/>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equity-based awards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basic</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common stock equivalents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three months ended January 2, 2026, and December 27, 2024,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SUPPLEMENTAL FINANCIAL INFORMATION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current assets consist of the following (in millions):</w:t>
      </w:r>
    </w:p>
    <w:tbl>
      <w:tblPr>
        <w:tblW w:w="5157" w:type="dxa"/>
        <w:jc w:val="left"/>
        <w:tblInd w:w="0" w:type="dxa"/>
        <w:tblLayout w:type="fixed"/>
        <w:tblCellMar>
          <w:top w:w="28" w:type="dxa"/>
          <w:left w:w="28" w:type="dxa"/>
          <w:bottom w:w="28" w:type="dxa"/>
          <w:right w:w="28" w:type="dxa"/>
        </w:tblCellMar>
      </w:tblPr>
      <w:tblGrid>
        <w:gridCol w:w="777"/>
        <w:gridCol w:w="681"/>
        <w:gridCol w:w="687"/>
        <w:gridCol w:w="301"/>
        <w:gridCol w:w="879"/>
        <w:gridCol w:w="155"/>
        <w:gridCol w:w="109"/>
        <w:gridCol w:w="109"/>
        <w:gridCol w:w="109"/>
        <w:gridCol w:w="290"/>
        <w:gridCol w:w="848"/>
        <w:gridCol w:w="212"/>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 of the following (in millions):</w:t>
      </w:r>
    </w:p>
    <w:tbl>
      <w:tblPr>
        <w:tblW w:w="6086" w:type="dxa"/>
        <w:jc w:val="left"/>
        <w:tblInd w:w="0" w:type="dxa"/>
        <w:tblLayout w:type="fixed"/>
        <w:tblCellMar>
          <w:top w:w="28" w:type="dxa"/>
          <w:left w:w="28" w:type="dxa"/>
          <w:bottom w:w="28" w:type="dxa"/>
          <w:right w:w="28" w:type="dxa"/>
        </w:tblCellMar>
      </w:tblPr>
      <w:tblGrid>
        <w:gridCol w:w="1112"/>
        <w:gridCol w:w="979"/>
        <w:gridCol w:w="983"/>
        <w:gridCol w:w="301"/>
        <w:gridCol w:w="879"/>
        <w:gridCol w:w="155"/>
        <w:gridCol w:w="109"/>
        <w:gridCol w:w="109"/>
        <w:gridCol w:w="109"/>
        <w:gridCol w:w="290"/>
        <w:gridCol w:w="848"/>
        <w:gridCol w:w="212"/>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customer liabilities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operating lease liabilities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PENDING TRANSACTION WITH QORVO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27, 2025, the Company entered into an Agreement and Plan of Merger (“Merger Agreement”) with Qorvo, Inc. (“Qorvo”), Comet Acquisition Corp. (“Merger Sub I”), and Comet Acquisition II, LLC (“Merger Sub II”) in a cash-and-stock transaction, pursuant to which Merger Sub I will be merged with and into Qorvo (the “First Merger”), with Qorvo as the surviving entity in the First Merger (the “Surviving Corporation”) and the Surviving Corporation continuing as a wholly owned subsidiary of the Company, and immediately following the First Merger, and as the second step in a single integrated transaction with the First Merger, the Surviving Corporation will be merged with and into Merger Sub II (the “Second Merger,” and together with the First Merger, the “Mergers”), with Merger Sub II as the surviving entity in the Second Merger and a wholly owned subsidiary of the Company. Under the terms of the Merger Agreement, Qorvo shareholders will receive 0.960 of a share of Skyworks common stock and $32.50 per share in cash upon the completion of the transaction, representing a combined company enterprise value of approximately $22.0 billion based on market close on October 27, 2025. The transaction will close after receipt of regulatory approvals, certain approvals of Qorvo and Skyworks shareholders, and satisfaction of other customary closing conditions. The transaction is currently expected to close early in calendar year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certain termination rights for each of Skyworks and Qorvo. Under specified circumstances, including termination by a party to accept a superior proposal or termination by the other party upon a change in such party’s board of directors’ recommendation to its stockholders, each of Qorvo and Skyworks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$100.0 million, as more fully described in the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of Skyworks’ special meeting of stockholders and Qorvo’s special meeting of stockholders will be held virtually on February 11, 2026 at 11:30 AM, Pacific Time (unless adjourned or postponed to a later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5, 2026, Skyworks and Qorvo each received a Request for Additional Information and Documentary Material (the “Second Request”) from the U.S. Federal Trade Commission (“FTC”) in connection with the transaction. The Second Request was issued under notification requirements of the Hart-Scott-Rodino Antitrust Improvement Act of 1976, as amended (“HSR Act”). The effect of the Second Request is to extend the waiting period imposed by the HSR Act until 30 days after Skyworks and Qorvo have substantially complied with the Second Request, unless that period is voluntarily extended by the parties or terminated sooner by the FTC.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execution of the Merger Agreement, the Company entered into a commitment letter (“Bridge Commitment Letter”) on October 27, 2025, with Goldman Sachs Bank USA, which committed to provide, subject to the satisfaction of customary closing conditions, up to $3,050.0 million of senior unsecured bridge term loans for the purpose of financing a portion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the cash portion of the consideration to be paid to Qorvo stockholders, paying related fees and expenses in connection with the Mergers and the other transactions contemplated by the Merger Agreement and, in certain circumstances, to refinance certain of Qorvo’s senior notes. The receipt of financing by the Company is not a condition to our obligation to consummate the Mergers.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Bridge Commitment Letter, $1,550.0 million of the senior unsecured bridge term loans had been specifically designated to represent the principal amount of Qorvo’s outstanding senior notes (the “Qorvo Notes Tranche”), and if a ratings decline (as defined in the applicable Qorvo indenture as in effect on the date of the commitment letter) did not occur on or prior to December 27, 2025 (which date would be extended so long as the rating of any series of Qorvo’s outstanding senior notes was under publicly announced consideration for possible downgrade), then the aggregate commitments in respect of the Qorvo Notes Tranche under the Bridge Commitment Letter would be automatically permanently reduced dollar-for-dollar by the aggregate principal amount of Qorvo’s senior notes. On December 28, 2025, Goldman Sachs Bank USA notified the Company that there was no such ratings decline, no rating as to any series of Qorvo’s outstanding senior notes was under publicly announced consideration for possible downgrade, and therefore the Qorvo Notes Tranche had been permanently reduced to $0.00. As a result, as of January 2, 2026, Goldman Sachs Bank USA has committed to provide up to $1,500.0 million of senior unsecured bridge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costs were $37.1 million recorded within selling, general, and administrative expense during the three months ended January 2, 2026. These costs mainly consisted of professional fees and administrative costs for the pending transaction and were expensed as incurred in our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DEBT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Revolving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21, 2021, the Company entered into a revolving credit agreement (as amended, the “Revolving Credit Agreement”) providing for a $750.0 million revolving credit facility (the “Revolver”). The proceeds of the Revolver are available to be used for general corporate purposes and working capital needs of the Company and its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Revolver provides for revolving credit borrowings and letters of credit, with sublimits for letters of credit. The Revolver may be increased in specified circumstances by up to $250.0 million at the discretion of the lenders.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6, 2023, the Company entered into a First Amendment to the Revolving Credit Agreement to replace the LIBOR-based interest rate and related LIBOR-based mechanics applicable to borrowings under the Revolving Credit Agreement with a SOFR-based interest rate and related SOFR-based mechanics. On November 18, 2025, the Company entered into a Second Amendment to the Revolving Credit Agreement (the “Second Revolver Amendment”). Pursuant to the terms of the Second Revolver Amendment, the parties thereto agreed to extend the maturity date of the Revolving Credit Agreement to November 18, 2030.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Credit Agreement contains customary representations and warranties and covenants, including restrictions on the incurrence of indebtedness by non-guarantor subsidiaries and the creation of liens, and a financial covenant consisting of a limitation on leverage, defined as consolidated total indebtedness divided by consolidated earnings before interest, taxes, depreciation, and amortization for the period of four consecutive quarters not to exceed a ratio of 3.0 to 1.0. As of January 2, 2026 and October 3, 2025, there were no borrowings outstanding and the Company was in compliance with all debt covenants under the Revolver.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2. MANAGEMENT</w:t>
      </w:r>
      <w:r>
        <w:rPr>
          <w:color w:val="000000"/>
        </w:rPr>
        <w:t>’</w:t>
      </w:r>
      <w:r>
        <w:rPr>
          <w:rFonts w:ascii="Times New Roman;serif" w:hAnsi="Times New Roman;serif"/>
          <w:b/>
          <w:color w:val="000000"/>
          <w:sz w:val="20"/>
        </w:rPr>
        <w: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and other documents we have filed with the SEC contain forward-looking statements within the meaning of Section 27A of the Securities Act of 1933, as amended, and Section 21E of the Securities and Exchange Act of 1934, as amended (the “Exchange Act”), and are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report. Additionally, statements concerning future matters such as our expectations and statements regarding the transaction with Qorvo, the possible impacts of geopolitical conflicts, tariffs, export controls, inflation, recession, and global health crises, as well as the development of new products, enhancements of technologies, sales levels, expense levels, the benefits of acquisitions we have made or may make in the future, and other statements regarding matters that are not historical are forward-looking statements. Although forward-looking statements in this report reflect the good faith judgment of our management as of the date the statement is first made, such statements can only be based on facts and factors then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in the 2025 10-K, under the heading “Risk Factors” and in the other documents filed by us with the SEC in evaluating our forward-looking statements. We have no plans, and undertake no obligation, to revise or update our forward-looking statements to reflect any event or circumstance that may arise after the date of the initial filing of this Quarterly Report on Form 10-Q. We caution readers not to place undue reliance upon any such forward-looking statements, which speak only as of the date made.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this document, the words “we”, “our”, “ours”, “us”, “Skyworks”, and “the Company” refer only to Skyworks Solutions, Inc., and its consolidated subsidiaries and not any other person or entity.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Three Months Ended January 2, 2026, and December 27, 2024</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results of our operations expressed as a percentage of net revenue:</w:t>
      </w:r>
    </w:p>
    <w:tbl>
      <w:tblPr>
        <w:tblW w:w="7586" w:type="dxa"/>
        <w:jc w:val="left"/>
        <w:tblInd w:w="0" w:type="dxa"/>
        <w:tblLayout w:type="fixed"/>
        <w:tblCellMar>
          <w:top w:w="28" w:type="dxa"/>
          <w:left w:w="28" w:type="dxa"/>
          <w:bottom w:w="28" w:type="dxa"/>
          <w:right w:w="28" w:type="dxa"/>
        </w:tblCellMar>
      </w:tblPr>
      <w:tblGrid>
        <w:gridCol w:w="1363"/>
        <w:gridCol w:w="1200"/>
        <w:gridCol w:w="1202"/>
        <w:gridCol w:w="308"/>
        <w:gridCol w:w="308"/>
        <w:gridCol w:w="741"/>
        <w:gridCol w:w="146"/>
        <w:gridCol w:w="146"/>
        <w:gridCol w:w="146"/>
        <w:gridCol w:w="344"/>
        <w:gridCol w:w="344"/>
        <w:gridCol w:w="857"/>
        <w:gridCol w:w="109"/>
        <w:gridCol w:w="109"/>
        <w:gridCol w:w="109"/>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together with our consolidated subsidiaries, are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Pending Transaction With Qorvo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27, 2025, we entered into the Merger Agreement with Qorvo, a provider of connectivity and power solutions, to combine Qorvo and Skyworks in a cash-and-stock transaction that values the combined company at approximately $22.0 billion as of the market close on October 27,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Merger Agreement, at the effective time of the Mergers, each share of Qorvo common stock issued and outstanding immediately prior thereto (with certain exceptions set forth in the Merger Agreement) will be converted into the right to receive 0.960 (the “Exchange Ratio”) of a share of Skyworks common stock and $32.50 in cash, without interest, subject to applicable withholding taxes. The Exchange Ratio is expected to result in Qorvo equityholders and Skyworks equityholders owning approximately 37% and 63%, respectively, of the combined company on a pro forma basis following the closing. The Merger Agreement also provides for Skyworks’ assumption of certain Qorvo equity awards, subject to certain adjustments thereto in respect of, among other things, performance-based vesting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immediately following the closing, the Board of Directors will be comprised of 11 directors, consisting of (i) the Chief Executive Officer of Skyworks, who will be the Chief Executive Officer of Skyworks following the closing, (ii) seven directors designated by Skyworks and (iii) three directors designated by Qorvo who are reasonably acceptable to Skyworks, each of whom will hold office until the next annual meeting of stockholders of Skyworks. Promptly following the closing, the Board of Directors will also designate a Chairman. Robert Bruggeworth, Qorvo’s current President, Chief Executive Officer and director, will be one of Qorvo’s designees upon the closing.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Mergers, which are anticipated to close early in calendar year 2027, are subject to the satisfaction or waiver of customary closing conditions, including adoption of the Merger Agreement by Qorvo’s stockholders and the approval by Skyworks’ stockholders of the issuance of Skyworks common stock included in the consideration to be paid to Qorvo stockholders,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expiration or early termination of the waiting period under the HSR Act, and other regulatory approvals under certain antitrust and foreign investment regimes, and the absence of any order, injunction or law of such jurisdictions prohibiting the Mergers.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of Skyworks’ special meeting of stockholders and Qorvo’s special meeting of stockholders will be held virtually on February 11, 2026 at 11:30 AM, Pacific Time (unless adjourned or postponed to a later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5, 2026, Skyworks and Qorvo each received a Request for Additional Information and Documentary Material (the “Second Request”) from the U.S. Federal Trade Commission (“FTC”) in connection with the transaction. The Second Request was issued under notification requirements of the HSR Act. The effect of the Second Request is to extend the waiting period imposed by the HSR Act until 30 days after Skyworks and Qorvo have substantially complied with the Second Request, unless that period is voluntarily extended by the parties or terminated sooner by the FTC.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and Qorvo each have termination rights under the Merger Agreement. Under specified circumstances, including termination by a party to accept a superior proposal or termination by the other party upon a change in such party’s board of directors’ recommendation to its stockholders, each of us and Qorvo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we will be required to pay Qorvo a termination fee of $100.0 million, as more fully described in the Merger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we entered into the Bridge Commitment Letter on October 27, 2025, with Goldman Sachs Bank USA, which committed to provide, subject to the satisfaction of customary closing conditions, up to $3,050.0 million of senior unsecured bridge term loans for the purpose of financing a portion of the cash portion of the consideration to be paid to Qorvo stockholders, paying related fees and expenses in connection with the Mergers and the other transactions contemplated by the Merger Agreement and, in certain circumstances, to refinance certain of Qorvo’s senior notes. The receipt of financing by us is not a condition to our obligation to consummate the Mergers.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Bridge Commitment Letter, $1,550.0 million of the senior unsecured bridge term loans had been specifically designated to represent the principal amount of the Qorvo Notes Tranche, and if a ratings decline (as defined in the applicable Qorvo indenture as in effect on the date of the commitment letter) did not occur on or prior to December 27, 2025 (which date would be extended so long as the rating of any series of Qorvo’s outstanding senior notes was under publicly announced consideration for possible downgrade), then the aggregate commitments in respect of the Qorvo Notes Tranche under the Bridge Commitment Letter would be automatically permanently reduced dollar-for-dollar by the aggregate principal amount of Qorvo’s senior notes. On December 28, 2025, Goldman Sachs Bank USA notified the Company that there was no such ratings decline, no rating as to any series of Qorvo’s outstanding senior notes was under publicly announced consideration for possible downgrade, and therefore the Qorvo Notes Tranche had been permanently reduced to $0.00. As a result, as of January 2, 2026, Goldman Sachs Bank USA has committed to provide up to $1,500.0 million of senior unsecured bridge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of the Merger Agreement, we and certain stockholders of Qorvo affiliated with Starboard Value (“SBV”), an affiliate of Peter Feld, a member of the board of directors of Qorvo so designated by SBV (each, a “SBV Stockholder”), entered into a Voting and Support Agreement (the “VSA”), pursuant to which each SBV Stockholder has agreed to vote its shares of Qorvo common stock in favor of the adoption of the Merger Agreement. As of October 24, 2025, the SBV Stockholders collectively held approximately 8% of Qorvo’s issued and outstanding shares. Each SBV Stockholder has also agreed, for a limited period of time not exceeding nine months from the date of the VSA, not to sell or transfer its shares of Qorvo common stock, subject to certain exceptions as specified in the VSA, and has agreed not to solicit any competing acquisition proposal. The VSA will terminate, as to each SBV Stockholder, upon the earliest to occur of (a) the closing, (b) the termination of the Merger Agreement, (c) the date of any Qorvo Triggering Event or Skyworks Triggering Event (each, as defined in the Merger Agreement) and (d) the written consent of Skyworks, Qorvo and the applicable SBV Stockholder.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on risks related to the Mergers, see Part I, Item 1A, Risk Factors, “Risks Associated with the Proposed Transaction with Qorvo” in the 2025 10-K.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January 2, 2026, the following key factors contributed to our overall results of operations, financial position, and cash flows: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revenue decreased to $1,035.4 million for the three months ended January 2, 2026, as compared to $1,068.5 million for the corresponding period in fiscal 2025, driven primarily by a decrease in market share at a significant customer, partially offset by an increase in demand for our Wi-Fi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ending cash, cash equivalents, and marketable securities balance increased to $1,568.6 million. The increase in cash, cash equivalents, and marketable securities during the three months ended January 2, 2026 was primarily due to cash generated from operations of $395.5 million, partially offset by dividend payments of $106.4 million and capital expenditures of $56.5 million.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Net Revenue</w:t>
      </w:r>
    </w:p>
    <w:tbl>
      <w:tblPr>
        <w:tblW w:w="5551" w:type="dxa"/>
        <w:jc w:val="left"/>
        <w:tblInd w:w="0" w:type="dxa"/>
        <w:tblLayout w:type="fixed"/>
        <w:tblCellMar>
          <w:top w:w="28" w:type="dxa"/>
          <w:left w:w="28" w:type="dxa"/>
          <w:bottom w:w="28" w:type="dxa"/>
          <w:right w:w="28" w:type="dxa"/>
        </w:tblCellMar>
      </w:tblPr>
      <w:tblGrid>
        <w:gridCol w:w="538"/>
        <w:gridCol w:w="472"/>
        <w:gridCol w:w="474"/>
        <w:gridCol w:w="259"/>
        <w:gridCol w:w="942"/>
        <w:gridCol w:w="134"/>
        <w:gridCol w:w="235"/>
        <w:gridCol w:w="235"/>
        <w:gridCol w:w="236"/>
        <w:gridCol w:w="300"/>
        <w:gridCol w:w="1090"/>
        <w:gridCol w:w="155"/>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market and sell our products indirectly through electronic components distributors and directly to OEMs of communications and electronics products, third-party original design manufacturers, and contract manufacturers. We generally experience seasonal peaks during our fourth and first fiscal quarters (which correspond to the second half of the calendar year), primarily as a result of increased worldwide production of consumer electronics in anticipation of holiday sales, whereas our second and third fiscal quarters are typically lower and in line with seasonal industry trends.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net revenue for the three months ended January 2, 2026, as compared with the corresponding period in fiscal 2025, was driven primarily by a decrease in market share at a significant customer, partially offset by an increase in demand for our Wi-Fi products.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Gross Profit</w:t>
      </w:r>
    </w:p>
    <w:tbl>
      <w:tblPr>
        <w:tblW w:w="5550" w:type="dxa"/>
        <w:jc w:val="left"/>
        <w:tblInd w:w="0" w:type="dxa"/>
        <w:tblLayout w:type="fixed"/>
        <w:tblCellMar>
          <w:top w:w="28" w:type="dxa"/>
          <w:left w:w="28" w:type="dxa"/>
          <w:bottom w:w="28" w:type="dxa"/>
          <w:right w:w="28" w:type="dxa"/>
        </w:tblCellMar>
      </w:tblPr>
      <w:tblGrid>
        <w:gridCol w:w="538"/>
        <w:gridCol w:w="472"/>
        <w:gridCol w:w="474"/>
        <w:gridCol w:w="256"/>
        <w:gridCol w:w="749"/>
        <w:gridCol w:w="329"/>
        <w:gridCol w:w="235"/>
        <w:gridCol w:w="235"/>
        <w:gridCol w:w="236"/>
        <w:gridCol w:w="297"/>
        <w:gridCol w:w="867"/>
        <w:gridCol w:w="381"/>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represents net revenue less cost of goods sold. Our cost of goods sold consists primarily of purchased materials, labor, and overhead (including depreciation, share-based compensation expense, and amortization of acquisition intangibles)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intend to improve gross profit with efforts to increase unit volumes, improve manufacturing efficiencies, lower manufacturing costs of existing products, and by introducing new and higher value-added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gross profit for the three months ended January 2, 2026, as compared with the corresponding period in fiscal 2025, was primarily the result of unfavorable product mix, partially offset by higher unit volumes.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6376" w:type="dxa"/>
        <w:jc w:val="left"/>
        <w:tblInd w:w="0" w:type="dxa"/>
        <w:tblLayout w:type="fixed"/>
        <w:tblCellMar>
          <w:top w:w="28" w:type="dxa"/>
          <w:left w:w="28" w:type="dxa"/>
          <w:bottom w:w="28" w:type="dxa"/>
          <w:right w:w="28" w:type="dxa"/>
        </w:tblCellMar>
      </w:tblPr>
      <w:tblGrid>
        <w:gridCol w:w="837"/>
        <w:gridCol w:w="735"/>
        <w:gridCol w:w="738"/>
        <w:gridCol w:w="256"/>
        <w:gridCol w:w="749"/>
        <w:gridCol w:w="329"/>
        <w:gridCol w:w="235"/>
        <w:gridCol w:w="235"/>
        <w:gridCol w:w="236"/>
        <w:gridCol w:w="297"/>
        <w:gridCol w:w="867"/>
        <w:gridCol w:w="381"/>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direct personnel costs including share-based compensation expense, costs for pre-production evaluation units and testing of new devices, non-production masks, engineering prototypes, and design tool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three months ended January 2, 2026, as compared with the corresponding period in fiscal 2025, was primarily related to increases in headcount-related expenses, including share-based compensation and costs for engineering prototypes as a result of our increased investment in developing new technologies and products.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tbl>
      <w:tblPr>
        <w:tblW w:w="7064" w:type="dxa"/>
        <w:jc w:val="left"/>
        <w:tblInd w:w="0" w:type="dxa"/>
        <w:tblLayout w:type="fixed"/>
        <w:tblCellMar>
          <w:top w:w="28" w:type="dxa"/>
          <w:left w:w="28" w:type="dxa"/>
          <w:bottom w:w="28" w:type="dxa"/>
          <w:right w:w="28" w:type="dxa"/>
        </w:tblCellMar>
      </w:tblPr>
      <w:tblGrid>
        <w:gridCol w:w="1087"/>
        <w:gridCol w:w="954"/>
        <w:gridCol w:w="958"/>
        <w:gridCol w:w="256"/>
        <w:gridCol w:w="749"/>
        <w:gridCol w:w="329"/>
        <w:gridCol w:w="235"/>
        <w:gridCol w:w="235"/>
        <w:gridCol w:w="236"/>
        <w:gridCol w:w="328"/>
        <w:gridCol w:w="795"/>
        <w:gridCol w:w="421"/>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for the three months ended January 2, 2026, as compared with the corresponding period in fiscal 2025, was primarily related to increases in professional services costs related to the ongoing Qorvo transaction, partially offset by decreases in headcount-related expenses, including share-based compensation.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Amortization of Intangibles</w:t>
      </w:r>
    </w:p>
    <w:tbl>
      <w:tblPr>
        <w:tblW w:w="6435" w:type="dxa"/>
        <w:jc w:val="left"/>
        <w:tblInd w:w="0" w:type="dxa"/>
        <w:tblLayout w:type="fixed"/>
        <w:tblCellMar>
          <w:top w:w="28" w:type="dxa"/>
          <w:left w:w="28" w:type="dxa"/>
          <w:bottom w:w="28" w:type="dxa"/>
          <w:right w:w="28" w:type="dxa"/>
        </w:tblCellMar>
      </w:tblPr>
      <w:tblGrid>
        <w:gridCol w:w="859"/>
        <w:gridCol w:w="754"/>
        <w:gridCol w:w="757"/>
        <w:gridCol w:w="317"/>
        <w:gridCol w:w="610"/>
        <w:gridCol w:w="407"/>
        <w:gridCol w:w="235"/>
        <w:gridCol w:w="235"/>
        <w:gridCol w:w="236"/>
        <w:gridCol w:w="367"/>
        <w:gridCol w:w="706"/>
        <w:gridCol w:w="471"/>
        <w:gridCol w:w="109"/>
        <w:gridCol w:w="109"/>
        <w:gridCol w:w="109"/>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was consistent for the three months ended January 2, 2026, as compared with the corresponding period in fiscal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Restructuring, Impairment, and Other Charges</w:t>
      </w:r>
    </w:p>
    <w:tbl>
      <w:tblPr>
        <w:tblW w:w="7857" w:type="dxa"/>
        <w:jc w:val="left"/>
        <w:tblInd w:w="0" w:type="dxa"/>
        <w:tblLayout w:type="fixed"/>
        <w:tblCellMar>
          <w:top w:w="28" w:type="dxa"/>
          <w:left w:w="28" w:type="dxa"/>
          <w:bottom w:w="28" w:type="dxa"/>
          <w:right w:w="28" w:type="dxa"/>
        </w:tblCellMar>
      </w:tblPr>
      <w:tblGrid>
        <w:gridCol w:w="1365"/>
        <w:gridCol w:w="1197"/>
        <w:gridCol w:w="1202"/>
        <w:gridCol w:w="283"/>
        <w:gridCol w:w="687"/>
        <w:gridCol w:w="364"/>
        <w:gridCol w:w="244"/>
        <w:gridCol w:w="244"/>
        <w:gridCol w:w="246"/>
        <w:gridCol w:w="367"/>
        <w:gridCol w:w="706"/>
        <w:gridCol w:w="471"/>
        <w:gridCol w:w="109"/>
        <w:gridCol w:w="109"/>
        <w:gridCol w:w="109"/>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612.5%</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restructuring, impairment, and other charges for the three months ended January 2, 2026, as compared with the corresponding period in fiscal 2025, was due to an increase in costs associated with facility consolidation and closure.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Interest Expense </w:t>
      </w:r>
    </w:p>
    <w:tbl>
      <w:tblPr>
        <w:tblW w:w="5549" w:type="dxa"/>
        <w:jc w:val="left"/>
        <w:tblInd w:w="0" w:type="dxa"/>
        <w:tblLayout w:type="fixed"/>
        <w:tblCellMar>
          <w:top w:w="28" w:type="dxa"/>
          <w:left w:w="28" w:type="dxa"/>
          <w:bottom w:w="28" w:type="dxa"/>
          <w:right w:w="28" w:type="dxa"/>
        </w:tblCellMar>
      </w:tblPr>
      <w:tblGrid>
        <w:gridCol w:w="538"/>
        <w:gridCol w:w="472"/>
        <w:gridCol w:w="474"/>
        <w:gridCol w:w="317"/>
        <w:gridCol w:w="610"/>
        <w:gridCol w:w="407"/>
        <w:gridCol w:w="235"/>
        <w:gridCol w:w="235"/>
        <w:gridCol w:w="236"/>
        <w:gridCol w:w="367"/>
        <w:gridCol w:w="706"/>
        <w:gridCol w:w="471"/>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was consistent for the three months ended January 2, 2026, as compared with the corresponding period in fiscal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5667" w:type="dxa"/>
        <w:jc w:val="left"/>
        <w:tblInd w:w="0" w:type="dxa"/>
        <w:tblLayout w:type="fixed"/>
        <w:tblCellMar>
          <w:top w:w="28" w:type="dxa"/>
          <w:left w:w="28" w:type="dxa"/>
          <w:bottom w:w="28" w:type="dxa"/>
          <w:right w:w="28" w:type="dxa"/>
        </w:tblCellMar>
      </w:tblPr>
      <w:tblGrid>
        <w:gridCol w:w="565"/>
        <w:gridCol w:w="496"/>
        <w:gridCol w:w="498"/>
        <w:gridCol w:w="283"/>
        <w:gridCol w:w="687"/>
        <w:gridCol w:w="364"/>
        <w:gridCol w:w="249"/>
        <w:gridCol w:w="249"/>
        <w:gridCol w:w="251"/>
        <w:gridCol w:w="328"/>
        <w:gridCol w:w="795"/>
        <w:gridCol w:w="421"/>
        <w:gridCol w:w="109"/>
        <w:gridCol w:w="109"/>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other income, net for the three months ended January 2, 2026, as compared with the corresponding period in fiscal 2025, was primarily due to a decrease in interest income generated from cash, cash equivalents, and marketable securities.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6344" w:type="dxa"/>
        <w:jc w:val="left"/>
        <w:tblInd w:w="0" w:type="dxa"/>
        <w:tblLayout w:type="fixed"/>
        <w:tblCellMar>
          <w:top w:w="28" w:type="dxa"/>
          <w:left w:w="28" w:type="dxa"/>
          <w:bottom w:w="28" w:type="dxa"/>
          <w:right w:w="28" w:type="dxa"/>
        </w:tblCellMar>
      </w:tblPr>
      <w:tblGrid>
        <w:gridCol w:w="826"/>
        <w:gridCol w:w="725"/>
        <w:gridCol w:w="728"/>
        <w:gridCol w:w="283"/>
        <w:gridCol w:w="687"/>
        <w:gridCol w:w="364"/>
        <w:gridCol w:w="235"/>
        <w:gridCol w:w="235"/>
        <w:gridCol w:w="236"/>
        <w:gridCol w:w="328"/>
        <w:gridCol w:w="795"/>
        <w:gridCol w:w="421"/>
        <w:gridCol w:w="109"/>
        <w:gridCol w:w="109"/>
        <w:gridCol w:w="109"/>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a provision for income taxes of $30.5 million for the three months ended January 2,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income tax expense for the three months ended January 2, 2026, as compared with the corresponding period in fiscal 2025, was primarily due to higher foreign taxes, share-based compensation shortfalls, uncertain tax positions, transaction costs related to the pending transaction with Qorvo, and a lower FDII benefit, partially offset by an increase in research and development credits.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2021, the OECD Inclusive Framework on BEPS released GloBE rules under Pillar Two. Many countries have implemented laws based on Pillar Two, which became effective for us beginning in fiscal 2025. In January 2026, the OECD Inclusive Framework released significant administrative guidance including the side-by-side safe harbor package that will apply to U.S. multinational enterprise groups. The tax impact associated with Pillar Two was immaterial to the financial statements for the three months ended January 2, 2026 and December 27, 2024. We continue to evaluate the impact of proposed and enacted legislative changes as new guidance becomes available.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U.S. government enacted the OBBBA. The OBBBA did not have a material impact to the financials for the three months ended January 2, 2026. We continue to evaluate the impact of the OBBBA on our business for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record additional impacts to its tax provision in the subsequent quarters as it continues to analyze the new law, other factors such as changes from its business operations, financial results and forecasts, and interrelated items.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tbl>
      <w:tblPr>
        <w:tblW w:w="7376" w:type="dxa"/>
        <w:jc w:val="left"/>
        <w:tblInd w:w="0" w:type="dxa"/>
        <w:tblLayout w:type="fixed"/>
        <w:tblCellMar>
          <w:top w:w="28" w:type="dxa"/>
          <w:left w:w="28" w:type="dxa"/>
          <w:bottom w:w="28" w:type="dxa"/>
          <w:right w:w="28" w:type="dxa"/>
        </w:tblCellMar>
      </w:tblPr>
      <w:tblGrid>
        <w:gridCol w:w="1494"/>
        <w:gridCol w:w="1312"/>
        <w:gridCol w:w="1319"/>
        <w:gridCol w:w="259"/>
        <w:gridCol w:w="942"/>
        <w:gridCol w:w="134"/>
        <w:gridCol w:w="109"/>
        <w:gridCol w:w="109"/>
        <w:gridCol w:w="109"/>
        <w:gridCol w:w="296"/>
        <w:gridCol w:w="1077"/>
        <w:gridCol w:w="21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1,602.5 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provided by operating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consists of net income for the period adjusted for certain non-cash items and changes in certain operating assets and liabilities. The $18.3 million increase in cash provided by operating activities during the three months ended January 2, 2026, as compared with the corresponding period in fiscal 2025, was primarily related to an increase in cash inflows as a result of changes to working capital (net of cash) of $90.0 million, due primarily to accounts receivable, partially offset by a lower net income.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provided by 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consists primarily of cash received related to the sale or maturity of marketable securities, partially offset by cash paid to purchase marketable securities, capital expenditures, and cash paid to acquire intangible assets. The $131.5 million increase in cash provided by investing activities during the three months ended January 2, 2026, as compared with the corresponding period in fiscal 2025, was primarily related to a decrease of $139.9 million in purchases of marketable securities and an increase of $15.5 million in the sale or maturity of marketable securities, partially offset by an increase of $17.5 million in capital expenditures purchases.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used in 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consists primarily of cash transactions related to equity and proceeds and payments related to our long-term borrowings. The $5.4 million decrease in cash used in financing activities during the three months ended January 2, 2026, as compared with the corresponding period in fiscal 2025, was primarily related to a decrease of $6.1 million in dividend payments.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 totaled $1,568.6 million as of January 2, 2026, representing an increase of $180.2 million from October 3,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outstanding $500.0 million of Notes Due 2026 and $500.0 million of Notes Due 2031 (the “Notes”). We have a Revolving Credit Agreement under which we may borrow up to $750.0 million for general corporate purposes and working capital needs of the Company and its subsidiaries. As of January 2, 2026, there were no borrowings outstanding under the Revolver. The Revolving Credit Agreement expires on November 18, 2030.</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execution of the Merger Agreement, we entered into a commitment letter on October 27, 2025, with Goldman Sachs Bank USA, which committed to provide, subject to the satisfaction of customary closing conditions, up to $3,050.0 million of senior unsecured bridge term loans for the purpose of financing a portion of the cash portion of the consideration to be paid to Qorvo stockholders, paying related fees and expenses in connection with the Mergers and the other transactions contemplated by the Merger Agreement and, in certain circumstances, to refinance certain of Qorvo’s senior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historical results of operations, we expect that our cash, cash equivalents, and marketable securities on hand,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share repurchases, outstanding commitments, and other liquidity requirements associated with existing operations. However, we cannot be certain that our cash, cash equivalents, and marketable securities on hand, cash generated from operations, and funds from our Revolver will be available in the future to fund all of our capital and operating requirements. In addition, any future strategic investments and significant acquisitions may require additional cash and capital resources. If we are unable to obtain sufficient cash or capital to meet our needs on a timely basis and on favorable terms, our business and operations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invested cash balances primarily consist of highly liquid marketable securities that are available to meet near-term cash requirements including: money market funds, U.S. Treasury and government securities, and corporate bonds and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contractual obligations disclosure in the 2025 10-K has not materially changed since we filed that report.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overall financial market risks, such as changes in market liquidity, credit quality, investment risk, interest rate risk, and foreign exchange rate risk as described below.</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Investment and Interest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exposure to interest rate and general market risks relates to our investment portfolio. Our investment portfolio consists of cash and cash equivalents (money market funds, corporate bonds and notes, and U.S. Treasury and government securities purchased with less than ninety days until maturity) that total approximately $1,550.4 million, and marketable securities (U.S. Treasury and government securities and corporate bonds and notes) of approximately $8.3 million and $9.9 million within short-term and long-term marketable securities, respectively, as of January 2,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main objectives of our investment activities are liquidity and preservation of capital. Our cash equivalent investments have short-term maturity periods that dampen the impact of market or interest rate risk. Our marketable securities have short-term and long-term maturity periods between 90 days and two years. Credit risk associated with our investments is not material because our investments are diversified across several types of securities with high credit ratings, which reduces the amount of credit exposure to any one investment.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results of operations for the three months ended January 2, 2026, a hypothetical reduction in the interest rates on our cash, cash equivalents, and other investments of 100 basis points would result in an immaterial reduction of interest income with a de minimis impact on income before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believe that investment or interest rate risks currently pose material exposures to our business or results of operations.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Foreign Exchange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For the three months ended January 2, 2026 and December 27, 2024, we had not entered into any outstanding foreign currency forward or options contracts with financial institutions.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evaluated the effectiveness of our disclosure controls and procedures as of January 2,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January 2, 2026, our chief executive officer and chief financial officer concluded that, as of such date, our disclosure controls and procedures were effective at the reasonable assurance level.</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i/>
          <w:color w:val="000000"/>
          <w:sz w:val="20"/>
        </w:rPr>
        <w:t>Changes in Internal Control Over Financial Reporting</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changes to our internal control over financial reporting (as defined in Rules 13a-15(f) and 15d-15(f) of the Exchange Act) that occurred during the first quarter of fiscal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w:t>
      </w:r>
      <w:r>
        <w:rPr>
          <w:color w:val="000000"/>
        </w:rPr>
        <w:t xml:space="preserve"> </w:t>
      </w:r>
      <w:r>
        <w:rPr>
          <w:rFonts w:ascii="Times New Roman;serif" w:hAnsi="Times New Roman;serif"/>
          <w:b/>
          <w:color w:val="000000"/>
          <w:sz w:val="20"/>
        </w:rPr>
        <w:t>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9 of the Notes to Consolidated Financial Statements for a detailed discussion.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factors discussed in Part I, Item 1A Risk Factors in the 2025 10-K, which could materially affect our business, financial condition, or future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repurchases of common stock made during the three months ended January 2, 2026:</w:t>
      </w:r>
    </w:p>
    <w:tbl>
      <w:tblPr>
        <w:tblW w:w="10205" w:type="dxa"/>
        <w:jc w:val="left"/>
        <w:tblInd w:w="0" w:type="dxa"/>
        <w:tblLayout w:type="fixed"/>
        <w:tblCellMar>
          <w:top w:w="28" w:type="dxa"/>
          <w:left w:w="28" w:type="dxa"/>
          <w:bottom w:w="28" w:type="dxa"/>
          <w:right w:w="28" w:type="dxa"/>
        </w:tblCellMar>
      </w:tblPr>
      <w:tblGrid>
        <w:gridCol w:w="361"/>
        <w:gridCol w:w="318"/>
        <w:gridCol w:w="321"/>
        <w:gridCol w:w="488"/>
        <w:gridCol w:w="488"/>
        <w:gridCol w:w="490"/>
        <w:gridCol w:w="109"/>
        <w:gridCol w:w="109"/>
        <w:gridCol w:w="109"/>
        <w:gridCol w:w="416"/>
        <w:gridCol w:w="416"/>
        <w:gridCol w:w="417"/>
        <w:gridCol w:w="948"/>
        <w:gridCol w:w="948"/>
        <w:gridCol w:w="951"/>
        <w:gridCol w:w="968"/>
        <w:gridCol w:w="968"/>
        <w:gridCol w:w="1380"/>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 (1)</w:t>
            </w:r>
          </w:p>
        </w:tc>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 (1) (2)</w:t>
            </w:r>
          </w:p>
        </w:tc>
      </w:tr>
      <w:tr>
        <w:trPr/>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10/04/25 - 10/31/25</w:t>
            </w:r>
          </w:p>
        </w:tc>
        <w:tc>
          <w:tcPr>
            <w:tcW w:w="1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billion</w:t>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11/01/25 - 11/28/25</w:t>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621,305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$62.78</w:t>
            </w:r>
          </w:p>
        </w:tc>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billion</w:t>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11/29/25 - 01/02/26</w:t>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billion</w:t>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621,305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 The stock repurchase program approved by the Board of Directors on February 4, 2025 authorized the repurchase of up to $2.0 billion of our common stock from time to time on the open market or in privately negotiated transactions, in compliance with applicable securities laws and other legal requirements, and expires on February 3, 2027.</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Company’s net share repurchases are subject to a 1% excise tax under the Inflation Reduction Act. Excise tax incurred reduces the amount available under the stock repurchase program, as applicable, and is included in the cost of shares repurchased in the Consolidated Statement of Stockholders’ Equity.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Represents shares repurchased by us at the fair market value of the common stock as of the applicable purchase date, in connection with the satisfaction of tax withholding obligations under equity award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6"/>
        <w:gridCol w:w="234"/>
        <w:gridCol w:w="236"/>
        <w:gridCol w:w="2268"/>
        <w:gridCol w:w="1903"/>
        <w:gridCol w:w="1910"/>
        <w:gridCol w:w="170"/>
        <w:gridCol w:w="170"/>
        <w:gridCol w:w="171"/>
        <w:gridCol w:w="247"/>
        <w:gridCol w:w="247"/>
        <w:gridCol w:w="207"/>
        <w:gridCol w:w="227"/>
        <w:gridCol w:w="227"/>
        <w:gridCol w:w="186"/>
        <w:gridCol w:w="250"/>
        <w:gridCol w:w="210"/>
        <w:gridCol w:w="167"/>
        <w:gridCol w:w="264"/>
        <w:gridCol w:w="264"/>
        <w:gridCol w:w="38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Exhibit</w:t>
            </w:r>
          </w:p>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6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c>
          <w:tcPr>
            <w:tcW w:w="5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1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Incorporated by Reference</w:t>
            </w:r>
          </w:p>
        </w:tc>
        <w:tc>
          <w:tcPr>
            <w:tcW w:w="9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Filed Herewith</w:t>
            </w:r>
          </w:p>
        </w:tc>
      </w:tr>
      <w:tr>
        <w:trPr/>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608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vMerge w:val="continue"/>
            <w:tcBorders/>
            <w:tcMar>
              <w:top w:w="0" w:type="dxa"/>
              <w:left w:w="0" w:type="dxa"/>
              <w:bottom w:w="0" w:type="dxa"/>
              <w:right w:w="0" w:type="dxa"/>
            </w:tcMar>
            <w:vAlign w:val="center"/>
          </w:tcPr>
          <w:p>
            <w:pPr>
              <w:pStyle w:val="Normal"/>
              <w:bidi w:val="0"/>
              <w:jc w:val="left"/>
              <w:rPr/>
            </w:pPr>
            <w:r>
              <w:rPr/>
            </w:r>
          </w:p>
        </w:tc>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 No.</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 Date</w:t>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Agreement and Plan of Merger, dated as of October 27, 2025, by and among Skyworks Solutions, Inc., Qorvo, Inc., Comet Acquisition Corp. and Comet Acquisition II, LLC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10/28/2025</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fy26eip.htm">
              <w:r>
                <w:rPr>
                  <w:rStyle w:val="InternetLink"/>
                  <w:rFonts w:ascii="Times New Roman;serif" w:hAnsi="Times New Roman;serif"/>
                  <w:b w:val="false"/>
                  <w:color w:val="0000FF"/>
                  <w:sz w:val="20"/>
                  <w:u w:val="single"/>
                </w:rPr>
                <w:t>Fiscal Year 2026 Executive Incentive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Second Amendment, dated as of November 18, 2025, among the Company, the borrowing subsidiaries thereto and JPMorgan Chase Bank, N.A. as administrative agent, amending the Revolving Credit Agreement, dated as of May 21, 2021, by and among the Company, the lenders party thereto and the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11/24/2025</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Commitment Letter, dated as of October 27, 2025, by and between Skyworks Solutions, Inc. and Goldman Sachs Bank USA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10/28/2025</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Voting and Support Agreement, dated as of October 27, 2025, by and between Skyworks Solutions, Inc. and certain affiliates of Starboard Value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10/28/2025</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Severance and Change in Control Benefits Plan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11/14/2025</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6exhibit311.htm">
              <w:r>
                <w:rPr>
                  <w:rStyle w:val="InternetLink"/>
                  <w:rFonts w:ascii="Times New Roman;serif" w:hAnsi="Times New Roman;serif"/>
                  <w:b w:val="false"/>
                  <w:color w:val="000080"/>
                  <w:sz w:val="20"/>
                  <w:u w:val="single"/>
                </w:rPr>
                <w:t xml:space="preserve">Certification of the Company’s </w:t>
              </w:r>
            </w:hyperlink>
            <w:hyperlink w:anchor="q126exhibit311.htm">
              <w:r>
                <w:rPr>
                  <w:rStyle w:val="InternetLink"/>
                  <w:rFonts w:ascii="Times New Roman;serif" w:hAnsi="Times New Roman;serif"/>
                  <w:b w:val="false"/>
                  <w:color w:val="000080"/>
                  <w:sz w:val="20"/>
                  <w:u w:val="single"/>
                </w:rPr>
                <w:t>Principal</w:t>
              </w:r>
            </w:hyperlink>
            <w:hyperlink w:anchor="q126exhibit311.htm">
              <w:r>
                <w:rPr>
                  <w:rStyle w:val="InternetLink"/>
                  <w:rFonts w:ascii="Times New Roman;serif" w:hAnsi="Times New Roman;serif"/>
                  <w:b w:val="false"/>
                  <w:color w:val="000080"/>
                  <w:sz w:val="20"/>
                  <w:u w:val="single"/>
                </w:rPr>
                <w:t xml:space="preserve"> Executive Officer pursuant to Securities Exchange Act of 1934, as amended, Rules 13a-14(a) and 15d-14(a),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6exhibit312.htm">
              <w:r>
                <w:rPr>
                  <w:rStyle w:val="InternetLink"/>
                  <w:rFonts w:ascii="Times New Roman;serif" w:hAnsi="Times New Roman;serif"/>
                  <w:b w:val="false"/>
                  <w:color w:val="000080"/>
                  <w:sz w:val="20"/>
                  <w:u w:val="single"/>
                </w:rPr>
                <w:t xml:space="preserve">Certification of the Company’s </w:t>
              </w:r>
            </w:hyperlink>
            <w:hyperlink w:anchor="q126exhibit312.htm">
              <w:r>
                <w:rPr>
                  <w:rStyle w:val="InternetLink"/>
                  <w:rFonts w:ascii="Times New Roman;serif" w:hAnsi="Times New Roman;serif"/>
                  <w:b w:val="false"/>
                  <w:color w:val="000080"/>
                  <w:sz w:val="20"/>
                  <w:u w:val="single"/>
                </w:rPr>
                <w:t>Principal</w:t>
              </w:r>
            </w:hyperlink>
            <w:hyperlink w:anchor="q126exhibit312.htm">
              <w:r>
                <w:rPr>
                  <w:rStyle w:val="InternetLink"/>
                  <w:rFonts w:ascii="Times New Roman;serif" w:hAnsi="Times New Roman;serif"/>
                  <w:b w:val="false"/>
                  <w:color w:val="000080"/>
                  <w:sz w:val="20"/>
                  <w:u w:val="single"/>
                </w:rPr>
                <w:t xml:space="preserve"> Financial Officer pursuant to Securities Exchange Act of 1934, as amended, Rules 13a-14(a) and 15d-14(a),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6exhibit321.htm">
              <w:r>
                <w:rPr>
                  <w:rStyle w:val="InternetLink"/>
                  <w:rFonts w:ascii="Times New Roman;serif" w:hAnsi="Times New Roman;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6exhibit322.htm">
              <w:r>
                <w:rPr>
                  <w:rStyle w:val="InternetLink"/>
                  <w:rFonts w:ascii="Times New Roman;serif" w:hAnsi="Times New Roman;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1cd5e9beceb4b9caa404847d7f80d49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2063"/>
        <w:gridCol w:w="1995"/>
        <w:gridCol w:w="2003"/>
        <w:gridCol w:w="170"/>
        <w:gridCol w:w="170"/>
        <w:gridCol w:w="171"/>
        <w:gridCol w:w="183"/>
        <w:gridCol w:w="171"/>
        <w:gridCol w:w="171"/>
        <w:gridCol w:w="227"/>
        <w:gridCol w:w="227"/>
        <w:gridCol w:w="201"/>
        <w:gridCol w:w="263"/>
        <w:gridCol w:w="238"/>
        <w:gridCol w:w="216"/>
        <w:gridCol w:w="300"/>
        <w:gridCol w:w="300"/>
        <w:gridCol w:w="43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Exhibit</w:t>
            </w:r>
          </w:p>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60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c>
          <w:tcPr>
            <w:tcW w:w="5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1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Incorporated by Reference</w:t>
            </w:r>
          </w:p>
        </w:tc>
        <w:tc>
          <w:tcPr>
            <w:tcW w:w="10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Filed Herewith</w:t>
            </w:r>
          </w:p>
        </w:tc>
      </w:tr>
      <w:tr>
        <w:trPr/>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606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vMerge w:val="continue"/>
            <w:tcBorders/>
            <w:tcMar>
              <w:top w:w="0" w:type="dxa"/>
              <w:left w:w="0" w:type="dxa"/>
              <w:bottom w:w="0" w:type="dxa"/>
              <w:right w:w="0" w:type="dxa"/>
            </w:tcMar>
            <w:vAlign w:val="center"/>
          </w:tcPr>
          <w:p>
            <w:pPr>
              <w:pStyle w:val="Normal"/>
              <w:bidi w:val="0"/>
              <w:jc w:val="left"/>
              <w:rPr/>
            </w:pPr>
            <w:r>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 No.</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 Date</w:t>
            </w:r>
          </w:p>
        </w:tc>
        <w:tc>
          <w:tcPr>
            <w:tcW w:w="10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Portions of this exhibit have been omitted because such information is not material and is the type of information that the Registrant treats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91cd5e9beceb4b9caa404847d7f80d49_7">
        <w:r>
          <w:rPr>
            <w:rStyle w:val="InternetLink"/>
            <w:rFonts w:ascii="Times New Roman;serif" w:hAnsi="Times New Roman;serif"/>
            <w:b w:val="false"/>
            <w:color w:val="0000FF"/>
            <w:sz w:val="18"/>
            <w:u w:val="single"/>
          </w:rPr>
          <w:t>Table of Contents</w:t>
        </w:r>
      </w:hyperlink>
    </w:p>
    <w:p>
      <w:pPr>
        <w:pStyle w:val="TextBody"/>
        <w:bidi w:val="0"/>
        <w:spacing w:lineRule="auto" w:line="288" w:before="27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9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475"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432"/>
        <w:gridCol w:w="432"/>
        <w:gridCol w:w="432"/>
        <w:gridCol w:w="1210"/>
        <w:gridCol w:w="1210"/>
        <w:gridCol w:w="172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SKYWORKS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G. Brace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Carter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Carter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Certain identified information has been excluded from the exhibit because (i) it is not material and (ii) is the type of information that the Company treats as private or confidential. Bracketed asterisks denote omissions.</w:t>
      </w:r>
    </w:p>
    <w:p>
      <w:pPr>
        <w:pStyle w:val="TextBody"/>
        <w:bidi w:val="0"/>
        <w:spacing w:before="0" w:after="0"/>
        <w:jc w:val="left"/>
        <w:rPr/>
      </w:pPr>
      <w:r>
        <w:rPr/>
      </w:r>
    </w:p>
    <w:p>
      <w:pPr>
        <w:pStyle w:val="TextBody"/>
        <w:bidi w:val="0"/>
        <w:spacing w:before="0" w:after="0"/>
        <w:jc w:val="center"/>
        <w:rPr/>
      </w:pPr>
      <w:r>
        <w:rPr/>
        <w:drawing>
          <wp:inline distT="0" distB="0" distL="0" distR="0">
            <wp:extent cx="1809750" cy="600075"/>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7"/>
                    <a:stretch>
                      <a:fillRect/>
                    </a:stretch>
                  </pic:blipFill>
                  <pic:spPr bwMode="auto">
                    <a:xfrm>
                      <a:off x="0" y="0"/>
                      <a:ext cx="1809750" cy="600075"/>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FY26 Executive Incentive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both"/>
        <w:rPr/>
      </w:pPr>
      <w:r>
        <w:rPr>
          <w:rFonts w:ascii="Arial;sans-serif" w:hAnsi="Arial;sans-serif"/>
          <w:b/>
          <w:color w:val="000000"/>
          <w:sz w:val="22"/>
        </w:rPr>
        <w:t xml:space="preserve">1.Purpose: </w:t>
      </w:r>
      <w:r>
        <w:rPr>
          <w:rFonts w:ascii="Arial;sans-serif" w:hAnsi="Arial;sans-serif"/>
          <w:b w:val="false"/>
          <w:color w:val="000000"/>
          <w:sz w:val="22"/>
        </w:rPr>
        <w:t>The FY26 Executive Incentive Plan (the “FY26 Plan”) is designed to reward key management for achieving certain financial and business objectives.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left"/>
        <w:rPr/>
      </w:pPr>
      <w:r>
        <w:rPr>
          <w:rFonts w:ascii="Arial;sans-serif" w:hAnsi="Arial;sans-serif"/>
          <w:b/>
          <w:color w:val="000000"/>
          <w:sz w:val="22"/>
        </w:rPr>
        <w:t xml:space="preserve">2.Plan Period: </w:t>
      </w:r>
      <w:r>
        <w:rPr>
          <w:rFonts w:ascii="Arial;sans-serif" w:hAnsi="Arial;sans-serif"/>
          <w:b w:val="false"/>
          <w:color w:val="000000"/>
          <w:sz w:val="22"/>
        </w:rPr>
        <w:t>FY26 Plan covers the Company’s fiscal year 2026 (i.e., October 4, 2025 through October 2,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sans-serif" w:hAnsi="Arial;sans-serif"/>
          <w:b/>
          <w:color w:val="000000"/>
          <w:sz w:val="22"/>
        </w:rPr>
        <w:t xml:space="preserve">3.Eligibility: </w:t>
      </w:r>
      <w:r>
        <w:rPr>
          <w:rFonts w:ascii="Arial;sans-serif" w:hAnsi="Arial;sans-serif"/>
          <w:b w:val="false"/>
          <w:color w:val="000000"/>
          <w:sz w:val="22"/>
        </w:rPr>
        <w:t>This program applies to the Chief Executive Officer and his direct reporting senior executives. Other key employees may be added based upon the recommendation of the Chief Executive Officer and subsequent approval of the Compensation Committee. Those employees not covered by this FY26 Plan may be eligible for other programs established by Skyworks.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sans-serif" w:hAnsi="Arial;sans-serif"/>
          <w:b/>
          <w:color w:val="000000"/>
          <w:sz w:val="22"/>
        </w:rPr>
        <w:t xml:space="preserve">4.Incentive Targets: </w:t>
      </w:r>
      <w:r>
        <w:rPr>
          <w:rFonts w:ascii="Arial;sans-serif" w:hAnsi="Arial;sans-serif"/>
          <w:b w:val="false"/>
          <w:color w:val="000000"/>
          <w:sz w:val="22"/>
        </w:rPr>
        <w:t xml:space="preserve">Participants are eligible to earn an incentive bonus equal to a percentage of their base salary based on the Company’s achievement of certain performance metrics as set forth below. Nominal, target and stretch incentive awards have been established as follows (shown as a percentage of the participant’s base salary): </w:t>
      </w:r>
    </w:p>
    <w:p>
      <w:pPr>
        <w:pStyle w:val="TextBody"/>
        <w:bidi w:val="0"/>
        <w:spacing w:before="0" w:after="0"/>
        <w:jc w:val="both"/>
        <w:rPr/>
      </w:pPr>
      <w:r>
        <w:rPr/>
      </w:r>
    </w:p>
    <w:tbl>
      <w:tblPr>
        <w:tblW w:w="5172" w:type="dxa"/>
        <w:jc w:val="center"/>
        <w:tblInd w:w="0" w:type="dxa"/>
        <w:tblLayout w:type="fixed"/>
        <w:tblCellMar>
          <w:top w:w="28" w:type="dxa"/>
          <w:left w:w="28" w:type="dxa"/>
          <w:bottom w:w="28" w:type="dxa"/>
          <w:right w:w="28" w:type="dxa"/>
        </w:tblCellMar>
      </w:tblPr>
      <w:tblGrid>
        <w:gridCol w:w="829"/>
        <w:gridCol w:w="728"/>
        <w:gridCol w:w="738"/>
        <w:gridCol w:w="339"/>
        <w:gridCol w:w="339"/>
        <w:gridCol w:w="341"/>
        <w:gridCol w:w="294"/>
        <w:gridCol w:w="294"/>
        <w:gridCol w:w="296"/>
        <w:gridCol w:w="285"/>
        <w:gridCol w:w="285"/>
        <w:gridCol w:w="404"/>
      </w:tblGrid>
      <w:tr>
        <w:trPr/>
        <w:tc>
          <w:tcPr>
            <w:tcW w:w="82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FFFFFF"/>
                <w:sz w:val="16"/>
              </w:rPr>
            </w:pPr>
            <w:r>
              <w:rPr>
                <w:rFonts w:ascii="sans-serif" w:hAnsi="sans-serif"/>
                <w:b w:val="false"/>
                <w:color w:val="FFFFFF"/>
                <w:sz w:val="16"/>
              </w:rPr>
              <w:t>Name</w:t>
            </w:r>
          </w:p>
        </w:tc>
        <w:tc>
          <w:tcPr>
            <w:tcW w:w="1019" w:type="dxa"/>
            <w:gridSpan w:val="3"/>
            <w:tcBorders>
              <w:top w:val="single" w:sz="4" w:space="0" w:color="000000"/>
              <w:left w:val="single" w:sz="4" w:space="0" w:color="000000"/>
            </w:tcBorders>
            <w:shd w:fill="000000" w:val="clear"/>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val="false"/>
                <w:color w:val="FFFFFF"/>
                <w:sz w:val="16"/>
              </w:rPr>
            </w:pPr>
            <w:r>
              <w:rPr>
                <w:rFonts w:ascii="sans-serif" w:hAnsi="sans-serif"/>
                <w:b w:val="false"/>
                <w:color w:val="FFFFFF"/>
                <w:sz w:val="16"/>
              </w:rPr>
              <w:t>Incentive</w:t>
              <w:br/>
              <w:t>At Nominal</w:t>
            </w:r>
          </w:p>
        </w:tc>
        <w:tc>
          <w:tcPr>
            <w:tcW w:w="884" w:type="dxa"/>
            <w:gridSpan w:val="3"/>
            <w:tcBorders>
              <w:top w:val="single" w:sz="4" w:space="0" w:color="000000"/>
              <w:left w:val="single" w:sz="4" w:space="0" w:color="000000"/>
            </w:tcBorders>
            <w:shd w:fill="000000" w:val="clear"/>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val="false"/>
                <w:color w:val="FFFFFF"/>
                <w:sz w:val="16"/>
              </w:rPr>
            </w:pPr>
            <w:r>
              <w:rPr>
                <w:rFonts w:ascii="sans-serif" w:hAnsi="sans-serif"/>
                <w:b w:val="false"/>
                <w:color w:val="FFFFFF"/>
                <w:sz w:val="16"/>
              </w:rPr>
              <w:t>Incentive</w:t>
              <w:br/>
              <w:t>At Target</w:t>
            </w:r>
          </w:p>
        </w:tc>
        <w:tc>
          <w:tcPr>
            <w:tcW w:w="974" w:type="dxa"/>
            <w:gridSpan w:val="3"/>
            <w:tcBorders>
              <w:top w:val="single" w:sz="4" w:space="0" w:color="000000"/>
              <w:left w:val="single" w:sz="4" w:space="0" w:color="000000"/>
              <w:right w:val="single" w:sz="4" w:space="0" w:color="000000"/>
            </w:tcBorders>
            <w:shd w:fill="000000" w:val="clear"/>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val="false"/>
                <w:color w:val="FFFFFF"/>
                <w:sz w:val="16"/>
              </w:rPr>
            </w:pPr>
            <w:r>
              <w:rPr>
                <w:rFonts w:ascii="sans-serif" w:hAnsi="sans-serif"/>
                <w:b w:val="false"/>
                <w:color w:val="FFFFFF"/>
                <w:sz w:val="16"/>
              </w:rPr>
              <w:t>Incentive</w:t>
              <w:br/>
              <w:t>At Stretch</w:t>
            </w:r>
          </w:p>
        </w:tc>
      </w:tr>
      <w:tr>
        <w:trPr/>
        <w:tc>
          <w:tcPr>
            <w:tcW w:w="22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CEO</w:t>
            </w:r>
          </w:p>
        </w:tc>
        <w:tc>
          <w:tcPr>
            <w:tcW w:w="1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80%</w:t>
            </w:r>
          </w:p>
        </w:tc>
        <w:tc>
          <w:tcPr>
            <w:tcW w:w="8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160%</w:t>
            </w:r>
          </w:p>
        </w:tc>
        <w:tc>
          <w:tcPr>
            <w:tcW w:w="97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320%</w:t>
            </w:r>
          </w:p>
        </w:tc>
      </w:tr>
      <w:tr>
        <w:trPr/>
        <w:tc>
          <w:tcPr>
            <w:tcW w:w="22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CFO</w:t>
            </w:r>
          </w:p>
        </w:tc>
        <w:tc>
          <w:tcPr>
            <w:tcW w:w="1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50%</w:t>
            </w:r>
          </w:p>
        </w:tc>
        <w:tc>
          <w:tcPr>
            <w:tcW w:w="8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100%</w:t>
            </w:r>
          </w:p>
        </w:tc>
        <w:tc>
          <w:tcPr>
            <w:tcW w:w="97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200%</w:t>
            </w:r>
          </w:p>
        </w:tc>
      </w:tr>
      <w:tr>
        <w:trPr/>
        <w:tc>
          <w:tcPr>
            <w:tcW w:w="22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Chief Ops &amp; Tech Officer</w:t>
            </w:r>
          </w:p>
        </w:tc>
        <w:tc>
          <w:tcPr>
            <w:tcW w:w="1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45%</w:t>
            </w:r>
          </w:p>
        </w:tc>
        <w:tc>
          <w:tcPr>
            <w:tcW w:w="8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90%</w:t>
            </w:r>
          </w:p>
        </w:tc>
        <w:tc>
          <w:tcPr>
            <w:tcW w:w="97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180%</w:t>
            </w:r>
          </w:p>
        </w:tc>
      </w:tr>
      <w:tr>
        <w:trPr/>
        <w:tc>
          <w:tcPr>
            <w:tcW w:w="229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Other CEO Direct Reports </w:t>
            </w:r>
          </w:p>
        </w:tc>
        <w:tc>
          <w:tcPr>
            <w:tcW w:w="10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40%</w:t>
            </w:r>
          </w:p>
        </w:tc>
        <w:tc>
          <w:tcPr>
            <w:tcW w:w="8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80%</w:t>
            </w:r>
          </w:p>
        </w:tc>
        <w:tc>
          <w:tcPr>
            <w:tcW w:w="97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160%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both"/>
        <w:rPr/>
      </w:pPr>
      <w:r>
        <w:rPr>
          <w:rFonts w:ascii="Arial;sans-serif" w:hAnsi="Arial;sans-serif"/>
          <w:b/>
          <w:color w:val="000000"/>
          <w:sz w:val="22"/>
        </w:rPr>
        <w:t xml:space="preserve">5.Metrics: </w:t>
      </w:r>
      <w:r>
        <w:rPr>
          <w:rFonts w:ascii="Arial;sans-serif" w:hAnsi="Arial;sans-serif"/>
          <w:b w:val="false"/>
          <w:color w:val="000000"/>
          <w:sz w:val="22"/>
        </w:rPr>
        <w:t>The performance metrics for FY26 are as follows:</w:t>
      </w:r>
    </w:p>
    <w:p>
      <w:pPr>
        <w:pStyle w:val="TextBody"/>
        <w:bidi w:val="0"/>
        <w:spacing w:before="0" w:after="0"/>
        <w:jc w:val="left"/>
        <w:rPr/>
      </w:pPr>
      <w:r>
        <w:rPr/>
      </w:r>
    </w:p>
    <w:tbl>
      <w:tblPr>
        <w:tblW w:w="4923" w:type="dxa"/>
        <w:jc w:val="left"/>
        <w:tblInd w:w="0" w:type="dxa"/>
        <w:tblLayout w:type="fixed"/>
        <w:tblCellMar>
          <w:top w:w="28" w:type="dxa"/>
          <w:left w:w="28" w:type="dxa"/>
          <w:bottom w:w="28" w:type="dxa"/>
          <w:right w:w="28" w:type="dxa"/>
        </w:tblCellMar>
      </w:tblPr>
      <w:tblGrid>
        <w:gridCol w:w="1018"/>
        <w:gridCol w:w="895"/>
        <w:gridCol w:w="907"/>
        <w:gridCol w:w="255"/>
        <w:gridCol w:w="255"/>
        <w:gridCol w:w="256"/>
        <w:gridCol w:w="205"/>
        <w:gridCol w:w="205"/>
        <w:gridCol w:w="206"/>
        <w:gridCol w:w="211"/>
        <w:gridCol w:w="211"/>
        <w:gridCol w:w="299"/>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left w:val="single" w:sz="8" w:space="0" w:color="000000"/>
            </w:tcBorders>
            <w:shd w:fill="000000"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Metric ($M)</w:t>
            </w:r>
          </w:p>
        </w:tc>
        <w:tc>
          <w:tcPr>
            <w:tcW w:w="766" w:type="dxa"/>
            <w:gridSpan w:val="3"/>
            <w:tcBorders>
              <w:top w:val="single" w:sz="8" w:space="0" w:color="000000"/>
            </w:tcBorders>
            <w:shd w:fill="000000"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Nominal</w:t>
            </w:r>
          </w:p>
        </w:tc>
        <w:tc>
          <w:tcPr>
            <w:tcW w:w="616" w:type="dxa"/>
            <w:gridSpan w:val="3"/>
            <w:tcBorders>
              <w:top w:val="single" w:sz="8" w:space="0" w:color="000000"/>
            </w:tcBorders>
            <w:shd w:fill="000000"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Target</w:t>
            </w:r>
          </w:p>
        </w:tc>
        <w:tc>
          <w:tcPr>
            <w:tcW w:w="721" w:type="dxa"/>
            <w:gridSpan w:val="3"/>
            <w:tcBorders>
              <w:top w:val="single" w:sz="8" w:space="0" w:color="000000"/>
              <w:right w:val="single" w:sz="8" w:space="0" w:color="000000"/>
            </w:tcBorders>
            <w:shd w:fill="000000" w:val="clear"/>
            <w:tcMar>
              <w:top w:w="30" w:type="dxa"/>
              <w:left w:w="0" w:type="dxa"/>
              <w:bottom w:w="0" w:type="dxa"/>
              <w:right w:w="48"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Stretch</w:t>
            </w:r>
          </w:p>
        </w:tc>
      </w:tr>
      <w:tr>
        <w:trPr/>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Corporate Operating Income Dollars</w:t>
            </w:r>
            <w:r>
              <w:rPr>
                <w:rFonts w:ascii="Arial;sans-serif" w:hAnsi="Arial;sans-serif"/>
                <w:b w:val="false"/>
                <w:color w:val="000000"/>
                <w:sz w:val="10"/>
              </w:rPr>
              <w:t>1</w:t>
            </w:r>
          </w:p>
        </w:tc>
        <w:tc>
          <w:tcPr>
            <w:tcW w:w="76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w:t>
            </w:r>
          </w:p>
        </w:tc>
        <w:tc>
          <w:tcPr>
            <w:tcW w:w="61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w:t>
            </w:r>
          </w:p>
        </w:tc>
        <w:tc>
          <w:tcPr>
            <w:tcW w:w="72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w:t>
            </w:r>
          </w:p>
        </w:tc>
      </w:tr>
      <w:tr>
        <w:trPr/>
        <w:tc>
          <w:tcPr>
            <w:tcW w:w="282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Revenue</w:t>
            </w:r>
          </w:p>
        </w:tc>
        <w:tc>
          <w:tcPr>
            <w:tcW w:w="76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w:t>
            </w:r>
          </w:p>
        </w:tc>
        <w:tc>
          <w:tcPr>
            <w:tcW w:w="61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w:t>
            </w:r>
          </w:p>
        </w:tc>
        <w:tc>
          <w:tcPr>
            <w:tcW w:w="72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w:t>
            </w:r>
          </w:p>
        </w:tc>
      </w:tr>
    </w:tbl>
    <w:p>
      <w:pPr>
        <w:pStyle w:val="TextBody"/>
        <w:bidi w:val="0"/>
        <w:spacing w:lineRule="auto" w:line="288"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operating income</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Note: Minimum FY26 annual operating level of performance = FY26 nominal non-GAAP operating income metric above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Each performance metric above anticipates normal operations. Any changes or adjustments to the performance metrics (or metric weightings) to take account of extraordinary, unusual, or special items (e.g., restructurings, acquisitions and/or dispositions), or such other items as the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67360"/>
                <wp:effectExtent l="0" t="0" r="0" b="0"/>
                <wp:wrapNone/>
                <wp:docPr id="31" name="Frame30"/>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 of 2</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Compensation Committee may determine in its sole discretion, will be made in the sole discretion of the Compensation Committee.</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Payments to be made with respect to the metrics will be weighted based on performance as follows, with percentages representing percentages of the participant’s target award: </w:t>
      </w:r>
    </w:p>
    <w:p>
      <w:pPr>
        <w:pStyle w:val="TextBody"/>
        <w:bidi w:val="0"/>
        <w:spacing w:before="0" w:after="0"/>
        <w:jc w:val="both"/>
        <w:rPr/>
      </w:pPr>
      <w:r>
        <w:rPr/>
      </w:r>
    </w:p>
    <w:tbl>
      <w:tblPr>
        <w:tblW w:w="4408" w:type="dxa"/>
        <w:jc w:val="center"/>
        <w:tblInd w:w="0" w:type="dxa"/>
        <w:tblLayout w:type="fixed"/>
        <w:tblCellMar>
          <w:top w:w="28" w:type="dxa"/>
          <w:left w:w="28" w:type="dxa"/>
          <w:bottom w:w="28" w:type="dxa"/>
          <w:right w:w="28" w:type="dxa"/>
        </w:tblCellMar>
      </w:tblPr>
      <w:tblGrid>
        <w:gridCol w:w="428"/>
        <w:gridCol w:w="377"/>
        <w:gridCol w:w="379"/>
        <w:gridCol w:w="659"/>
        <w:gridCol w:w="659"/>
        <w:gridCol w:w="661"/>
        <w:gridCol w:w="364"/>
        <w:gridCol w:w="364"/>
        <w:gridCol w:w="517"/>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4" w:space="0" w:color="000000"/>
              <w:left w:val="single" w:sz="4" w:space="0" w:color="000000"/>
            </w:tcBorders>
            <w:shd w:fill="000000"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FY26 Operating Income $</w:t>
            </w:r>
          </w:p>
        </w:tc>
        <w:tc>
          <w:tcPr>
            <w:tcW w:w="1245" w:type="dxa"/>
            <w:gridSpan w:val="3"/>
            <w:tcBorders>
              <w:top w:val="single" w:sz="4" w:space="0" w:color="000000"/>
              <w:left w:val="single" w:sz="4" w:space="0" w:color="000000"/>
              <w:right w:val="single" w:sz="4" w:space="0" w:color="000000"/>
            </w:tcBorders>
            <w:shd w:fill="000000" w:val="clear"/>
            <w:tcMar>
              <w:top w:w="30" w:type="dxa"/>
              <w:bottom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FFFFFF"/>
                <w:sz w:val="16"/>
              </w:rPr>
            </w:pPr>
            <w:r>
              <w:rPr>
                <w:rFonts w:ascii="Arial;sans-serif" w:hAnsi="Arial;sans-serif"/>
                <w:b w:val="false"/>
                <w:color w:val="FFFFFF"/>
                <w:sz w:val="16"/>
              </w:rPr>
              <w:t>FY26 Revenue</w:t>
            </w:r>
          </w:p>
        </w:tc>
      </w:tr>
      <w:tr>
        <w:trPr/>
        <w:tc>
          <w:tcPr>
            <w:tcW w:w="118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Participants</w:t>
            </w:r>
          </w:p>
        </w:tc>
        <w:tc>
          <w:tcPr>
            <w:tcW w:w="19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12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pPr>
      <w:r>
        <w:rPr>
          <w:rFonts w:ascii="Arial;sans-serif" w:hAnsi="Arial;sans-serif"/>
          <w:b/>
          <w:color w:val="000000"/>
          <w:sz w:val="22"/>
        </w:rPr>
        <w:t xml:space="preserve">6.How the Plan Works: </w:t>
      </w:r>
      <w:r>
        <w:rPr>
          <w:rFonts w:ascii="Arial;sans-serif" w:hAnsi="Arial;sans-serif"/>
          <w:b w:val="false"/>
          <w:color w:val="000000"/>
          <w:sz w:val="22"/>
        </w:rPr>
        <w:t>Upon completion of the applicable performance period, the Chief Executive Officer will provide the Compensation Committee with recommendations for incentive award payments to all named participants of the plan except himself. The Chief Executive Officer may recommend awards below a participant’s nominal incentive award or above a participant’s stretch incentive award. The Chief Executive Officer may also recommend modifications to incentive payments (including, but not limited to, the delivery of equity awards in lieu of cash) to ensure an equitable distribution of incentives. The Committee will review the recommendations and approve the actual amount (and form) of the payment to be made to each participant, including the Chief Executive Officer. All incentive award payments under the FY26 Plan, if earned, will be paid by March 15</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of the calendar year following the end of the calendar year in which the performance period ends.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both"/>
        <w:rPr/>
      </w:pPr>
      <w:r>
        <w:rPr>
          <w:rFonts w:ascii="Arial;sans-serif" w:hAnsi="Arial;sans-serif"/>
          <w:b/>
          <w:color w:val="000000"/>
          <w:sz w:val="22"/>
        </w:rPr>
        <w:t xml:space="preserve">7.Administration: </w:t>
      </w:r>
      <w:r>
        <w:rPr>
          <w:rFonts w:ascii="Arial;sans-serif" w:hAnsi="Arial;sans-serif"/>
          <w:b w:val="false"/>
          <w:color w:val="000000"/>
          <w:sz w:val="22"/>
        </w:rPr>
        <w:t>If actual performance achieved for the applicable performance period falls between the applicable Nominal and Target levels, or between the Target and Stretch levels, the achievement with respect to such metric shall be calculated based on a straight-line, mathematical interpolation between the applicable vesting percentages.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order to fund the incentive plans and ensure the Company’s overall financial performance, the following terms apply: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No incentive payments will be made with respect to the metrics unless the Company meets its minimum operating income goal (in dollars) after accounting for any incentive award payments (“Minimum Operating Level of Performance”).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Any payment shall be conditioned upon the Participant’s employment by the Company on the date of payment; provided, however, that the Compensation Committee may make exceptions to this requirement, in its sole discretion, including, without limitation, in the case of a participant’s termination of employment, retirement, death or disability.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Any payments made under this FY26 Plan will be subject to the provisions of any compensation clawback or recoupment policy that Skyworks has in effect or may adopt in the future.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ind w:left="0" w:right="0" w:hanging="720"/>
        <w:jc w:val="both"/>
        <w:rPr/>
      </w:pPr>
      <w:r>
        <w:rPr>
          <w:rFonts w:ascii="Arial;sans-serif" w:hAnsi="Arial;sans-serif"/>
          <w:b/>
          <w:color w:val="000000"/>
          <w:sz w:val="22"/>
        </w:rPr>
        <w:t xml:space="preserve">8.Taxes: </w:t>
      </w:r>
      <w:r>
        <w:rPr>
          <w:rFonts w:ascii="Arial;sans-serif" w:hAnsi="Arial;sans-serif"/>
          <w:b w:val="false"/>
          <w:color w:val="000000"/>
          <w:sz w:val="22"/>
        </w:rPr>
        <w:t>All awards are subject to applicable taxes, including federal, state, local, and social security taxes. Payments under this FY26 Plan will not affect the participant’s base salary, which is used as the basis for Skyworks’ benefits program.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67360"/>
                <wp:effectExtent l="0" t="0" r="0" b="0"/>
                <wp:wrapNone/>
                <wp:docPr id="32" name="Frame31"/>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of 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Philip G. Brace,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Skyworks Solutions,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4092" w:type="dxa"/>
        <w:jc w:val="left"/>
        <w:tblInd w:w="0" w:type="dxa"/>
        <w:tblLayout w:type="fixed"/>
        <w:tblCellMar>
          <w:top w:w="28" w:type="dxa"/>
          <w:left w:w="28" w:type="dxa"/>
          <w:bottom w:w="28" w:type="dxa"/>
          <w:right w:w="28" w:type="dxa"/>
        </w:tblCellMar>
      </w:tblPr>
      <w:tblGrid>
        <w:gridCol w:w="200"/>
        <w:gridCol w:w="177"/>
        <w:gridCol w:w="178"/>
        <w:gridCol w:w="1054"/>
        <w:gridCol w:w="1054"/>
        <w:gridCol w:w="105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G. Brace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Philip Carter,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Skyworks Solutions,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022" w:type="dxa"/>
        <w:jc w:val="left"/>
        <w:tblInd w:w="0" w:type="dxa"/>
        <w:tblLayout w:type="fixed"/>
        <w:tblCellMar>
          <w:top w:w="28" w:type="dxa"/>
          <w:left w:w="28" w:type="dxa"/>
          <w:bottom w:w="28" w:type="dxa"/>
          <w:right w:w="28" w:type="dxa"/>
        </w:tblCellMar>
      </w:tblPr>
      <w:tblGrid>
        <w:gridCol w:w="200"/>
        <w:gridCol w:w="177"/>
        <w:gridCol w:w="178"/>
        <w:gridCol w:w="1363"/>
        <w:gridCol w:w="1363"/>
        <w:gridCol w:w="1369"/>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Carter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Carter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Skyworks Solutions, Inc. (the “Company”) on Form 10-Q for the period ended January 2, 2026 as filed with the Securities and Exchange Commission on the date hereof (the “Report”), I, Philip G. Brace, President and Chief Executive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70" w:type="dxa"/>
        <w:jc w:val="left"/>
        <w:tblInd w:w="0" w:type="dxa"/>
        <w:tblLayout w:type="fixed"/>
        <w:tblCellMar>
          <w:top w:w="28" w:type="dxa"/>
          <w:left w:w="28" w:type="dxa"/>
          <w:bottom w:w="28" w:type="dxa"/>
          <w:right w:w="28" w:type="dxa"/>
        </w:tblCellMar>
      </w:tblPr>
      <w:tblGrid>
        <w:gridCol w:w="1046"/>
        <w:gridCol w:w="917"/>
        <w:gridCol w:w="1307"/>
      </w:tblGrid>
      <w:tr>
        <w:trPr/>
        <w:tc>
          <w:tcPr>
            <w:tcW w:w="10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G. Brace</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Skyworks Solutions, Inc. (the “Company”) on Form 10-Q for the period ended January 2, 2026 as filed with the Securities and Exchange Commission on the date hereof (the “Report”), I, Philip Carter, Senior Vice President and Chief Financial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55" w:type="dxa"/>
        <w:jc w:val="left"/>
        <w:tblInd w:w="0" w:type="dxa"/>
        <w:tblLayout w:type="fixed"/>
        <w:tblCellMar>
          <w:top w:w="28" w:type="dxa"/>
          <w:left w:w="28" w:type="dxa"/>
          <w:bottom w:w="28" w:type="dxa"/>
          <w:right w:w="28" w:type="dxa"/>
        </w:tblCellMar>
      </w:tblPr>
      <w:tblGrid>
        <w:gridCol w:w="1327"/>
        <w:gridCol w:w="1169"/>
        <w:gridCol w:w="1659"/>
      </w:tblGrid>
      <w:tr>
        <w:trPr/>
        <w:tc>
          <w:tcPr>
            <w:tcW w:w="132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Carter</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Carter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127/000110465925102806/tm2529220d2_ex2-1.htm" TargetMode="External"/><Relationship Id="rId3" Type="http://schemas.openxmlformats.org/officeDocument/2006/relationships/hyperlink" Target="https://www.sec.gov/Archives/edgar/data/4127/000000412725000090/exhibit101-creditagreement.htm" TargetMode="External"/><Relationship Id="rId4" Type="http://schemas.openxmlformats.org/officeDocument/2006/relationships/hyperlink" Target="https://www.sec.gov/Archives/edgar/data/4127/000110465925102806/tm2529220d2_ex10-1.htm" TargetMode="External"/><Relationship Id="rId5" Type="http://schemas.openxmlformats.org/officeDocument/2006/relationships/hyperlink" Target="https://www.sec.gov/Archives/edgar/data/4127/000110465925102806/tm2529220d2_ex10-2.htm" TargetMode="External"/><Relationship Id="rId6" Type="http://schemas.openxmlformats.org/officeDocument/2006/relationships/hyperlink" Target="https://www.sec.gov/Archives/edgar/data/4127/000000412725000088/exhibit101-severanceandcic.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13925</Words>
  <Characters>78199</Characters>
  <CharactersWithSpaces>91125</CharactersWithSpaces>
  <Paragraphs>1659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