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125095</wp:posOffset>
            </wp:positionH>
            <wp:positionV relativeFrom="paragraph">
              <wp:posOffset>517525</wp:posOffset>
            </wp:positionV>
            <wp:extent cx="68922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92290" cy="825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474980</wp:posOffset>
            </wp:positionV>
            <wp:extent cx="689229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9229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UNITED STATES SECURITIES AND EXCHANGE COMMISSION</w:t>
      </w:r>
    </w:p>
    <w:p>
      <w:pPr>
        <w:spacing w:after="0" w:line="3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33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(Mark One)</w:t>
      </w:r>
    </w:p>
    <w:p>
      <w:pPr>
        <w:spacing w:after="0" w:line="27" w:lineRule="exact"/>
        <w:rPr>
          <w:sz w:val="24"/>
          <w:szCs w:val="24"/>
          <w:color w:val="auto"/>
        </w:rPr>
      </w:pPr>
    </w:p>
    <w:p>
      <w:pPr>
        <w:ind w:left="640" w:hanging="308"/>
        <w:spacing w:after="0"/>
        <w:tabs>
          <w:tab w:leader="none" w:pos="6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w:t>
      </w:r>
    </w:p>
    <w:p>
      <w:pPr>
        <w:spacing w:after="0" w:line="20" w:lineRule="exact"/>
        <w:rPr>
          <w:rFonts w:ascii="MS PGothic" w:cs="MS PGothic" w:eastAsia="MS PGothic" w:hAnsi="MS PGothic"/>
          <w:sz w:val="18"/>
          <w:szCs w:val="18"/>
          <w:color w:val="auto"/>
        </w:rPr>
      </w:pPr>
    </w:p>
    <w:p>
      <w:pPr>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For the quarterly period ended December 27, 2024</w:t>
      </w:r>
    </w:p>
    <w:p>
      <w:pPr>
        <w:spacing w:after="0" w:line="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OR</w:t>
      </w:r>
    </w:p>
    <w:p>
      <w:pPr>
        <w:ind w:left="640" w:hanging="308"/>
        <w:spacing w:after="0"/>
        <w:tabs>
          <w:tab w:leader="none" w:pos="6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w:t>
      </w: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 the transition period from __________to__________</w:t>
      </w:r>
    </w:p>
    <w:p>
      <w:pPr>
        <w:spacing w:after="0" w:line="26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Commission file number 001-05560</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6"/>
          <w:szCs w:val="36"/>
          <w:b w:val="1"/>
          <w:bCs w:val="1"/>
          <w:color w:val="auto"/>
        </w:rPr>
        <w:t>Skyworks Solutions, Inc.</w:t>
      </w:r>
    </w:p>
    <w:p>
      <w:pPr>
        <w:spacing w:after="0" w:line="2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174" w:lineRule="exact"/>
        <w:rPr>
          <w:sz w:val="24"/>
          <w:szCs w:val="24"/>
          <w:color w:val="auto"/>
        </w:rPr>
      </w:pPr>
    </w:p>
    <w:tbl>
      <w:tblPr>
        <w:tblLayout w:type="fixed"/>
        <w:tblInd w:w="1100" w:type="dxa"/>
        <w:tblCellMar>
          <w:top w:w="0" w:type="dxa"/>
          <w:left w:w="0" w:type="dxa"/>
          <w:bottom w:w="0" w:type="dxa"/>
          <w:right w:w="0" w:type="dxa"/>
        </w:tblCellMar>
      </w:tblPr>
      <w:tr>
        <w:trPr>
          <w:trHeight w:val="227"/>
        </w:trPr>
        <w:tc>
          <w:tcPr>
            <w:tcW w:w="3860" w:type="dxa"/>
            <w:vAlign w:val="bottom"/>
          </w:tcPr>
          <w:p>
            <w:pPr>
              <w:jc w:val="center"/>
              <w:ind w:left="1002"/>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280" w:type="dxa"/>
            <w:vAlign w:val="bottom"/>
          </w:tcPr>
          <w:p>
            <w:pPr>
              <w:spacing w:after="0"/>
              <w:rPr>
                <w:sz w:val="19"/>
                <w:szCs w:val="19"/>
                <w:color w:val="auto"/>
              </w:rPr>
            </w:pPr>
          </w:p>
        </w:tc>
        <w:tc>
          <w:tcPr>
            <w:tcW w:w="2900" w:type="dxa"/>
            <w:vAlign w:val="bottom"/>
          </w:tcPr>
          <w:p>
            <w:pPr>
              <w:jc w:val="right"/>
              <w:ind w:right="742"/>
              <w:spacing w:after="0"/>
              <w:rPr>
                <w:sz w:val="20"/>
                <w:szCs w:val="20"/>
                <w:color w:val="auto"/>
              </w:rPr>
            </w:pPr>
            <w:r>
              <w:rPr>
                <w:rFonts w:ascii="Times New Roman" w:cs="Times New Roman" w:eastAsia="Times New Roman" w:hAnsi="Times New Roman"/>
                <w:sz w:val="18"/>
                <w:szCs w:val="18"/>
                <w:b w:val="1"/>
                <w:bCs w:val="1"/>
                <w:color w:val="auto"/>
              </w:rPr>
              <w:t>04-2302115</w:t>
            </w:r>
          </w:p>
        </w:tc>
      </w:tr>
      <w:tr>
        <w:trPr>
          <w:trHeight w:val="190"/>
        </w:trPr>
        <w:tc>
          <w:tcPr>
            <w:tcW w:w="6140" w:type="dxa"/>
            <w:vAlign w:val="bottom"/>
            <w:gridSpan w:val="2"/>
          </w:tcPr>
          <w:p>
            <w:pPr>
              <w:jc w:val="center"/>
              <w:ind w:right="1122"/>
              <w:spacing w:after="0"/>
              <w:rPr>
                <w:sz w:val="20"/>
                <w:szCs w:val="20"/>
                <w:color w:val="auto"/>
              </w:rPr>
            </w:pPr>
            <w:r>
              <w:rPr>
                <w:rFonts w:ascii="Times New Roman" w:cs="Times New Roman" w:eastAsia="Times New Roman" w:hAnsi="Times New Roman"/>
                <w:sz w:val="14"/>
                <w:szCs w:val="14"/>
                <w:i w:val="1"/>
                <w:iCs w:val="1"/>
                <w:color w:val="auto"/>
              </w:rPr>
              <w:t>(State or other jurisdiction of incorporation or organization)</w:t>
            </w:r>
          </w:p>
        </w:tc>
        <w:tc>
          <w:tcPr>
            <w:tcW w:w="2900" w:type="dxa"/>
            <w:vAlign w:val="bottom"/>
          </w:tcPr>
          <w:p>
            <w:pPr>
              <w:jc w:val="center"/>
              <w:ind w:left="322"/>
              <w:spacing w:after="0"/>
              <w:rPr>
                <w:sz w:val="20"/>
                <w:szCs w:val="20"/>
                <w:color w:val="auto"/>
              </w:rPr>
            </w:pPr>
            <w:r>
              <w:rPr>
                <w:rFonts w:ascii="Times New Roman" w:cs="Times New Roman" w:eastAsia="Times New Roman" w:hAnsi="Times New Roman"/>
                <w:sz w:val="14"/>
                <w:szCs w:val="14"/>
                <w:i w:val="1"/>
                <w:iCs w:val="1"/>
                <w:color w:val="auto"/>
              </w:rPr>
              <w:t>(I.R.S. Employer Identification No.)</w:t>
            </w:r>
          </w:p>
        </w:tc>
      </w:tr>
      <w:tr>
        <w:trPr>
          <w:trHeight w:val="442"/>
        </w:trPr>
        <w:tc>
          <w:tcPr>
            <w:tcW w:w="3860" w:type="dxa"/>
            <w:vAlign w:val="bottom"/>
          </w:tcPr>
          <w:p>
            <w:pPr>
              <w:jc w:val="center"/>
              <w:ind w:left="1002"/>
              <w:spacing w:after="0"/>
              <w:rPr>
                <w:sz w:val="20"/>
                <w:szCs w:val="20"/>
                <w:color w:val="auto"/>
              </w:rPr>
            </w:pPr>
            <w:r>
              <w:rPr>
                <w:rFonts w:ascii="Times New Roman" w:cs="Times New Roman" w:eastAsia="Times New Roman" w:hAnsi="Times New Roman"/>
                <w:sz w:val="18"/>
                <w:szCs w:val="18"/>
                <w:b w:val="1"/>
                <w:bCs w:val="1"/>
                <w:color w:val="auto"/>
                <w:w w:val="99"/>
              </w:rPr>
              <w:t>5260 California Avenue</w:t>
            </w:r>
          </w:p>
        </w:tc>
        <w:tc>
          <w:tcPr>
            <w:tcW w:w="228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245"/>
        </w:trPr>
        <w:tc>
          <w:tcPr>
            <w:tcW w:w="3860" w:type="dxa"/>
            <w:vAlign w:val="bottom"/>
          </w:tcPr>
          <w:p>
            <w:pPr>
              <w:jc w:val="center"/>
              <w:ind w:left="1002"/>
              <w:spacing w:after="0"/>
              <w:rPr>
                <w:sz w:val="20"/>
                <w:szCs w:val="20"/>
                <w:color w:val="auto"/>
              </w:rPr>
            </w:pPr>
            <w:r>
              <w:rPr>
                <w:rFonts w:ascii="Times New Roman" w:cs="Times New Roman" w:eastAsia="Times New Roman" w:hAnsi="Times New Roman"/>
                <w:sz w:val="18"/>
                <w:szCs w:val="18"/>
                <w:b w:val="1"/>
                <w:bCs w:val="1"/>
                <w:color w:val="auto"/>
                <w:w w:val="99"/>
              </w:rPr>
              <w:t>Irvine, California</w:t>
            </w:r>
          </w:p>
        </w:tc>
        <w:tc>
          <w:tcPr>
            <w:tcW w:w="2280" w:type="dxa"/>
            <w:vAlign w:val="bottom"/>
          </w:tcPr>
          <w:p>
            <w:pPr>
              <w:spacing w:after="0"/>
              <w:rPr>
                <w:sz w:val="21"/>
                <w:szCs w:val="21"/>
                <w:color w:val="auto"/>
              </w:rPr>
            </w:pPr>
          </w:p>
        </w:tc>
        <w:tc>
          <w:tcPr>
            <w:tcW w:w="2900" w:type="dxa"/>
            <w:vAlign w:val="bottom"/>
          </w:tcPr>
          <w:p>
            <w:pPr>
              <w:jc w:val="right"/>
              <w:ind w:right="962"/>
              <w:spacing w:after="0"/>
              <w:rPr>
                <w:sz w:val="20"/>
                <w:szCs w:val="20"/>
                <w:color w:val="auto"/>
              </w:rPr>
            </w:pPr>
            <w:r>
              <w:rPr>
                <w:rFonts w:ascii="Times New Roman" w:cs="Times New Roman" w:eastAsia="Times New Roman" w:hAnsi="Times New Roman"/>
                <w:sz w:val="18"/>
                <w:szCs w:val="18"/>
                <w:b w:val="1"/>
                <w:bCs w:val="1"/>
                <w:color w:val="auto"/>
              </w:rPr>
              <w:t>92617</w:t>
            </w:r>
          </w:p>
        </w:tc>
      </w:tr>
      <w:tr>
        <w:trPr>
          <w:trHeight w:val="190"/>
        </w:trPr>
        <w:tc>
          <w:tcPr>
            <w:tcW w:w="3860" w:type="dxa"/>
            <w:vAlign w:val="bottom"/>
          </w:tcPr>
          <w:p>
            <w:pPr>
              <w:jc w:val="center"/>
              <w:ind w:left="1002"/>
              <w:spacing w:after="0"/>
              <w:rPr>
                <w:sz w:val="20"/>
                <w:szCs w:val="20"/>
                <w:color w:val="auto"/>
              </w:rPr>
            </w:pPr>
            <w:r>
              <w:rPr>
                <w:rFonts w:ascii="Times New Roman" w:cs="Times New Roman" w:eastAsia="Times New Roman" w:hAnsi="Times New Roman"/>
                <w:sz w:val="14"/>
                <w:szCs w:val="14"/>
                <w:i w:val="1"/>
                <w:iCs w:val="1"/>
                <w:color w:val="auto"/>
              </w:rPr>
              <w:t>(Address of principal executive offices)</w:t>
            </w:r>
          </w:p>
        </w:tc>
        <w:tc>
          <w:tcPr>
            <w:tcW w:w="2280" w:type="dxa"/>
            <w:vAlign w:val="bottom"/>
          </w:tcPr>
          <w:p>
            <w:pPr>
              <w:spacing w:after="0"/>
              <w:rPr>
                <w:sz w:val="16"/>
                <w:szCs w:val="16"/>
                <w:color w:val="auto"/>
              </w:rPr>
            </w:pPr>
          </w:p>
        </w:tc>
        <w:tc>
          <w:tcPr>
            <w:tcW w:w="2900" w:type="dxa"/>
            <w:vAlign w:val="bottom"/>
          </w:tcPr>
          <w:p>
            <w:pPr>
              <w:jc w:val="center"/>
              <w:ind w:left="322"/>
              <w:spacing w:after="0"/>
              <w:rPr>
                <w:sz w:val="20"/>
                <w:szCs w:val="20"/>
                <w:color w:val="auto"/>
              </w:rPr>
            </w:pPr>
            <w:r>
              <w:rPr>
                <w:rFonts w:ascii="Times New Roman" w:cs="Times New Roman" w:eastAsia="Times New Roman" w:hAnsi="Times New Roman"/>
                <w:sz w:val="14"/>
                <w:szCs w:val="14"/>
                <w:i w:val="1"/>
                <w:iCs w:val="1"/>
                <w:color w:val="auto"/>
              </w:rPr>
              <w:t>(Zip Code)</w:t>
            </w:r>
          </w:p>
        </w:tc>
      </w:tr>
      <w:tr>
        <w:trPr>
          <w:trHeight w:val="390"/>
        </w:trPr>
        <w:tc>
          <w:tcPr>
            <w:tcW w:w="3860" w:type="dxa"/>
            <w:vAlign w:val="bottom"/>
          </w:tcPr>
          <w:p>
            <w:pPr>
              <w:spacing w:after="0"/>
              <w:rPr>
                <w:sz w:val="24"/>
                <w:szCs w:val="24"/>
                <w:color w:val="auto"/>
              </w:rPr>
            </w:pPr>
          </w:p>
        </w:tc>
        <w:tc>
          <w:tcPr>
            <w:tcW w:w="2280" w:type="dxa"/>
            <w:vAlign w:val="bottom"/>
          </w:tcPr>
          <w:p>
            <w:pPr>
              <w:jc w:val="right"/>
              <w:ind w:right="822"/>
              <w:spacing w:after="0"/>
              <w:rPr>
                <w:sz w:val="20"/>
                <w:szCs w:val="20"/>
                <w:color w:val="auto"/>
              </w:rPr>
            </w:pPr>
            <w:r>
              <w:rPr>
                <w:rFonts w:ascii="Times New Roman" w:cs="Times New Roman" w:eastAsia="Times New Roman" w:hAnsi="Times New Roman"/>
                <w:sz w:val="18"/>
                <w:szCs w:val="18"/>
                <w:b w:val="1"/>
                <w:bCs w:val="1"/>
                <w:color w:val="auto"/>
              </w:rPr>
              <w:t>(949) 231-3000</w:t>
            </w:r>
          </w:p>
        </w:tc>
        <w:tc>
          <w:tcPr>
            <w:tcW w:w="2900" w:type="dxa"/>
            <w:vAlign w:val="bottom"/>
          </w:tcPr>
          <w:p>
            <w:pPr>
              <w:spacing w:after="0"/>
              <w:rPr>
                <w:sz w:val="24"/>
                <w:szCs w:val="24"/>
                <w:color w:val="auto"/>
              </w:rPr>
            </w:pPr>
          </w:p>
        </w:tc>
      </w:tr>
      <w:tr>
        <w:trPr>
          <w:trHeight w:val="190"/>
        </w:trPr>
        <w:tc>
          <w:tcPr>
            <w:tcW w:w="6140" w:type="dxa"/>
            <w:vAlign w:val="bottom"/>
            <w:gridSpan w:val="2"/>
          </w:tcPr>
          <w:p>
            <w:pPr>
              <w:jc w:val="center"/>
              <w:ind w:left="2842"/>
              <w:spacing w:after="0"/>
              <w:rPr>
                <w:sz w:val="20"/>
                <w:szCs w:val="20"/>
                <w:color w:val="auto"/>
              </w:rPr>
            </w:pPr>
            <w:r>
              <w:rPr>
                <w:rFonts w:ascii="Times New Roman" w:cs="Times New Roman" w:eastAsia="Times New Roman" w:hAnsi="Times New Roman"/>
                <w:sz w:val="14"/>
                <w:szCs w:val="14"/>
                <w:i w:val="1"/>
                <w:iCs w:val="1"/>
                <w:color w:val="auto"/>
              </w:rPr>
              <w:t>(Registrant’s telephone number, including area code)</w:t>
            </w:r>
          </w:p>
        </w:tc>
        <w:tc>
          <w:tcPr>
            <w:tcW w:w="2900" w:type="dxa"/>
            <w:vAlign w:val="bottom"/>
          </w:tcPr>
          <w:p>
            <w:pPr>
              <w:spacing w:after="0"/>
              <w:rPr>
                <w:sz w:val="16"/>
                <w:szCs w:val="16"/>
                <w:color w:val="auto"/>
              </w:rPr>
            </w:pPr>
          </w:p>
        </w:tc>
      </w:tr>
      <w:tr>
        <w:trPr>
          <w:trHeight w:val="783"/>
        </w:trPr>
        <w:tc>
          <w:tcPr>
            <w:tcW w:w="90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r>
      <w:tr>
        <w:trPr>
          <w:trHeight w:val="284"/>
        </w:trPr>
        <w:tc>
          <w:tcPr>
            <w:tcW w:w="3860" w:type="dxa"/>
            <w:vAlign w:val="bottom"/>
          </w:tcPr>
          <w:p>
            <w:pPr>
              <w:jc w:val="center"/>
              <w:ind w:right="422"/>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280" w:type="dxa"/>
            <w:vAlign w:val="bottom"/>
          </w:tcPr>
          <w:p>
            <w:pPr>
              <w:jc w:val="center"/>
              <w:ind w:right="462"/>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2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386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r>
      <w:tr>
        <w:trPr>
          <w:trHeight w:val="227"/>
        </w:trPr>
        <w:tc>
          <w:tcPr>
            <w:tcW w:w="3860" w:type="dxa"/>
            <w:vAlign w:val="bottom"/>
          </w:tcPr>
          <w:p>
            <w:pPr>
              <w:jc w:val="center"/>
              <w:ind w:right="402"/>
              <w:spacing w:after="0"/>
              <w:rPr>
                <w:sz w:val="20"/>
                <w:szCs w:val="20"/>
                <w:color w:val="auto"/>
              </w:rPr>
            </w:pPr>
            <w:r>
              <w:rPr>
                <w:rFonts w:ascii="Times New Roman" w:cs="Times New Roman" w:eastAsia="Times New Roman" w:hAnsi="Times New Roman"/>
                <w:sz w:val="14"/>
                <w:szCs w:val="14"/>
                <w:color w:val="auto"/>
              </w:rPr>
              <w:t>Common Stock, par value $0.25 per share</w:t>
            </w:r>
          </w:p>
        </w:tc>
        <w:tc>
          <w:tcPr>
            <w:tcW w:w="2280" w:type="dxa"/>
            <w:vAlign w:val="bottom"/>
          </w:tcPr>
          <w:p>
            <w:pPr>
              <w:jc w:val="center"/>
              <w:ind w:right="442"/>
              <w:spacing w:after="0"/>
              <w:rPr>
                <w:sz w:val="20"/>
                <w:szCs w:val="20"/>
                <w:color w:val="auto"/>
              </w:rPr>
            </w:pPr>
            <w:r>
              <w:rPr>
                <w:rFonts w:ascii="Times New Roman" w:cs="Times New Roman" w:eastAsia="Times New Roman" w:hAnsi="Times New Roman"/>
                <w:sz w:val="14"/>
                <w:szCs w:val="14"/>
                <w:color w:val="auto"/>
              </w:rPr>
              <w:t>SWKS</w:t>
            </w:r>
          </w:p>
        </w:tc>
        <w:tc>
          <w:tcPr>
            <w:tcW w:w="2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Nasdaq Global Select Market</w:t>
            </w:r>
          </w:p>
        </w:tc>
      </w:tr>
    </w:tbl>
    <w:p>
      <w:pPr>
        <w:spacing w:after="0" w:line="109" w:lineRule="exact"/>
        <w:rPr>
          <w:sz w:val="24"/>
          <w:szCs w:val="24"/>
          <w:color w:val="auto"/>
        </w:rPr>
      </w:pPr>
    </w:p>
    <w:p>
      <w:pPr>
        <w:ind w:right="160"/>
        <w:spacing w:after="0" w:line="20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p>
      <w:pPr>
        <w:spacing w:after="0" w:line="209" w:lineRule="exact"/>
        <w:rPr>
          <w:sz w:val="24"/>
          <w:szCs w:val="24"/>
          <w:color w:val="auto"/>
        </w:rPr>
      </w:pPr>
    </w:p>
    <w:p>
      <w:pPr>
        <w:spacing w:after="0" w:line="19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p>
      <w:pPr>
        <w:spacing w:after="0" w:line="317" w:lineRule="exact"/>
        <w:rPr>
          <w:sz w:val="24"/>
          <w:szCs w:val="24"/>
          <w:color w:val="auto"/>
        </w:rPr>
      </w:pPr>
    </w:p>
    <w:p>
      <w:pPr>
        <w:ind w:right="380"/>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7" w:lineRule="exact"/>
        <w:rPr>
          <w:sz w:val="24"/>
          <w:szCs w:val="24"/>
          <w:color w:val="auto"/>
        </w:rPr>
      </w:pPr>
    </w:p>
    <w:p>
      <w:pPr>
        <w:ind w:left="180"/>
        <w:spacing w:after="0" w:line="161" w:lineRule="exact"/>
        <w:tabs>
          <w:tab w:leader="none" w:pos="1800" w:val="left"/>
          <w:tab w:leader="none" w:pos="2400" w:val="left"/>
          <w:tab w:leader="none" w:pos="4140" w:val="left"/>
          <w:tab w:leader="none" w:pos="6460" w:val="left"/>
          <w:tab w:leader="none" w:pos="8200" w:val="left"/>
          <w:tab w:leader="none" w:pos="9180" w:val="left"/>
          <w:tab w:leader="none" w:pos="10900" w:val="left"/>
        </w:tabs>
        <w:rPr>
          <w:sz w:val="20"/>
          <w:szCs w:val="20"/>
          <w:color w:val="auto"/>
        </w:rPr>
      </w:pPr>
      <w:r>
        <w:rPr>
          <w:rFonts w:ascii="Times New Roman" w:cs="Times New Roman" w:eastAsia="Times New Roman" w:hAnsi="Times New Roman"/>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Accelerated filer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Non-accelerated filer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Smaller reporting company</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200" w:lineRule="exact"/>
        <w:rPr>
          <w:sz w:val="24"/>
          <w:szCs w:val="24"/>
          <w:color w:val="auto"/>
        </w:rPr>
      </w:pPr>
    </w:p>
    <w:p>
      <w:pPr>
        <w:spacing w:after="0" w:line="210" w:lineRule="exact"/>
        <w:rPr>
          <w:sz w:val="24"/>
          <w:szCs w:val="24"/>
          <w:color w:val="auto"/>
        </w:rPr>
      </w:pPr>
    </w:p>
    <w:p>
      <w:pPr>
        <w:ind w:right="500"/>
        <w:spacing w:after="0" w:line="200"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59"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w:t>
      </w:r>
    </w:p>
    <w:p>
      <w:pPr>
        <w:spacing w:after="0" w:line="30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January 31, 2025, the registrant had 160,741,022 shares of common stock, par value $0.25 per share, outstanding.</w:t>
      </w:r>
    </w:p>
    <w:p>
      <w:pPr>
        <w:spacing w:after="0" w:line="37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34" w:right="399" w:bottom="1440" w:gutter="0" w:footer="0" w:header="0"/>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SKYWORKS SOLUTIONS, INC.</w:t>
      </w:r>
    </w:p>
    <w:p>
      <w:pPr>
        <w:spacing w:after="0" w:line="2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QUARTERLY REPORT ON FORM 10-Q</w:t>
      </w:r>
    </w:p>
    <w:p>
      <w:pPr>
        <w:spacing w:after="0" w:line="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FOR THE QUARTER ENDED DECEMBER 27, 2024</w:t>
      </w:r>
    </w:p>
    <w:p>
      <w:pPr>
        <w:spacing w:after="0" w:line="2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TABLE OF CONTENTS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0200" w:type="dxa"/>
            <w:vAlign w:val="bottom"/>
            <w:gridSpan w:val="20"/>
            <w:vMerge w:val="restart"/>
          </w:tcPr>
          <w:p>
            <w:pPr>
              <w:spacing w:after="0"/>
              <w:rPr>
                <w:sz w:val="20"/>
                <w:szCs w:val="20"/>
                <w:color w:val="auto"/>
              </w:rPr>
            </w:pPr>
            <w:r>
              <w:rPr>
                <w:rFonts w:ascii="Times New Roman" w:cs="Times New Roman" w:eastAsia="Times New Roman" w:hAnsi="Times New Roman"/>
                <w:sz w:val="14"/>
                <w:szCs w:val="14"/>
                <w:color w:val="0000FF"/>
              </w:rPr>
              <w:t>PART I. FINANCIAL INFORMATION</w:t>
            </w:r>
          </w:p>
        </w:tc>
        <w:tc>
          <w:tcPr>
            <w:tcW w:w="102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6"/>
                <w:szCs w:val="16"/>
                <w:color w:val="auto"/>
              </w:rPr>
              <w:t>PAGE NO.</w:t>
            </w:r>
          </w:p>
        </w:tc>
        <w:tc>
          <w:tcPr>
            <w:tcW w:w="0" w:type="dxa"/>
            <w:vAlign w:val="bottom"/>
          </w:tcPr>
          <w:p>
            <w:pPr>
              <w:spacing w:after="0"/>
              <w:rPr>
                <w:sz w:val="1"/>
                <w:szCs w:val="1"/>
                <w:color w:val="auto"/>
              </w:rPr>
            </w:pPr>
          </w:p>
        </w:tc>
      </w:tr>
      <w:tr>
        <w:trPr>
          <w:trHeight w:val="131"/>
        </w:trPr>
        <w:tc>
          <w:tcPr>
            <w:tcW w:w="10200" w:type="dxa"/>
            <w:vAlign w:val="bottom"/>
            <w:gridSpan w:val="20"/>
            <w:vMerge w:val="continue"/>
          </w:tcPr>
          <w:p>
            <w:pPr>
              <w:spacing w:after="0"/>
              <w:rPr>
                <w:sz w:val="11"/>
                <w:szCs w:val="11"/>
                <w:color w:val="auto"/>
              </w:rPr>
            </w:pPr>
          </w:p>
        </w:tc>
        <w:tc>
          <w:tcPr>
            <w:tcW w:w="920" w:type="dxa"/>
            <w:vAlign w:val="bottom"/>
            <w:gridSpan w:val="2"/>
            <w:vMerge w:val="restart"/>
          </w:tcPr>
          <w:p>
            <w:pPr>
              <w:spacing w:after="0"/>
              <w:rPr>
                <w:sz w:val="11"/>
                <w:szCs w:val="11"/>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w w:val="74"/>
              </w:rPr>
              <w:t>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920" w:type="dxa"/>
            <w:vAlign w:val="bottom"/>
            <w:gridSpan w:val="2"/>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120" w:type="dxa"/>
            <w:vAlign w:val="bottom"/>
          </w:tcPr>
          <w:p>
            <w:pPr>
              <w:spacing w:after="0"/>
              <w:rPr>
                <w:sz w:val="24"/>
                <w:szCs w:val="24"/>
                <w:color w:val="auto"/>
              </w:rPr>
            </w:pPr>
          </w:p>
        </w:tc>
        <w:tc>
          <w:tcPr>
            <w:tcW w:w="32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4"/>
                <w:szCs w:val="14"/>
                <w:color w:val="0000FF"/>
              </w:rPr>
              <w:t>ITEM 1: FINANCIAL STATEMENTS (UNAUDITED)</w:t>
            </w:r>
          </w:p>
        </w:tc>
        <w:tc>
          <w:tcPr>
            <w:tcW w:w="6820" w:type="dxa"/>
            <w:vAlign w:val="bottom"/>
            <w:gridSpan w:val="8"/>
          </w:tcPr>
          <w:p>
            <w:pPr>
              <w:spacing w:after="0"/>
              <w:rPr>
                <w:sz w:val="24"/>
                <w:szCs w:val="24"/>
                <w:color w:val="auto"/>
              </w:rPr>
            </w:pPr>
          </w:p>
        </w:tc>
        <w:tc>
          <w:tcPr>
            <w:tcW w:w="920" w:type="dxa"/>
            <w:vAlign w:val="bottom"/>
            <w:gridSpan w:val="2"/>
            <w:vMerge w:val="continue"/>
          </w:tcPr>
          <w:p>
            <w:pPr>
              <w:spacing w:after="0"/>
              <w:rPr>
                <w:sz w:val="24"/>
                <w:szCs w:val="24"/>
                <w:color w:val="auto"/>
              </w:rPr>
            </w:pPr>
          </w:p>
        </w:tc>
        <w:tc>
          <w:tcPr>
            <w:tcW w:w="80" w:type="dxa"/>
            <w:vAlign w:val="bottom"/>
            <w:tcBorders>
              <w:bottom w:val="single" w:sz="8" w:color="0000FF"/>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4"/>
                <w:szCs w:val="14"/>
                <w:color w:val="0000FF"/>
              </w:rPr>
              <w:t>CONSOLIDATED STATEMENTS OF OPERATIONS</w:t>
            </w:r>
          </w:p>
        </w:tc>
        <w:tc>
          <w:tcPr>
            <w:tcW w:w="6780" w:type="dxa"/>
            <w:vAlign w:val="bottom"/>
            <w:gridSpan w:val="7"/>
          </w:tcPr>
          <w:p>
            <w:pPr>
              <w:spacing w:after="0"/>
              <w:rPr>
                <w:sz w:val="24"/>
                <w:szCs w:val="24"/>
                <w:color w:val="auto"/>
              </w:rPr>
            </w:pPr>
          </w:p>
        </w:tc>
        <w:tc>
          <w:tcPr>
            <w:tcW w:w="920" w:type="dxa"/>
            <w:vAlign w:val="bottom"/>
            <w:gridSpan w:val="2"/>
          </w:tcPr>
          <w:p>
            <w:pPr>
              <w:spacing w:after="0"/>
              <w:rPr>
                <w:sz w:val="24"/>
                <w:szCs w:val="24"/>
                <w:color w:val="auto"/>
              </w:rPr>
            </w:pPr>
          </w:p>
        </w:tc>
        <w:tc>
          <w:tcPr>
            <w:tcW w:w="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6"/>
                <w:szCs w:val="16"/>
                <w:color w:val="0000FF"/>
                <w:w w:val="74"/>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32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4"/>
                <w:szCs w:val="14"/>
                <w:color w:val="0000FF"/>
              </w:rPr>
              <w:t>CONSOLIDATED STATEMENTS OF COMPREHENSIVE INCOME</w:t>
            </w:r>
          </w:p>
        </w:tc>
        <w:tc>
          <w:tcPr>
            <w:tcW w:w="4680" w:type="dxa"/>
            <w:vAlign w:val="bottom"/>
            <w:gridSpan w:val="3"/>
          </w:tcPr>
          <w:p>
            <w:pPr>
              <w:spacing w:after="0"/>
              <w:rPr>
                <w:sz w:val="24"/>
                <w:szCs w:val="24"/>
                <w:color w:val="auto"/>
              </w:rPr>
            </w:pPr>
          </w:p>
        </w:tc>
        <w:tc>
          <w:tcPr>
            <w:tcW w:w="920" w:type="dxa"/>
            <w:vAlign w:val="bottom"/>
            <w:gridSpan w:val="2"/>
          </w:tcPr>
          <w:p>
            <w:pPr>
              <w:spacing w:after="0"/>
              <w:rPr>
                <w:sz w:val="24"/>
                <w:szCs w:val="24"/>
                <w:color w:val="auto"/>
              </w:rPr>
            </w:pPr>
          </w:p>
        </w:tc>
        <w:tc>
          <w:tcPr>
            <w:tcW w:w="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6"/>
                <w:szCs w:val="16"/>
                <w:color w:val="0000FF"/>
                <w:w w:val="74"/>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4"/>
                <w:szCs w:val="14"/>
                <w:color w:val="0000FF"/>
              </w:rPr>
              <w:t>CONSOLIDATED BALANCE SHEETS</w:t>
            </w:r>
          </w:p>
        </w:tc>
        <w:tc>
          <w:tcPr>
            <w:tcW w:w="7460" w:type="dxa"/>
            <w:vAlign w:val="bottom"/>
            <w:gridSpan w:val="10"/>
          </w:tcPr>
          <w:p>
            <w:pPr>
              <w:spacing w:after="0"/>
              <w:rPr>
                <w:sz w:val="24"/>
                <w:szCs w:val="24"/>
                <w:color w:val="auto"/>
              </w:rPr>
            </w:pPr>
          </w:p>
        </w:tc>
        <w:tc>
          <w:tcPr>
            <w:tcW w:w="920" w:type="dxa"/>
            <w:vAlign w:val="bottom"/>
            <w:gridSpan w:val="2"/>
          </w:tcPr>
          <w:p>
            <w:pPr>
              <w:spacing w:after="0"/>
              <w:rPr>
                <w:sz w:val="24"/>
                <w:szCs w:val="24"/>
                <w:color w:val="auto"/>
              </w:rPr>
            </w:pPr>
          </w:p>
        </w:tc>
        <w:tc>
          <w:tcPr>
            <w:tcW w:w="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6"/>
                <w:szCs w:val="16"/>
                <w:color w:val="0000FF"/>
                <w:w w:val="74"/>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58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4"/>
                <w:szCs w:val="14"/>
                <w:color w:val="0000FF"/>
              </w:rPr>
              <w:t>CONSOLIDATED STATEMENTS OF CASH FLOWS</w:t>
            </w:r>
          </w:p>
        </w:tc>
        <w:tc>
          <w:tcPr>
            <w:tcW w:w="6420" w:type="dxa"/>
            <w:vAlign w:val="bottom"/>
            <w:gridSpan w:val="6"/>
          </w:tcPr>
          <w:p>
            <w:pPr>
              <w:spacing w:after="0"/>
              <w:rPr>
                <w:sz w:val="24"/>
                <w:szCs w:val="24"/>
                <w:color w:val="auto"/>
              </w:rPr>
            </w:pPr>
          </w:p>
        </w:tc>
        <w:tc>
          <w:tcPr>
            <w:tcW w:w="920" w:type="dxa"/>
            <w:vAlign w:val="bottom"/>
            <w:gridSpan w:val="2"/>
          </w:tcPr>
          <w:p>
            <w:pPr>
              <w:spacing w:after="0"/>
              <w:rPr>
                <w:sz w:val="24"/>
                <w:szCs w:val="24"/>
                <w:color w:val="auto"/>
              </w:rPr>
            </w:pPr>
          </w:p>
        </w:tc>
        <w:tc>
          <w:tcPr>
            <w:tcW w:w="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6"/>
                <w:szCs w:val="16"/>
                <w:color w:val="0000FF"/>
                <w:w w:val="74"/>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32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4"/>
                <w:szCs w:val="14"/>
                <w:color w:val="0000FF"/>
              </w:rPr>
              <w:t>CONSOLIDATED STATEMENTS OF STOCKHOLDERS' EQUITY</w:t>
            </w:r>
          </w:p>
        </w:tc>
        <w:tc>
          <w:tcPr>
            <w:tcW w:w="4680" w:type="dxa"/>
            <w:vAlign w:val="bottom"/>
            <w:gridSpan w:val="3"/>
          </w:tcPr>
          <w:p>
            <w:pPr>
              <w:spacing w:after="0"/>
              <w:rPr>
                <w:sz w:val="24"/>
                <w:szCs w:val="24"/>
                <w:color w:val="auto"/>
              </w:rPr>
            </w:pPr>
          </w:p>
        </w:tc>
        <w:tc>
          <w:tcPr>
            <w:tcW w:w="920" w:type="dxa"/>
            <w:vAlign w:val="bottom"/>
            <w:gridSpan w:val="2"/>
          </w:tcPr>
          <w:p>
            <w:pPr>
              <w:spacing w:after="0"/>
              <w:rPr>
                <w:sz w:val="24"/>
                <w:szCs w:val="24"/>
                <w:color w:val="auto"/>
              </w:rPr>
            </w:pPr>
          </w:p>
        </w:tc>
        <w:tc>
          <w:tcPr>
            <w:tcW w:w="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6"/>
                <w:szCs w:val="16"/>
                <w:color w:val="0000FF"/>
                <w:w w:val="74"/>
              </w:rPr>
              <w:t>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0" w:type="dxa"/>
            <w:vAlign w:val="bottom"/>
            <w:gridSpan w:val="18"/>
          </w:tcPr>
          <w:p>
            <w:pPr>
              <w:spacing w:after="0"/>
              <w:rPr>
                <w:sz w:val="20"/>
                <w:szCs w:val="20"/>
                <w:color w:val="auto"/>
              </w:rPr>
            </w:pPr>
            <w:r>
              <w:rPr>
                <w:rFonts w:ascii="Times New Roman" w:cs="Times New Roman" w:eastAsia="Times New Roman" w:hAnsi="Times New Roman"/>
                <w:sz w:val="14"/>
                <w:szCs w:val="14"/>
                <w:color w:val="0000FF"/>
              </w:rPr>
              <w:t>NOTES TO CONSOLIDATED FINANCIAL STATEMENTS</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580" w:type="dxa"/>
            <w:vAlign w:val="bottom"/>
            <w:gridSpan w:val="3"/>
            <w:shd w:val="clear" w:color="auto" w:fill="0000FF"/>
          </w:tcPr>
          <w:p>
            <w:pPr>
              <w:spacing w:after="0"/>
              <w:rPr>
                <w:sz w:val="2"/>
                <w:szCs w:val="2"/>
                <w:color w:val="auto"/>
              </w:rPr>
            </w:pPr>
          </w:p>
        </w:tc>
        <w:tc>
          <w:tcPr>
            <w:tcW w:w="2780" w:type="dxa"/>
            <w:vAlign w:val="bottom"/>
            <w:gridSpan w:val="7"/>
            <w:shd w:val="clear" w:color="auto" w:fill="0000FF"/>
          </w:tcPr>
          <w:p>
            <w:pPr>
              <w:spacing w:after="0"/>
              <w:rPr>
                <w:sz w:val="2"/>
                <w:szCs w:val="2"/>
                <w:color w:val="auto"/>
              </w:rPr>
            </w:pPr>
          </w:p>
        </w:tc>
        <w:tc>
          <w:tcPr>
            <w:tcW w:w="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58"/>
        </w:trPr>
        <w:tc>
          <w:tcPr>
            <w:tcW w:w="120" w:type="dxa"/>
            <w:vAlign w:val="bottom"/>
          </w:tcPr>
          <w:p>
            <w:pPr>
              <w:spacing w:after="0"/>
              <w:rPr>
                <w:sz w:val="24"/>
                <w:szCs w:val="24"/>
                <w:color w:val="auto"/>
              </w:rPr>
            </w:pPr>
          </w:p>
        </w:tc>
        <w:tc>
          <w:tcPr>
            <w:tcW w:w="1008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4"/>
                <w:szCs w:val="14"/>
                <w:color w:val="0000FF"/>
              </w:rPr>
              <w:t>ITEM 2: MANAGEMENT’S DISCUSSION AND ANALYSIS OF FINANCIAL CONDITION AND RESULTS OF OPERATIONS</w:t>
            </w:r>
          </w:p>
        </w:tc>
        <w:tc>
          <w:tcPr>
            <w:tcW w:w="840" w:type="dxa"/>
            <w:vAlign w:val="bottom"/>
          </w:tcPr>
          <w:p>
            <w:pPr>
              <w:spacing w:after="0"/>
              <w:rPr>
                <w:sz w:val="24"/>
                <w:szCs w:val="24"/>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15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20" w:type="dxa"/>
            <w:vAlign w:val="bottom"/>
          </w:tcPr>
          <w:p>
            <w:pPr>
              <w:spacing w:after="0"/>
              <w:rPr>
                <w:sz w:val="24"/>
                <w:szCs w:val="24"/>
                <w:color w:val="auto"/>
              </w:rPr>
            </w:pPr>
          </w:p>
        </w:tc>
        <w:tc>
          <w:tcPr>
            <w:tcW w:w="1008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4"/>
                <w:szCs w:val="14"/>
                <w:color w:val="0000FF"/>
              </w:rPr>
              <w:t>ITEM 3: QUANTITATIVE AND QUALITATIVE DISCLOSURES ABOUT MARKET RISK</w:t>
            </w:r>
          </w:p>
        </w:tc>
        <w:tc>
          <w:tcPr>
            <w:tcW w:w="840" w:type="dxa"/>
            <w:vAlign w:val="bottom"/>
          </w:tcPr>
          <w:p>
            <w:pPr>
              <w:spacing w:after="0"/>
              <w:rPr>
                <w:sz w:val="24"/>
                <w:szCs w:val="24"/>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20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20" w:type="dxa"/>
            <w:vAlign w:val="bottom"/>
          </w:tcPr>
          <w:p>
            <w:pPr>
              <w:spacing w:after="0"/>
              <w:rPr>
                <w:sz w:val="24"/>
                <w:szCs w:val="24"/>
                <w:color w:val="auto"/>
              </w:rPr>
            </w:pPr>
          </w:p>
        </w:tc>
        <w:tc>
          <w:tcPr>
            <w:tcW w:w="10080" w:type="dxa"/>
            <w:vAlign w:val="bottom"/>
            <w:gridSpan w:val="19"/>
          </w:tcPr>
          <w:p>
            <w:pPr>
              <w:spacing w:after="0"/>
              <w:rPr>
                <w:sz w:val="20"/>
                <w:szCs w:val="20"/>
                <w:color w:val="auto"/>
              </w:rPr>
            </w:pPr>
            <w:r>
              <w:rPr>
                <w:rFonts w:ascii="Times New Roman" w:cs="Times New Roman" w:eastAsia="Times New Roman" w:hAnsi="Times New Roman"/>
                <w:sz w:val="14"/>
                <w:szCs w:val="14"/>
                <w:color w:val="0000FF"/>
              </w:rPr>
              <w:t>ITEM 4: CONTROLS AND PROCEDURES</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21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80" w:type="dxa"/>
            <w:vAlign w:val="bottom"/>
            <w:gridSpan w:val="3"/>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360" w:type="dxa"/>
            <w:vAlign w:val="bottom"/>
            <w:gridSpan w:val="10"/>
            <w:shd w:val="clear" w:color="auto" w:fill="0000FF"/>
          </w:tcPr>
          <w:p>
            <w:pPr>
              <w:spacing w:after="0"/>
              <w:rPr>
                <w:sz w:val="2"/>
                <w:szCs w:val="2"/>
                <w:color w:val="auto"/>
              </w:rPr>
            </w:pPr>
          </w:p>
        </w:tc>
        <w:tc>
          <w:tcPr>
            <w:tcW w:w="4680" w:type="dxa"/>
            <w:vAlign w:val="bottom"/>
            <w:gridSpan w:val="3"/>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58"/>
        </w:trPr>
        <w:tc>
          <w:tcPr>
            <w:tcW w:w="21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4"/>
                <w:szCs w:val="14"/>
                <w:color w:val="0000FF"/>
              </w:rPr>
              <w:t>PART II. OTHER INFORMATION</w:t>
            </w:r>
          </w:p>
        </w:tc>
        <w:tc>
          <w:tcPr>
            <w:tcW w:w="8040" w:type="dxa"/>
            <w:vAlign w:val="bottom"/>
            <w:gridSpan w:val="13"/>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22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20" w:type="dxa"/>
            <w:vAlign w:val="bottom"/>
          </w:tcPr>
          <w:p>
            <w:pPr>
              <w:spacing w:after="0"/>
              <w:rPr>
                <w:sz w:val="24"/>
                <w:szCs w:val="24"/>
                <w:color w:val="auto"/>
              </w:rPr>
            </w:pPr>
          </w:p>
        </w:tc>
        <w:tc>
          <w:tcPr>
            <w:tcW w:w="540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4"/>
                <w:szCs w:val="14"/>
                <w:color w:val="0000FF"/>
              </w:rPr>
              <w:t>ITEM 1: LEGAL PROCEEDINGS</w:t>
            </w:r>
          </w:p>
        </w:tc>
        <w:tc>
          <w:tcPr>
            <w:tcW w:w="4680" w:type="dxa"/>
            <w:vAlign w:val="bottom"/>
            <w:gridSpan w:val="3"/>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22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20" w:type="dxa"/>
            <w:vAlign w:val="bottom"/>
          </w:tcPr>
          <w:p>
            <w:pPr>
              <w:spacing w:after="0"/>
              <w:rPr>
                <w:sz w:val="24"/>
                <w:szCs w:val="24"/>
                <w:color w:val="auto"/>
              </w:rPr>
            </w:pPr>
          </w:p>
        </w:tc>
        <w:tc>
          <w:tcPr>
            <w:tcW w:w="540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4"/>
                <w:szCs w:val="14"/>
                <w:color w:val="0000FF"/>
              </w:rPr>
              <w:t>ITEM 1A: RISK FACTORS</w:t>
            </w:r>
          </w:p>
        </w:tc>
        <w:tc>
          <w:tcPr>
            <w:tcW w:w="4680" w:type="dxa"/>
            <w:vAlign w:val="bottom"/>
            <w:gridSpan w:val="3"/>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22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20" w:type="dxa"/>
            <w:vAlign w:val="bottom"/>
          </w:tcPr>
          <w:p>
            <w:pPr>
              <w:spacing w:after="0"/>
              <w:rPr>
                <w:sz w:val="24"/>
                <w:szCs w:val="24"/>
                <w:color w:val="auto"/>
              </w:rPr>
            </w:pPr>
          </w:p>
        </w:tc>
        <w:tc>
          <w:tcPr>
            <w:tcW w:w="1008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4"/>
                <w:szCs w:val="14"/>
                <w:color w:val="0000FF"/>
              </w:rPr>
              <w:t>ITEM 2: UNREGISTERED SALES OF EQUITY SECURITIES AND USE OF PROCEEDS</w:t>
            </w:r>
          </w:p>
        </w:tc>
        <w:tc>
          <w:tcPr>
            <w:tcW w:w="840" w:type="dxa"/>
            <w:vAlign w:val="bottom"/>
          </w:tcPr>
          <w:p>
            <w:pPr>
              <w:spacing w:after="0"/>
              <w:rPr>
                <w:sz w:val="24"/>
                <w:szCs w:val="24"/>
                <w:color w:val="auto"/>
              </w:rPr>
            </w:pP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6"/>
                <w:szCs w:val="16"/>
                <w:color w:val="0000FF"/>
                <w:w w:val="87"/>
              </w:rPr>
              <w:t>24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20" w:type="dxa"/>
            <w:vAlign w:val="bottom"/>
          </w:tcPr>
          <w:p>
            <w:pPr>
              <w:spacing w:after="0"/>
              <w:rPr>
                <w:sz w:val="24"/>
                <w:szCs w:val="24"/>
                <w:color w:val="auto"/>
              </w:rPr>
            </w:pPr>
          </w:p>
        </w:tc>
        <w:tc>
          <w:tcPr>
            <w:tcW w:w="10080" w:type="dxa"/>
            <w:vAlign w:val="bottom"/>
            <w:gridSpan w:val="19"/>
          </w:tcPr>
          <w:p>
            <w:pPr>
              <w:spacing w:after="0"/>
              <w:rPr>
                <w:sz w:val="20"/>
                <w:szCs w:val="20"/>
                <w:color w:val="auto"/>
              </w:rPr>
            </w:pPr>
            <w:r>
              <w:rPr>
                <w:rFonts w:ascii="Times New Roman" w:cs="Times New Roman" w:eastAsia="Times New Roman" w:hAnsi="Times New Roman"/>
                <w:sz w:val="14"/>
                <w:szCs w:val="14"/>
                <w:color w:val="0000FF"/>
              </w:rPr>
              <w:t>ITEM 6: EXHIBITS</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25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80" w:type="dxa"/>
            <w:vAlign w:val="bottom"/>
            <w:gridSpan w:val="3"/>
          </w:tcPr>
          <w:p>
            <w:pPr>
              <w:spacing w:after="0"/>
              <w:rPr>
                <w:sz w:val="2"/>
                <w:szCs w:val="2"/>
                <w:color w:val="auto"/>
              </w:rPr>
            </w:pPr>
          </w:p>
        </w:tc>
        <w:tc>
          <w:tcPr>
            <w:tcW w:w="9320" w:type="dxa"/>
            <w:vAlign w:val="bottom"/>
            <w:gridSpan w:val="17"/>
            <w:shd w:val="clear" w:color="auto" w:fill="0000FF"/>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51"/>
        </w:trPr>
        <w:tc>
          <w:tcPr>
            <w:tcW w:w="10200" w:type="dxa"/>
            <w:vAlign w:val="bottom"/>
            <w:gridSpan w:val="20"/>
          </w:tcPr>
          <w:p>
            <w:pPr>
              <w:spacing w:after="0"/>
              <w:rPr>
                <w:sz w:val="20"/>
                <w:szCs w:val="20"/>
                <w:color w:val="auto"/>
              </w:rPr>
            </w:pPr>
            <w:r>
              <w:rPr>
                <w:rFonts w:ascii="Times New Roman" w:cs="Times New Roman" w:eastAsia="Times New Roman" w:hAnsi="Times New Roman"/>
                <w:sz w:val="14"/>
                <w:szCs w:val="14"/>
                <w:color w:val="0000FF"/>
              </w:rPr>
              <w:t>SIGNATURES</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0000FF"/>
              </w:rPr>
              <w:t>26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80" w:type="dxa"/>
            <w:vAlign w:val="bottom"/>
            <w:shd w:val="clear" w:color="auto" w:fill="0000FF"/>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77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1. FINANCIAL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SKYWORKS SOLUTIONS,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in millions, except per share amounts)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420" w:type="dxa"/>
            <w:vAlign w:val="bottom"/>
            <w:tcBorders>
              <w:bottom w:val="single" w:sz="8" w:color="auto"/>
            </w:tcBorders>
            <w:gridSpan w:val="4"/>
          </w:tcPr>
          <w:p>
            <w:pPr>
              <w:jc w:val="right"/>
              <w:ind w:right="97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211"/>
        </w:trPr>
        <w:tc>
          <w:tcPr>
            <w:tcW w:w="7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27, 2024</w:t>
            </w:r>
          </w:p>
        </w:tc>
        <w:tc>
          <w:tcPr>
            <w:tcW w:w="160" w:type="dxa"/>
            <w:vAlign w:val="bottom"/>
          </w:tcPr>
          <w:p>
            <w:pPr>
              <w:spacing w:after="0"/>
              <w:rPr>
                <w:sz w:val="18"/>
                <w:szCs w:val="18"/>
                <w:color w:val="auto"/>
              </w:rPr>
            </w:pPr>
          </w:p>
        </w:tc>
        <w:tc>
          <w:tcPr>
            <w:tcW w:w="1580" w:type="dxa"/>
            <w:vAlign w:val="bottom"/>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December 29, 2023</w:t>
            </w:r>
          </w:p>
        </w:tc>
        <w:tc>
          <w:tcPr>
            <w:tcW w:w="0" w:type="dxa"/>
            <w:vAlign w:val="bottom"/>
          </w:tcPr>
          <w:p>
            <w:pPr>
              <w:spacing w:after="0"/>
              <w:rPr>
                <w:sz w:val="1"/>
                <w:szCs w:val="1"/>
                <w:color w:val="auto"/>
              </w:rPr>
            </w:pPr>
          </w:p>
        </w:tc>
      </w:tr>
      <w:tr>
        <w:trPr>
          <w:trHeight w:val="225"/>
        </w:trPr>
        <w:tc>
          <w:tcPr>
            <w:tcW w:w="7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1,201.5</w:t>
            </w:r>
          </w:p>
        </w:tc>
        <w:tc>
          <w:tcPr>
            <w:tcW w:w="0" w:type="dxa"/>
            <w:vAlign w:val="bottom"/>
          </w:tcPr>
          <w:p>
            <w:pPr>
              <w:spacing w:after="0"/>
              <w:rPr>
                <w:sz w:val="1"/>
                <w:szCs w:val="1"/>
                <w:color w:val="auto"/>
              </w:rPr>
            </w:pPr>
          </w:p>
        </w:tc>
      </w:tr>
      <w:tr>
        <w:trPr>
          <w:trHeight w:val="230"/>
        </w:trPr>
        <w:tc>
          <w:tcPr>
            <w:tcW w:w="7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694.9</w:t>
            </w:r>
          </w:p>
        </w:tc>
        <w:tc>
          <w:tcPr>
            <w:tcW w:w="0" w:type="dxa"/>
            <w:vAlign w:val="bottom"/>
          </w:tcPr>
          <w:p>
            <w:pPr>
              <w:spacing w:after="0"/>
              <w:rPr>
                <w:sz w:val="1"/>
                <w:szCs w:val="1"/>
                <w:color w:val="auto"/>
              </w:rPr>
            </w:pPr>
          </w:p>
        </w:tc>
      </w:tr>
      <w:tr>
        <w:trPr>
          <w:trHeight w:val="223"/>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506.6</w:t>
            </w:r>
          </w:p>
        </w:tc>
        <w:tc>
          <w:tcPr>
            <w:tcW w:w="0" w:type="dxa"/>
            <w:vAlign w:val="bottom"/>
          </w:tcPr>
          <w:p>
            <w:pPr>
              <w:spacing w:after="0"/>
              <w:rPr>
                <w:sz w:val="1"/>
                <w:szCs w:val="1"/>
                <w:color w:val="auto"/>
              </w:rPr>
            </w:pPr>
          </w:p>
        </w:tc>
      </w:tr>
      <w:tr>
        <w:trPr>
          <w:trHeight w:val="230"/>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153.1</w:t>
            </w:r>
          </w:p>
        </w:tc>
        <w:tc>
          <w:tcPr>
            <w:tcW w:w="0" w:type="dxa"/>
            <w:vAlign w:val="bottom"/>
          </w:tcPr>
          <w:p>
            <w:pPr>
              <w:spacing w:after="0"/>
              <w:rPr>
                <w:sz w:val="1"/>
                <w:szCs w:val="1"/>
                <w:color w:val="auto"/>
              </w:rPr>
            </w:pPr>
          </w:p>
        </w:tc>
      </w:tr>
      <w:tr>
        <w:trPr>
          <w:trHeight w:val="229"/>
        </w:trPr>
        <w:tc>
          <w:tcPr>
            <w:tcW w:w="7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0" w:type="dxa"/>
            <w:vAlign w:val="bottom"/>
          </w:tcPr>
          <w:p>
            <w:pPr>
              <w:spacing w:after="0"/>
              <w:rPr>
                <w:sz w:val="1"/>
                <w:szCs w:val="1"/>
                <w:color w:val="auto"/>
              </w:rPr>
            </w:pPr>
          </w:p>
        </w:tc>
      </w:tr>
      <w:tr>
        <w:trPr>
          <w:trHeight w:val="230"/>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9"/>
        </w:trPr>
        <w:tc>
          <w:tcPr>
            <w:tcW w:w="76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Restructuring, impairment, and other charges</w:t>
            </w: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23"/>
        </w:trPr>
        <w:tc>
          <w:tcPr>
            <w:tcW w:w="76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248.3</w:t>
            </w:r>
          </w:p>
        </w:tc>
        <w:tc>
          <w:tcPr>
            <w:tcW w:w="0" w:type="dxa"/>
            <w:vAlign w:val="bottom"/>
          </w:tcPr>
          <w:p>
            <w:pPr>
              <w:spacing w:after="0"/>
              <w:rPr>
                <w:sz w:val="1"/>
                <w:szCs w:val="1"/>
                <w:color w:val="auto"/>
              </w:rPr>
            </w:pPr>
          </w:p>
        </w:tc>
      </w:tr>
      <w:tr>
        <w:trPr>
          <w:trHeight w:val="223"/>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258.3</w:t>
            </w:r>
          </w:p>
        </w:tc>
        <w:tc>
          <w:tcPr>
            <w:tcW w:w="0" w:type="dxa"/>
            <w:vAlign w:val="bottom"/>
          </w:tcPr>
          <w:p>
            <w:pPr>
              <w:spacing w:after="0"/>
              <w:rPr>
                <w:sz w:val="1"/>
                <w:szCs w:val="1"/>
                <w:color w:val="auto"/>
              </w:rPr>
            </w:pPr>
          </w:p>
        </w:tc>
      </w:tr>
      <w:tr>
        <w:trPr>
          <w:trHeight w:val="230"/>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9"/>
        </w:trPr>
        <w:tc>
          <w:tcPr>
            <w:tcW w:w="76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income, net</w:t>
            </w: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23"/>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251.7</w:t>
            </w:r>
          </w:p>
        </w:tc>
        <w:tc>
          <w:tcPr>
            <w:tcW w:w="0" w:type="dxa"/>
            <w:vAlign w:val="bottom"/>
          </w:tcPr>
          <w:p>
            <w:pPr>
              <w:spacing w:after="0"/>
              <w:rPr>
                <w:sz w:val="1"/>
                <w:szCs w:val="1"/>
                <w:color w:val="auto"/>
              </w:rPr>
            </w:pPr>
          </w:p>
        </w:tc>
      </w:tr>
      <w:tr>
        <w:trPr>
          <w:trHeight w:val="229"/>
        </w:trPr>
        <w:tc>
          <w:tcPr>
            <w:tcW w:w="7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48"/>
        </w:trPr>
        <w:tc>
          <w:tcPr>
            <w:tcW w:w="7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231.3</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6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76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660" w:type="dxa"/>
            <w:vAlign w:val="bottom"/>
          </w:tcPr>
          <w:p>
            <w:pPr>
              <w:ind w:left="22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0"/>
        </w:trPr>
        <w:tc>
          <w:tcPr>
            <w:tcW w:w="76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 average shares:</w:t>
            </w:r>
          </w:p>
        </w:tc>
        <w:tc>
          <w:tcPr>
            <w:tcW w:w="16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159.9</w:t>
            </w:r>
          </w:p>
        </w:tc>
        <w:tc>
          <w:tcPr>
            <w:tcW w:w="0" w:type="dxa"/>
            <w:vAlign w:val="bottom"/>
          </w:tcPr>
          <w:p>
            <w:pPr>
              <w:spacing w:after="0"/>
              <w:rPr>
                <w:sz w:val="1"/>
                <w:szCs w:val="1"/>
                <w:color w:val="auto"/>
              </w:rPr>
            </w:pPr>
          </w:p>
        </w:tc>
      </w:tr>
      <w:tr>
        <w:trPr>
          <w:trHeight w:val="230"/>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SKYWORKS SOLUTIONS,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in millions)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420" w:type="dxa"/>
            <w:vAlign w:val="bottom"/>
            <w:tcBorders>
              <w:bottom w:val="single" w:sz="8" w:color="auto"/>
            </w:tcBorders>
            <w:gridSpan w:val="4"/>
          </w:tcPr>
          <w:p>
            <w:pPr>
              <w:jc w:val="right"/>
              <w:ind w:right="972"/>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1"/>
        </w:trPr>
        <w:tc>
          <w:tcPr>
            <w:tcW w:w="7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27, 2024</w:t>
            </w:r>
          </w:p>
        </w:tc>
        <w:tc>
          <w:tcPr>
            <w:tcW w:w="160" w:type="dxa"/>
            <w:vAlign w:val="bottom"/>
          </w:tcPr>
          <w:p>
            <w:pPr>
              <w:spacing w:after="0"/>
              <w:rPr>
                <w:sz w:val="18"/>
                <w:szCs w:val="18"/>
                <w:color w:val="auto"/>
              </w:rPr>
            </w:pPr>
          </w:p>
        </w:tc>
        <w:tc>
          <w:tcPr>
            <w:tcW w:w="1580" w:type="dxa"/>
            <w:vAlign w:val="bottom"/>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December 29, 2023</w:t>
            </w:r>
          </w:p>
        </w:tc>
      </w:tr>
      <w:tr>
        <w:trPr>
          <w:trHeight w:val="225"/>
        </w:trPr>
        <w:tc>
          <w:tcPr>
            <w:tcW w:w="7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231.3</w:t>
            </w:r>
          </w:p>
        </w:tc>
      </w:tr>
      <w:tr>
        <w:trPr>
          <w:trHeight w:val="230"/>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29"/>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Fair value of investments</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7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Pension adjustments</w:t>
            </w:r>
          </w:p>
        </w:tc>
        <w:tc>
          <w:tcPr>
            <w:tcW w:w="160" w:type="dxa"/>
            <w:vAlign w:val="bottom"/>
          </w:tcPr>
          <w:p>
            <w:pPr>
              <w:spacing w:after="0"/>
              <w:rPr>
                <w:sz w:val="19"/>
                <w:szCs w:val="19"/>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48"/>
        </w:trPr>
        <w:tc>
          <w:tcPr>
            <w:tcW w:w="7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231.2</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SKYWORKS SOLUTIONS,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except per share amounts)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5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27, 2024</w:t>
            </w:r>
          </w:p>
        </w:tc>
        <w:tc>
          <w:tcPr>
            <w:tcW w:w="160" w:type="dxa"/>
            <w:vAlign w:val="bottom"/>
          </w:tcPr>
          <w:p>
            <w:pPr>
              <w:spacing w:after="0"/>
              <w:rPr>
                <w:sz w:val="18"/>
                <w:szCs w:val="18"/>
                <w:color w:val="auto"/>
              </w:rPr>
            </w:pPr>
          </w:p>
        </w:tc>
        <w:tc>
          <w:tcPr>
            <w:tcW w:w="1580" w:type="dxa"/>
            <w:vAlign w:val="bottom"/>
          </w:tcPr>
          <w:p>
            <w:pPr>
              <w:jc w:val="right"/>
              <w:ind w:right="110"/>
              <w:spacing w:after="0"/>
              <w:rPr>
                <w:sz w:val="20"/>
                <w:szCs w:val="20"/>
                <w:color w:val="auto"/>
              </w:rPr>
            </w:pPr>
            <w:r>
              <w:rPr>
                <w:rFonts w:ascii="Times New Roman" w:cs="Times New Roman" w:eastAsia="Times New Roman" w:hAnsi="Times New Roman"/>
                <w:sz w:val="16"/>
                <w:szCs w:val="16"/>
                <w:b w:val="1"/>
                <w:bCs w:val="1"/>
                <w:color w:val="auto"/>
              </w:rPr>
              <w:t>September 27, 2024</w:t>
            </w:r>
          </w:p>
        </w:tc>
        <w:tc>
          <w:tcPr>
            <w:tcW w:w="0" w:type="dxa"/>
            <w:vAlign w:val="bottom"/>
          </w:tcPr>
          <w:p>
            <w:pPr>
              <w:spacing w:after="0"/>
              <w:rPr>
                <w:sz w:val="1"/>
                <w:szCs w:val="1"/>
                <w:color w:val="auto"/>
              </w:rPr>
            </w:pPr>
          </w:p>
        </w:tc>
      </w:tr>
      <w:tr>
        <w:trPr>
          <w:trHeight w:val="225"/>
        </w:trPr>
        <w:tc>
          <w:tcPr>
            <w:tcW w:w="76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color w:val="auto"/>
              </w:rPr>
              <w:t>(unaudited)</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1,602.5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1,368.6</w:t>
            </w:r>
          </w:p>
        </w:tc>
        <w:tc>
          <w:tcPr>
            <w:tcW w:w="0" w:type="dxa"/>
            <w:vAlign w:val="bottom"/>
          </w:tcPr>
          <w:p>
            <w:pPr>
              <w:spacing w:after="0"/>
              <w:rPr>
                <w:sz w:val="1"/>
                <w:szCs w:val="1"/>
                <w:color w:val="auto"/>
              </w:rPr>
            </w:pPr>
          </w:p>
        </w:tc>
      </w:tr>
      <w:tr>
        <w:trPr>
          <w:trHeight w:val="230"/>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Marketable securities</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194.1</w:t>
            </w:r>
          </w:p>
        </w:tc>
        <w:tc>
          <w:tcPr>
            <w:tcW w:w="0" w:type="dxa"/>
            <w:vAlign w:val="bottom"/>
          </w:tcPr>
          <w:p>
            <w:pPr>
              <w:spacing w:after="0"/>
              <w:rPr>
                <w:sz w:val="1"/>
                <w:szCs w:val="1"/>
                <w:color w:val="auto"/>
              </w:rPr>
            </w:pPr>
          </w:p>
        </w:tc>
      </w:tr>
      <w:tr>
        <w:trPr>
          <w:trHeight w:val="229"/>
        </w:trPr>
        <w:tc>
          <w:tcPr>
            <w:tcW w:w="7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Receivables, net of allowances of $0.9 and $0.9, respectively</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508.8</w:t>
            </w:r>
          </w:p>
        </w:tc>
        <w:tc>
          <w:tcPr>
            <w:tcW w:w="0" w:type="dxa"/>
            <w:vAlign w:val="bottom"/>
          </w:tcPr>
          <w:p>
            <w:pPr>
              <w:spacing w:after="0"/>
              <w:rPr>
                <w:sz w:val="1"/>
                <w:szCs w:val="1"/>
                <w:color w:val="auto"/>
              </w:rPr>
            </w:pPr>
          </w:p>
        </w:tc>
      </w:tr>
      <w:tr>
        <w:trPr>
          <w:trHeight w:val="229"/>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Inventory</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784.8</w:t>
            </w:r>
          </w:p>
        </w:tc>
        <w:tc>
          <w:tcPr>
            <w:tcW w:w="0" w:type="dxa"/>
            <w:vAlign w:val="bottom"/>
          </w:tcPr>
          <w:p>
            <w:pPr>
              <w:spacing w:after="0"/>
              <w:rPr>
                <w:sz w:val="1"/>
                <w:szCs w:val="1"/>
                <w:color w:val="auto"/>
              </w:rPr>
            </w:pPr>
          </w:p>
        </w:tc>
      </w:tr>
      <w:tr>
        <w:trPr>
          <w:trHeight w:val="230"/>
        </w:trPr>
        <w:tc>
          <w:tcPr>
            <w:tcW w:w="76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current assets</w:t>
            </w: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484.7</w:t>
            </w:r>
          </w:p>
        </w:tc>
        <w:tc>
          <w:tcPr>
            <w:tcW w:w="0" w:type="dxa"/>
            <w:vAlign w:val="bottom"/>
          </w:tcPr>
          <w:p>
            <w:pPr>
              <w:spacing w:after="0"/>
              <w:rPr>
                <w:sz w:val="1"/>
                <w:szCs w:val="1"/>
                <w:color w:val="auto"/>
              </w:rPr>
            </w:pPr>
          </w:p>
        </w:tc>
      </w:tr>
      <w:tr>
        <w:trPr>
          <w:trHeight w:val="223"/>
        </w:trPr>
        <w:tc>
          <w:tcPr>
            <w:tcW w:w="76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3,341.0</w:t>
            </w:r>
          </w:p>
        </w:tc>
        <w:tc>
          <w:tcPr>
            <w:tcW w:w="0" w:type="dxa"/>
            <w:vAlign w:val="bottom"/>
          </w:tcPr>
          <w:p>
            <w:pPr>
              <w:spacing w:after="0"/>
              <w:rPr>
                <w:sz w:val="1"/>
                <w:szCs w:val="1"/>
                <w:color w:val="auto"/>
              </w:rPr>
            </w:pPr>
          </w:p>
        </w:tc>
      </w:tr>
      <w:tr>
        <w:trPr>
          <w:trHeight w:val="230"/>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1,280.3</w:t>
            </w:r>
          </w:p>
        </w:tc>
        <w:tc>
          <w:tcPr>
            <w:tcW w:w="0" w:type="dxa"/>
            <w:vAlign w:val="bottom"/>
          </w:tcPr>
          <w:p>
            <w:pPr>
              <w:spacing w:after="0"/>
              <w:rPr>
                <w:sz w:val="1"/>
                <w:szCs w:val="1"/>
                <w:color w:val="auto"/>
              </w:rPr>
            </w:pPr>
          </w:p>
        </w:tc>
      </w:tr>
      <w:tr>
        <w:trPr>
          <w:trHeight w:val="229"/>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w:t>
            </w:r>
          </w:p>
        </w:tc>
        <w:tc>
          <w:tcPr>
            <w:tcW w:w="0" w:type="dxa"/>
            <w:vAlign w:val="bottom"/>
          </w:tcPr>
          <w:p>
            <w:pPr>
              <w:spacing w:after="0"/>
              <w:rPr>
                <w:sz w:val="1"/>
                <w:szCs w:val="1"/>
                <w:color w:val="auto"/>
              </w:rPr>
            </w:pPr>
          </w:p>
        </w:tc>
      </w:tr>
      <w:tr>
        <w:trPr>
          <w:trHeight w:val="229"/>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2,176.7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2,176.7</w:t>
            </w:r>
          </w:p>
        </w:tc>
        <w:tc>
          <w:tcPr>
            <w:tcW w:w="0" w:type="dxa"/>
            <w:vAlign w:val="bottom"/>
          </w:tcPr>
          <w:p>
            <w:pPr>
              <w:spacing w:after="0"/>
              <w:rPr>
                <w:sz w:val="1"/>
                <w:szCs w:val="1"/>
                <w:color w:val="auto"/>
              </w:rPr>
            </w:pPr>
          </w:p>
        </w:tc>
      </w:tr>
      <w:tr>
        <w:trPr>
          <w:trHeight w:val="230"/>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900.5</w:t>
            </w:r>
          </w:p>
        </w:tc>
        <w:tc>
          <w:tcPr>
            <w:tcW w:w="0" w:type="dxa"/>
            <w:vAlign w:val="bottom"/>
          </w:tcPr>
          <w:p>
            <w:pPr>
              <w:spacing w:after="0"/>
              <w:rPr>
                <w:sz w:val="1"/>
                <w:szCs w:val="1"/>
                <w:color w:val="auto"/>
              </w:rPr>
            </w:pPr>
          </w:p>
        </w:tc>
      </w:tr>
      <w:tr>
        <w:trPr>
          <w:trHeight w:val="229"/>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assets, net</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303.5</w:t>
            </w:r>
          </w:p>
        </w:tc>
        <w:tc>
          <w:tcPr>
            <w:tcW w:w="0" w:type="dxa"/>
            <w:vAlign w:val="bottom"/>
          </w:tcPr>
          <w:p>
            <w:pPr>
              <w:spacing w:after="0"/>
              <w:rPr>
                <w:sz w:val="1"/>
                <w:szCs w:val="1"/>
                <w:color w:val="auto"/>
              </w:rPr>
            </w:pPr>
          </w:p>
        </w:tc>
      </w:tr>
      <w:tr>
        <w:trPr>
          <w:trHeight w:val="230"/>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29"/>
        </w:trPr>
        <w:tc>
          <w:tcPr>
            <w:tcW w:w="7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0" w:type="dxa"/>
            <w:vAlign w:val="bottom"/>
          </w:tcPr>
          <w:p>
            <w:pPr>
              <w:spacing w:after="0"/>
              <w:rPr>
                <w:sz w:val="1"/>
                <w:szCs w:val="1"/>
                <w:color w:val="auto"/>
              </w:rPr>
            </w:pPr>
          </w:p>
        </w:tc>
      </w:tr>
      <w:tr>
        <w:trPr>
          <w:trHeight w:val="248"/>
        </w:trPr>
        <w:tc>
          <w:tcPr>
            <w:tcW w:w="76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8,283.3</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6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171.8</w:t>
            </w:r>
          </w:p>
        </w:tc>
        <w:tc>
          <w:tcPr>
            <w:tcW w:w="0" w:type="dxa"/>
            <w:vAlign w:val="bottom"/>
          </w:tcPr>
          <w:p>
            <w:pPr>
              <w:spacing w:after="0"/>
              <w:rPr>
                <w:sz w:val="1"/>
                <w:szCs w:val="1"/>
                <w:color w:val="auto"/>
              </w:rPr>
            </w:pPr>
          </w:p>
        </w:tc>
      </w:tr>
      <w:tr>
        <w:trPr>
          <w:trHeight w:val="230"/>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w:t>
            </w:r>
          </w:p>
        </w:tc>
        <w:tc>
          <w:tcPr>
            <w:tcW w:w="0" w:type="dxa"/>
            <w:vAlign w:val="bottom"/>
          </w:tcPr>
          <w:p>
            <w:pPr>
              <w:spacing w:after="0"/>
              <w:rPr>
                <w:sz w:val="1"/>
                <w:szCs w:val="1"/>
                <w:color w:val="auto"/>
              </w:rPr>
            </w:pPr>
          </w:p>
        </w:tc>
      </w:tr>
      <w:tr>
        <w:trPr>
          <w:trHeight w:val="230"/>
        </w:trPr>
        <w:tc>
          <w:tcPr>
            <w:tcW w:w="76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303.0</w:t>
            </w:r>
          </w:p>
        </w:tc>
        <w:tc>
          <w:tcPr>
            <w:tcW w:w="0" w:type="dxa"/>
            <w:vAlign w:val="bottom"/>
          </w:tcPr>
          <w:p>
            <w:pPr>
              <w:spacing w:after="0"/>
              <w:rPr>
                <w:sz w:val="1"/>
                <w:szCs w:val="1"/>
                <w:color w:val="auto"/>
              </w:rPr>
            </w:pPr>
          </w:p>
        </w:tc>
      </w:tr>
      <w:tr>
        <w:trPr>
          <w:trHeight w:val="223"/>
        </w:trPr>
        <w:tc>
          <w:tcPr>
            <w:tcW w:w="76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602.7</w:t>
            </w:r>
          </w:p>
        </w:tc>
        <w:tc>
          <w:tcPr>
            <w:tcW w:w="0" w:type="dxa"/>
            <w:vAlign w:val="bottom"/>
          </w:tcPr>
          <w:p>
            <w:pPr>
              <w:spacing w:after="0"/>
              <w:rPr>
                <w:sz w:val="1"/>
                <w:szCs w:val="1"/>
                <w:color w:val="auto"/>
              </w:rPr>
            </w:pPr>
          </w:p>
        </w:tc>
      </w:tr>
      <w:tr>
        <w:trPr>
          <w:trHeight w:val="229"/>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994.3</w:t>
            </w:r>
          </w:p>
        </w:tc>
        <w:tc>
          <w:tcPr>
            <w:tcW w:w="0" w:type="dxa"/>
            <w:vAlign w:val="bottom"/>
          </w:tcPr>
          <w:p>
            <w:pPr>
              <w:spacing w:after="0"/>
              <w:rPr>
                <w:sz w:val="1"/>
                <w:szCs w:val="1"/>
                <w:color w:val="auto"/>
              </w:rPr>
            </w:pPr>
          </w:p>
        </w:tc>
      </w:tr>
      <w:tr>
        <w:trPr>
          <w:trHeight w:val="230"/>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tax liabilities</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w:t>
            </w:r>
          </w:p>
        </w:tc>
        <w:tc>
          <w:tcPr>
            <w:tcW w:w="0" w:type="dxa"/>
            <w:vAlign w:val="bottom"/>
          </w:tcPr>
          <w:p>
            <w:pPr>
              <w:spacing w:after="0"/>
              <w:rPr>
                <w:sz w:val="1"/>
                <w:szCs w:val="1"/>
                <w:color w:val="auto"/>
              </w:rPr>
            </w:pPr>
          </w:p>
        </w:tc>
      </w:tr>
      <w:tr>
        <w:trPr>
          <w:trHeight w:val="230"/>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185.9</w:t>
            </w:r>
          </w:p>
        </w:tc>
        <w:tc>
          <w:tcPr>
            <w:tcW w:w="0" w:type="dxa"/>
            <w:vAlign w:val="bottom"/>
          </w:tcPr>
          <w:p>
            <w:pPr>
              <w:spacing w:after="0"/>
              <w:rPr>
                <w:sz w:val="1"/>
                <w:szCs w:val="1"/>
                <w:color w:val="auto"/>
              </w:rPr>
            </w:pPr>
          </w:p>
        </w:tc>
      </w:tr>
      <w:tr>
        <w:trPr>
          <w:trHeight w:val="230"/>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0" w:type="dxa"/>
            <w:vAlign w:val="bottom"/>
          </w:tcPr>
          <w:p>
            <w:pPr>
              <w:spacing w:after="0"/>
              <w:rPr>
                <w:sz w:val="1"/>
                <w:szCs w:val="1"/>
                <w:color w:val="auto"/>
              </w:rPr>
            </w:pPr>
          </w:p>
        </w:tc>
      </w:tr>
      <w:tr>
        <w:trPr>
          <w:trHeight w:val="223"/>
        </w:trPr>
        <w:tc>
          <w:tcPr>
            <w:tcW w:w="76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1,930.4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1,946.6</w:t>
            </w:r>
          </w:p>
        </w:tc>
        <w:tc>
          <w:tcPr>
            <w:tcW w:w="0" w:type="dxa"/>
            <w:vAlign w:val="bottom"/>
          </w:tcPr>
          <w:p>
            <w:pPr>
              <w:spacing w:after="0"/>
              <w:rPr>
                <w:sz w:val="1"/>
                <w:szCs w:val="1"/>
                <w:color w:val="auto"/>
              </w:rPr>
            </w:pPr>
          </w:p>
        </w:tc>
      </w:tr>
      <w:tr>
        <w:trPr>
          <w:trHeight w:val="230"/>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9)</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Preferred stock, no par value: 25.0 shares authorized, no shares issued</w:t>
            </w:r>
          </w:p>
        </w:tc>
        <w:tc>
          <w:tcPr>
            <w:tcW w:w="16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766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Common stock, $0.25 par value: 525.0 shares authorized; 160.7 shares issued and outstanding at</w:t>
            </w:r>
          </w:p>
        </w:tc>
        <w:tc>
          <w:tcPr>
            <w:tcW w:w="1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December 27, 2024, and 159.9 shares issued and outstanding at September 27, 2024</w:t>
            </w:r>
          </w:p>
        </w:tc>
        <w:tc>
          <w:tcPr>
            <w:tcW w:w="1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29"/>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269.4</w:t>
            </w:r>
          </w:p>
        </w:tc>
        <w:tc>
          <w:tcPr>
            <w:tcW w:w="0" w:type="dxa"/>
            <w:vAlign w:val="bottom"/>
          </w:tcPr>
          <w:p>
            <w:pPr>
              <w:spacing w:after="0"/>
              <w:rPr>
                <w:sz w:val="1"/>
                <w:szCs w:val="1"/>
                <w:color w:val="auto"/>
              </w:rPr>
            </w:pPr>
          </w:p>
        </w:tc>
      </w:tr>
      <w:tr>
        <w:trPr>
          <w:trHeight w:val="230"/>
        </w:trPr>
        <w:tc>
          <w:tcPr>
            <w:tcW w:w="7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Retained earnings</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6,082.4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6,032.9</w:t>
            </w:r>
          </w:p>
        </w:tc>
        <w:tc>
          <w:tcPr>
            <w:tcW w:w="0" w:type="dxa"/>
            <w:vAlign w:val="bottom"/>
          </w:tcPr>
          <w:p>
            <w:pPr>
              <w:spacing w:after="0"/>
              <w:rPr>
                <w:sz w:val="1"/>
                <w:szCs w:val="1"/>
                <w:color w:val="auto"/>
              </w:rPr>
            </w:pPr>
          </w:p>
        </w:tc>
      </w:tr>
      <w:tr>
        <w:trPr>
          <w:trHeight w:val="230"/>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23"/>
        </w:trPr>
        <w:tc>
          <w:tcPr>
            <w:tcW w:w="766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6,400.7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6,336.7</w:t>
            </w:r>
          </w:p>
        </w:tc>
        <w:tc>
          <w:tcPr>
            <w:tcW w:w="0" w:type="dxa"/>
            <w:vAlign w:val="bottom"/>
          </w:tcPr>
          <w:p>
            <w:pPr>
              <w:spacing w:after="0"/>
              <w:rPr>
                <w:sz w:val="1"/>
                <w:szCs w:val="1"/>
                <w:color w:val="auto"/>
              </w:rPr>
            </w:pPr>
          </w:p>
        </w:tc>
      </w:tr>
      <w:tr>
        <w:trPr>
          <w:trHeight w:val="248"/>
        </w:trPr>
        <w:tc>
          <w:tcPr>
            <w:tcW w:w="766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8,283.3</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SKYWORKS SOLUTIONS,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 in millions)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420" w:type="dxa"/>
            <w:vAlign w:val="bottom"/>
            <w:tcBorders>
              <w:bottom w:val="single" w:sz="8" w:color="auto"/>
            </w:tcBorders>
            <w:gridSpan w:val="4"/>
          </w:tcPr>
          <w:p>
            <w:pPr>
              <w:jc w:val="right"/>
              <w:ind w:right="970"/>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1"/>
        </w:trPr>
        <w:tc>
          <w:tcPr>
            <w:tcW w:w="7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27, 2024</w:t>
            </w:r>
          </w:p>
        </w:tc>
        <w:tc>
          <w:tcPr>
            <w:tcW w:w="160" w:type="dxa"/>
            <w:vAlign w:val="bottom"/>
          </w:tcPr>
          <w:p>
            <w:pPr>
              <w:spacing w:after="0"/>
              <w:rPr>
                <w:sz w:val="18"/>
                <w:szCs w:val="18"/>
                <w:color w:val="auto"/>
              </w:rPr>
            </w:pPr>
          </w:p>
        </w:tc>
        <w:tc>
          <w:tcPr>
            <w:tcW w:w="1580" w:type="dxa"/>
            <w:vAlign w:val="bottom"/>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December 29, 2023</w:t>
            </w:r>
          </w:p>
        </w:tc>
      </w:tr>
      <w:tr>
        <w:trPr>
          <w:trHeight w:val="211"/>
        </w:trPr>
        <w:tc>
          <w:tcPr>
            <w:tcW w:w="7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6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r>
      <w:tr>
        <w:trPr>
          <w:trHeight w:val="229"/>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231.3</w:t>
            </w:r>
          </w:p>
        </w:tc>
      </w:tr>
      <w:tr>
        <w:trPr>
          <w:trHeight w:val="230"/>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29"/>
        </w:trPr>
        <w:tc>
          <w:tcPr>
            <w:tcW w:w="76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Share-based compensation</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w:t>
            </w:r>
          </w:p>
        </w:tc>
      </w:tr>
      <w:tr>
        <w:trPr>
          <w:trHeight w:val="229"/>
        </w:trPr>
        <w:tc>
          <w:tcPr>
            <w:tcW w:w="76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Depreciation</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r>
      <w:tr>
        <w:trPr>
          <w:trHeight w:val="230"/>
        </w:trPr>
        <w:tc>
          <w:tcPr>
            <w:tcW w:w="76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w:t>
            </w:r>
          </w:p>
        </w:tc>
      </w:tr>
      <w:tr>
        <w:trPr>
          <w:trHeight w:val="229"/>
        </w:trPr>
        <w:tc>
          <w:tcPr>
            <w:tcW w:w="76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Deferred income taxes</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0"/>
        </w:trPr>
        <w:tc>
          <w:tcPr>
            <w:tcW w:w="76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Asset impairment charges</w:t>
            </w:r>
          </w:p>
        </w:tc>
        <w:tc>
          <w:tcPr>
            <w:tcW w:w="160" w:type="dxa"/>
            <w:vAlign w:val="bottom"/>
          </w:tcPr>
          <w:p>
            <w:pPr>
              <w:spacing w:after="0"/>
              <w:rPr>
                <w:sz w:val="19"/>
                <w:szCs w:val="19"/>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29"/>
        </w:trPr>
        <w:tc>
          <w:tcPr>
            <w:tcW w:w="76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Amortization of debt discount and issuance costs</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9"/>
        </w:trPr>
        <w:tc>
          <w:tcPr>
            <w:tcW w:w="76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Other, net</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30"/>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29"/>
        </w:trPr>
        <w:tc>
          <w:tcPr>
            <w:tcW w:w="76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Receivables, net</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204.9</w:t>
            </w:r>
          </w:p>
        </w:tc>
      </w:tr>
      <w:tr>
        <w:trPr>
          <w:trHeight w:val="229"/>
        </w:trPr>
        <w:tc>
          <w:tcPr>
            <w:tcW w:w="76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Inventory</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w:t>
            </w:r>
          </w:p>
        </w:tc>
      </w:tr>
      <w:tr>
        <w:trPr>
          <w:trHeight w:val="230"/>
        </w:trPr>
        <w:tc>
          <w:tcPr>
            <w:tcW w:w="76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r>
      <w:tr>
        <w:trPr>
          <w:trHeight w:val="229"/>
        </w:trPr>
        <w:tc>
          <w:tcPr>
            <w:tcW w:w="76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 current and long-term assets and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23"/>
        </w:trPr>
        <w:tc>
          <w:tcPr>
            <w:tcW w:w="76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774.9</w:t>
            </w:r>
          </w:p>
        </w:tc>
      </w:tr>
      <w:tr>
        <w:trPr>
          <w:trHeight w:val="209"/>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r>
      <w:tr>
        <w:trPr>
          <w:trHeight w:val="230"/>
        </w:trPr>
        <w:tc>
          <w:tcPr>
            <w:tcW w:w="76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Capital expenditures</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r>
      <w:tr>
        <w:trPr>
          <w:trHeight w:val="229"/>
        </w:trPr>
        <w:tc>
          <w:tcPr>
            <w:tcW w:w="76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Purchased intangibles</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29"/>
        </w:trPr>
        <w:tc>
          <w:tcPr>
            <w:tcW w:w="76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76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Sales and maturities of marketable securities</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0"/>
        </w:trPr>
        <w:tc>
          <w:tcPr>
            <w:tcW w:w="766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23"/>
        </w:trPr>
        <w:tc>
          <w:tcPr>
            <w:tcW w:w="76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 activities</w:t>
            </w: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r>
      <w:tr>
        <w:trPr>
          <w:trHeight w:val="210"/>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30"/>
        </w:trPr>
        <w:tc>
          <w:tcPr>
            <w:tcW w:w="76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Repurchase of common stock - payroll tax withholdings on equity awards</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r>
      <w:tr>
        <w:trPr>
          <w:trHeight w:val="229"/>
        </w:trPr>
        <w:tc>
          <w:tcPr>
            <w:tcW w:w="76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Dividends paid</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w:t>
            </w:r>
          </w:p>
        </w:tc>
      </w:tr>
      <w:tr>
        <w:trPr>
          <w:trHeight w:val="230"/>
        </w:trPr>
        <w:tc>
          <w:tcPr>
            <w:tcW w:w="76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proceeds from exercise of stock options</w:t>
            </w:r>
          </w:p>
        </w:tc>
        <w:tc>
          <w:tcPr>
            <w:tcW w:w="16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76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Payments of debt</w:t>
            </w:r>
          </w:p>
        </w:tc>
        <w:tc>
          <w:tcPr>
            <w:tcW w:w="160" w:type="dxa"/>
            <w:vAlign w:val="bottom"/>
          </w:tcPr>
          <w:p>
            <w:pPr>
              <w:spacing w:after="0"/>
              <w:rPr>
                <w:sz w:val="19"/>
                <w:szCs w:val="19"/>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r>
      <w:tr>
        <w:trPr>
          <w:trHeight w:val="223"/>
        </w:trPr>
        <w:tc>
          <w:tcPr>
            <w:tcW w:w="7660" w:type="dxa"/>
            <w:vAlign w:val="bottom"/>
            <w:tcBorders>
              <w:top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(440.5)</w:t>
            </w:r>
          </w:p>
        </w:tc>
      </w:tr>
      <w:tr>
        <w:trPr>
          <w:trHeight w:val="223"/>
        </w:trPr>
        <w:tc>
          <w:tcPr>
            <w:tcW w:w="76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310.9</w:t>
            </w:r>
          </w:p>
        </w:tc>
      </w:tr>
      <w:tr>
        <w:trPr>
          <w:trHeight w:val="230"/>
        </w:trPr>
        <w:tc>
          <w:tcPr>
            <w:tcW w:w="76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718.8</w:t>
            </w:r>
          </w:p>
        </w:tc>
      </w:tr>
      <w:tr>
        <w:trPr>
          <w:trHeight w:val="223"/>
        </w:trPr>
        <w:tc>
          <w:tcPr>
            <w:tcW w:w="76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1,602.5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1,029.7</w:t>
            </w:r>
          </w:p>
        </w:tc>
      </w:tr>
      <w:tr>
        <w:trPr>
          <w:trHeight w:val="20"/>
        </w:trPr>
        <w:tc>
          <w:tcPr>
            <w:tcW w:w="76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197"/>
        </w:trPr>
        <w:tc>
          <w:tcPr>
            <w:tcW w:w="76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cash flow disclosures:</w:t>
            </w:r>
          </w:p>
        </w:tc>
        <w:tc>
          <w:tcPr>
            <w:tcW w:w="16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r>
      <w:tr>
        <w:trPr>
          <w:trHeight w:val="230"/>
        </w:trPr>
        <w:tc>
          <w:tcPr>
            <w:tcW w:w="76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Income taxes paid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29"/>
        </w:trPr>
        <w:tc>
          <w:tcPr>
            <w:tcW w:w="76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Interest paid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30"/>
        </w:trPr>
        <w:tc>
          <w:tcPr>
            <w:tcW w:w="76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Incentives paid in common stock</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76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Non-cash investing in capital expenditures, accrued but not paid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34"/>
        </w:trPr>
        <w:tc>
          <w:tcPr>
            <w:tcW w:w="76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Operating lease assets obtained in exchange for new lease liabilities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SKYWORKS SOLUTIONS,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 in millions)</w:t>
      </w:r>
    </w:p>
    <w:p>
      <w:pPr>
        <w:spacing w:after="0" w:line="16" w:lineRule="exact"/>
        <w:rPr>
          <w:sz w:val="20"/>
          <w:szCs w:val="20"/>
          <w:color w:val="auto"/>
        </w:rPr>
      </w:pPr>
    </w:p>
    <w:tbl>
      <w:tblPr>
        <w:tblLayout w:type="fixed"/>
        <w:tblInd w:w="20" w:type="dxa"/>
        <w:tblCellMar>
          <w:top w:w="0" w:type="dxa"/>
          <w:left w:w="0" w:type="dxa"/>
          <w:bottom w:w="0" w:type="dxa"/>
          <w:right w:w="0" w:type="dxa"/>
        </w:tblCellMar>
      </w:tblPr>
      <w:tr>
        <w:trPr>
          <w:trHeight w:val="176"/>
        </w:trPr>
        <w:tc>
          <w:tcPr>
            <w:tcW w:w="3740" w:type="dxa"/>
            <w:vAlign w:val="bottom"/>
          </w:tcPr>
          <w:p>
            <w:pPr>
              <w:spacing w:after="0"/>
              <w:rPr>
                <w:sz w:val="15"/>
                <w:szCs w:val="15"/>
                <w:color w:val="auto"/>
              </w:rPr>
            </w:pPr>
          </w:p>
        </w:tc>
        <w:tc>
          <w:tcPr>
            <w:tcW w:w="1180" w:type="dxa"/>
            <w:vAlign w:val="bottom"/>
            <w:tcBorders>
              <w:top w:val="single" w:sz="8" w:color="auto"/>
            </w:tcBorders>
            <w:gridSpan w:val="2"/>
          </w:tcPr>
          <w:p>
            <w:pPr>
              <w:jc w:val="center"/>
              <w:ind w:right="140"/>
              <w:spacing w:after="0" w:line="175" w:lineRule="exact"/>
              <w:rPr>
                <w:sz w:val="20"/>
                <w:szCs w:val="20"/>
                <w:color w:val="auto"/>
              </w:rPr>
            </w:pPr>
            <w:r>
              <w:rPr>
                <w:rFonts w:ascii="Times New Roman" w:cs="Times New Roman" w:eastAsia="Times New Roman" w:hAnsi="Times New Roman"/>
                <w:sz w:val="16"/>
                <w:szCs w:val="16"/>
                <w:b w:val="1"/>
                <w:bCs w:val="1"/>
                <w:color w:val="auto"/>
              </w:rPr>
              <w:t>Shares of</w:t>
            </w:r>
          </w:p>
        </w:tc>
        <w:tc>
          <w:tcPr>
            <w:tcW w:w="1160" w:type="dxa"/>
            <w:vAlign w:val="bottom"/>
            <w:tcBorders>
              <w:top w:val="single" w:sz="8" w:color="auto"/>
            </w:tcBorders>
            <w:gridSpan w:val="3"/>
          </w:tcPr>
          <w:p>
            <w:pPr>
              <w:jc w:val="center"/>
              <w:ind w:right="140"/>
              <w:spacing w:after="0" w:line="175" w:lineRule="exact"/>
              <w:rPr>
                <w:sz w:val="20"/>
                <w:szCs w:val="20"/>
                <w:color w:val="auto"/>
              </w:rPr>
            </w:pPr>
            <w:r>
              <w:rPr>
                <w:rFonts w:ascii="Times New Roman" w:cs="Times New Roman" w:eastAsia="Times New Roman" w:hAnsi="Times New Roman"/>
                <w:sz w:val="16"/>
                <w:szCs w:val="16"/>
                <w:b w:val="1"/>
                <w:bCs w:val="1"/>
                <w:color w:val="auto"/>
                <w:w w:val="99"/>
              </w:rPr>
              <w:t>Par value of</w:t>
            </w:r>
          </w:p>
        </w:tc>
        <w:tc>
          <w:tcPr>
            <w:tcW w:w="1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500" w:type="dxa"/>
            <w:vAlign w:val="bottom"/>
            <w:tcBorders>
              <w:top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14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center"/>
              <w:ind w:right="59"/>
              <w:spacing w:after="0" w:line="175" w:lineRule="exact"/>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62"/>
        </w:trPr>
        <w:tc>
          <w:tcPr>
            <w:tcW w:w="3740" w:type="dxa"/>
            <w:vAlign w:val="bottom"/>
          </w:tcPr>
          <w:p>
            <w:pPr>
              <w:spacing w:after="0"/>
              <w:rPr>
                <w:sz w:val="14"/>
                <w:szCs w:val="14"/>
                <w:color w:val="auto"/>
              </w:rPr>
            </w:pPr>
          </w:p>
        </w:tc>
        <w:tc>
          <w:tcPr>
            <w:tcW w:w="1180" w:type="dxa"/>
            <w:vAlign w:val="bottom"/>
            <w:gridSpan w:val="2"/>
          </w:tcPr>
          <w:p>
            <w:pPr>
              <w:jc w:val="center"/>
              <w:ind w:right="140"/>
              <w:spacing w:after="0" w:line="162" w:lineRule="exact"/>
              <w:rPr>
                <w:sz w:val="20"/>
                <w:szCs w:val="20"/>
                <w:color w:val="auto"/>
              </w:rPr>
            </w:pPr>
            <w:r>
              <w:rPr>
                <w:rFonts w:ascii="Times New Roman" w:cs="Times New Roman" w:eastAsia="Times New Roman" w:hAnsi="Times New Roman"/>
                <w:sz w:val="16"/>
                <w:szCs w:val="16"/>
                <w:b w:val="1"/>
                <w:bCs w:val="1"/>
                <w:color w:val="auto"/>
              </w:rPr>
              <w:t>common</w:t>
            </w:r>
          </w:p>
        </w:tc>
        <w:tc>
          <w:tcPr>
            <w:tcW w:w="160" w:type="dxa"/>
            <w:vAlign w:val="bottom"/>
          </w:tcPr>
          <w:p>
            <w:pPr>
              <w:spacing w:after="0"/>
              <w:rPr>
                <w:sz w:val="14"/>
                <w:szCs w:val="14"/>
                <w:color w:val="auto"/>
              </w:rPr>
            </w:pPr>
          </w:p>
        </w:tc>
        <w:tc>
          <w:tcPr>
            <w:tcW w:w="100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6"/>
                <w:szCs w:val="16"/>
                <w:b w:val="1"/>
                <w:bCs w:val="1"/>
                <w:color w:val="auto"/>
                <w:w w:val="98"/>
              </w:rPr>
              <w:t>common</w:t>
            </w:r>
          </w:p>
        </w:tc>
        <w:tc>
          <w:tcPr>
            <w:tcW w:w="14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center"/>
              <w:ind w:right="59"/>
              <w:spacing w:after="0" w:line="162" w:lineRule="exact"/>
              <w:rPr>
                <w:sz w:val="20"/>
                <w:szCs w:val="20"/>
                <w:color w:val="auto"/>
              </w:rPr>
            </w:pPr>
            <w:r>
              <w:rPr>
                <w:rFonts w:ascii="Times New Roman" w:cs="Times New Roman" w:eastAsia="Times New Roman" w:hAnsi="Times New Roman"/>
                <w:sz w:val="16"/>
                <w:szCs w:val="16"/>
                <w:b w:val="1"/>
                <w:bCs w:val="1"/>
                <w:color w:val="auto"/>
              </w:rPr>
              <w:t>stockholders</w:t>
            </w: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4"/>
        </w:trPr>
        <w:tc>
          <w:tcPr>
            <w:tcW w:w="3740" w:type="dxa"/>
            <w:vAlign w:val="bottom"/>
          </w:tcPr>
          <w:p>
            <w:pPr>
              <w:spacing w:after="0"/>
              <w:rPr>
                <w:sz w:val="18"/>
                <w:szCs w:val="18"/>
                <w:color w:val="auto"/>
              </w:rPr>
            </w:pP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60" w:type="dxa"/>
            <w:vAlign w:val="bottom"/>
          </w:tcPr>
          <w:p>
            <w:pPr>
              <w:spacing w:after="0"/>
              <w:rPr>
                <w:sz w:val="18"/>
                <w:szCs w:val="18"/>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paid-in capital</w:t>
            </w:r>
          </w:p>
        </w:tc>
        <w:tc>
          <w:tcPr>
            <w:tcW w:w="140" w:type="dxa"/>
            <w:vAlign w:val="bottom"/>
          </w:tcPr>
          <w:p>
            <w:pPr>
              <w:spacing w:after="0"/>
              <w:rPr>
                <w:sz w:val="18"/>
                <w:szCs w:val="18"/>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5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 loss</w:t>
            </w:r>
          </w:p>
        </w:tc>
        <w:tc>
          <w:tcPr>
            <w:tcW w:w="140" w:type="dxa"/>
            <w:vAlign w:val="bottom"/>
          </w:tcPr>
          <w:p>
            <w:pPr>
              <w:spacing w:after="0"/>
              <w:rPr>
                <w:sz w:val="18"/>
                <w:szCs w:val="18"/>
                <w:color w:val="auto"/>
              </w:rPr>
            </w:pPr>
          </w:p>
        </w:tc>
        <w:tc>
          <w:tcPr>
            <w:tcW w:w="114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11"/>
        </w:trPr>
        <w:tc>
          <w:tcPr>
            <w:tcW w:w="3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September 27, 2024</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159.9</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269.4</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6,032.9</w:t>
            </w:r>
          </w:p>
        </w:tc>
        <w:tc>
          <w:tcPr>
            <w:tcW w:w="1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(5.6)</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6,336.7</w:t>
            </w:r>
          </w:p>
        </w:tc>
        <w:tc>
          <w:tcPr>
            <w:tcW w:w="0" w:type="dxa"/>
            <w:vAlign w:val="bottom"/>
          </w:tcPr>
          <w:p>
            <w:pPr>
              <w:spacing w:after="0"/>
              <w:rPr>
                <w:sz w:val="1"/>
                <w:szCs w:val="1"/>
                <w:color w:val="auto"/>
              </w:rPr>
            </w:pPr>
          </w:p>
        </w:tc>
      </w:tr>
      <w:tr>
        <w:trPr>
          <w:trHeight w:val="213"/>
        </w:trPr>
        <w:tc>
          <w:tcPr>
            <w:tcW w:w="3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162.0</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162.0</w:t>
            </w:r>
          </w:p>
        </w:tc>
        <w:tc>
          <w:tcPr>
            <w:tcW w:w="0" w:type="dxa"/>
            <w:vAlign w:val="bottom"/>
          </w:tcPr>
          <w:p>
            <w:pPr>
              <w:spacing w:after="0"/>
              <w:rPr>
                <w:sz w:val="1"/>
                <w:szCs w:val="1"/>
                <w:color w:val="auto"/>
              </w:rPr>
            </w:pPr>
          </w:p>
        </w:tc>
      </w:tr>
      <w:tr>
        <w:trPr>
          <w:trHeight w:val="165"/>
        </w:trPr>
        <w:tc>
          <w:tcPr>
            <w:tcW w:w="374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Exercise and settlement of share-based awards, net of</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shares withheld for taxes</w:t>
            </w:r>
          </w:p>
        </w:tc>
        <w:tc>
          <w:tcPr>
            <w:tcW w:w="10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18"/>
                <w:szCs w:val="18"/>
                <w:color w:val="auto"/>
              </w:rPr>
            </w:pPr>
          </w:p>
        </w:tc>
        <w:tc>
          <w:tcPr>
            <w:tcW w:w="94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52.8</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Dividends declared</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(112.5)</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(112.5)</w:t>
            </w:r>
          </w:p>
        </w:tc>
        <w:tc>
          <w:tcPr>
            <w:tcW w:w="0" w:type="dxa"/>
            <w:vAlign w:val="bottom"/>
          </w:tcPr>
          <w:p>
            <w:pPr>
              <w:spacing w:after="0"/>
              <w:rPr>
                <w:sz w:val="1"/>
                <w:szCs w:val="1"/>
                <w:color w:val="auto"/>
              </w:rPr>
            </w:pPr>
          </w:p>
        </w:tc>
      </w:tr>
      <w:tr>
        <w:trPr>
          <w:trHeight w:val="183"/>
        </w:trPr>
        <w:tc>
          <w:tcPr>
            <w:tcW w:w="374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color w:val="auto"/>
              </w:rPr>
              <w:t>Balance at December 27, 2024</w:t>
            </w:r>
          </w:p>
        </w:tc>
        <w:tc>
          <w:tcPr>
            <w:tcW w:w="102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160.7</w:t>
            </w:r>
          </w:p>
        </w:tc>
        <w:tc>
          <w:tcPr>
            <w:tcW w:w="16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40.2</w:t>
            </w:r>
          </w:p>
        </w:tc>
        <w:tc>
          <w:tcPr>
            <w:tcW w:w="140" w:type="dxa"/>
            <w:vAlign w:val="bottom"/>
          </w:tcPr>
          <w:p>
            <w:pPr>
              <w:spacing w:after="0"/>
              <w:rPr>
                <w:sz w:val="15"/>
                <w:szCs w:val="15"/>
                <w:color w:val="auto"/>
              </w:rPr>
            </w:pPr>
          </w:p>
        </w:tc>
        <w:tc>
          <w:tcPr>
            <w:tcW w:w="140" w:type="dxa"/>
            <w:vAlign w:val="bottom"/>
            <w:tcBorders>
              <w:top w:val="single" w:sz="8" w:color="auto"/>
              <w:bottom w:val="single" w:sz="8" w:color="auto"/>
            </w:tcBorders>
          </w:tcPr>
          <w:p>
            <w:pPr>
              <w:ind w:left="20"/>
              <w:spacing w:after="0" w:line="183" w:lineRule="exact"/>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283.7</w:t>
            </w:r>
          </w:p>
        </w:tc>
        <w:tc>
          <w:tcPr>
            <w:tcW w:w="16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6,082.4</w:t>
            </w:r>
          </w:p>
        </w:tc>
        <w:tc>
          <w:tcPr>
            <w:tcW w:w="160" w:type="dxa"/>
            <w:vAlign w:val="bottom"/>
          </w:tcPr>
          <w:p>
            <w:pPr>
              <w:spacing w:after="0"/>
              <w:rPr>
                <w:sz w:val="15"/>
                <w:szCs w:val="15"/>
                <w:color w:val="auto"/>
              </w:rPr>
            </w:pPr>
          </w:p>
        </w:tc>
        <w:tc>
          <w:tcPr>
            <w:tcW w:w="560" w:type="dxa"/>
            <w:vAlign w:val="bottom"/>
            <w:tcBorders>
              <w:top w:val="single" w:sz="8" w:color="auto"/>
              <w:bottom w:val="single" w:sz="8" w:color="auto"/>
            </w:tcBorders>
          </w:tcPr>
          <w:p>
            <w:pPr>
              <w:ind w:left="20"/>
              <w:spacing w:after="0" w:line="183" w:lineRule="exact"/>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bottom w:val="single" w:sz="8" w:color="auto"/>
            </w:tcBorders>
          </w:tcPr>
          <w:p>
            <w:pPr>
              <w:ind w:left="460"/>
              <w:spacing w:after="0" w:line="183" w:lineRule="exact"/>
              <w:rPr>
                <w:sz w:val="20"/>
                <w:szCs w:val="20"/>
                <w:color w:val="auto"/>
              </w:rPr>
            </w:pPr>
            <w:r>
              <w:rPr>
                <w:rFonts w:ascii="Times New Roman" w:cs="Times New Roman" w:eastAsia="Times New Roman" w:hAnsi="Times New Roman"/>
                <w:sz w:val="16"/>
                <w:szCs w:val="16"/>
                <w:color w:val="auto"/>
              </w:rPr>
              <w:t>(5.6)</w:t>
            </w:r>
          </w:p>
        </w:tc>
        <w:tc>
          <w:tcPr>
            <w:tcW w:w="14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6,400.7</w:t>
            </w:r>
          </w:p>
        </w:tc>
        <w:tc>
          <w:tcPr>
            <w:tcW w:w="0" w:type="dxa"/>
            <w:vAlign w:val="bottom"/>
          </w:tcPr>
          <w:p>
            <w:pPr>
              <w:spacing w:after="0"/>
              <w:rPr>
                <w:sz w:val="1"/>
                <w:szCs w:val="1"/>
                <w:color w:val="auto"/>
              </w:rPr>
            </w:pPr>
          </w:p>
        </w:tc>
      </w:tr>
      <w:tr>
        <w:trPr>
          <w:trHeight w:val="20"/>
        </w:trPr>
        <w:tc>
          <w:tcPr>
            <w:tcW w:w="374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7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September 29, 2023</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159.5</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w:t>
            </w:r>
          </w:p>
        </w:tc>
        <w:tc>
          <w:tcPr>
            <w:tcW w:w="14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172.4</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5,876.0</w:t>
            </w:r>
          </w:p>
        </w:tc>
        <w:tc>
          <w:tcPr>
            <w:tcW w:w="160" w:type="dxa"/>
            <w:vAlign w:val="bottom"/>
          </w:tcPr>
          <w:p>
            <w:pPr>
              <w:spacing w:after="0"/>
              <w:rPr>
                <w:sz w:val="18"/>
                <w:szCs w:val="18"/>
                <w:color w:val="auto"/>
              </w:rPr>
            </w:pPr>
          </w:p>
        </w:tc>
        <w:tc>
          <w:tcPr>
            <w:tcW w:w="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(5.6)</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6,082.7</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231.3</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231.3</w:t>
            </w:r>
          </w:p>
        </w:tc>
        <w:tc>
          <w:tcPr>
            <w:tcW w:w="0" w:type="dxa"/>
            <w:vAlign w:val="bottom"/>
          </w:tcPr>
          <w:p>
            <w:pPr>
              <w:spacing w:after="0"/>
              <w:rPr>
                <w:sz w:val="1"/>
                <w:szCs w:val="1"/>
                <w:color w:val="auto"/>
              </w:rPr>
            </w:pPr>
          </w:p>
        </w:tc>
      </w:tr>
      <w:tr>
        <w:trPr>
          <w:trHeight w:val="162"/>
        </w:trPr>
        <w:tc>
          <w:tcPr>
            <w:tcW w:w="37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Exercise and settlement of share-based awards, net of</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(30.6)</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spacing w:after="0"/>
              <w:rPr>
                <w:sz w:val="14"/>
                <w:szCs w:val="14"/>
                <w:color w:val="auto"/>
              </w:rPr>
            </w:pPr>
          </w:p>
        </w:tc>
        <w:tc>
          <w:tcPr>
            <w:tcW w:w="940" w:type="dxa"/>
            <w:vAlign w:val="bottom"/>
            <w:gridSpan w:val="2"/>
            <w:vMerge w:val="restart"/>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(30.4)</w:t>
            </w:r>
          </w:p>
        </w:tc>
        <w:tc>
          <w:tcPr>
            <w:tcW w:w="0" w:type="dxa"/>
            <w:vAlign w:val="bottom"/>
          </w:tcPr>
          <w:p>
            <w:pPr>
              <w:spacing w:after="0"/>
              <w:rPr>
                <w:sz w:val="1"/>
                <w:szCs w:val="1"/>
                <w:color w:val="auto"/>
              </w:rPr>
            </w:pPr>
          </w:p>
        </w:tc>
      </w:tr>
      <w:tr>
        <w:trPr>
          <w:trHeight w:val="213"/>
        </w:trPr>
        <w:tc>
          <w:tcPr>
            <w:tcW w:w="3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shares withheld for taxes</w:t>
            </w:r>
          </w:p>
        </w:tc>
        <w:tc>
          <w:tcPr>
            <w:tcW w:w="10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w:t>
            </w:r>
          </w:p>
        </w:tc>
        <w:tc>
          <w:tcPr>
            <w:tcW w:w="0" w:type="dxa"/>
            <w:vAlign w:val="bottom"/>
          </w:tcPr>
          <w:p>
            <w:pPr>
              <w:spacing w:after="0"/>
              <w:rPr>
                <w:sz w:val="1"/>
                <w:szCs w:val="1"/>
                <w:color w:val="auto"/>
              </w:rPr>
            </w:pPr>
          </w:p>
        </w:tc>
      </w:tr>
      <w:tr>
        <w:trPr>
          <w:trHeight w:val="213"/>
        </w:trPr>
        <w:tc>
          <w:tcPr>
            <w:tcW w:w="3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Dividends declared</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(108.9)</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(108.9)</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spacing w:after="0"/>
              <w:rPr>
                <w:sz w:val="18"/>
                <w:szCs w:val="18"/>
                <w:color w:val="auto"/>
              </w:rPr>
            </w:pPr>
          </w:p>
        </w:tc>
        <w:tc>
          <w:tcPr>
            <w:tcW w:w="8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(0.1)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12"/>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December 29, 2023</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160.2</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40.1</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194.4</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5,998.4</w:t>
            </w:r>
          </w:p>
        </w:tc>
        <w:tc>
          <w:tcPr>
            <w:tcW w:w="160" w:type="dxa"/>
            <w:vAlign w:val="bottom"/>
          </w:tcPr>
          <w:p>
            <w:pPr>
              <w:spacing w:after="0"/>
              <w:rPr>
                <w:sz w:val="18"/>
                <w:szCs w:val="18"/>
                <w:color w:val="auto"/>
              </w:rPr>
            </w:pPr>
          </w:p>
        </w:tc>
        <w:tc>
          <w:tcPr>
            <w:tcW w:w="5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6"/>
                <w:szCs w:val="16"/>
                <w:color w:val="auto"/>
              </w:rPr>
              <w:t>(5.7)</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6,227.2</w:t>
            </w:r>
          </w:p>
        </w:tc>
        <w:tc>
          <w:tcPr>
            <w:tcW w:w="0" w:type="dxa"/>
            <w:vAlign w:val="bottom"/>
          </w:tcPr>
          <w:p>
            <w:pPr>
              <w:spacing w:after="0"/>
              <w:rPr>
                <w:sz w:val="1"/>
                <w:szCs w:val="1"/>
                <w:color w:val="auto"/>
              </w:rPr>
            </w:pPr>
          </w:p>
        </w:tc>
      </w:tr>
      <w:tr>
        <w:trPr>
          <w:trHeight w:val="21"/>
        </w:trPr>
        <w:tc>
          <w:tcPr>
            <w:tcW w:w="37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52" w:lineRule="exact"/>
        <w:rPr>
          <w:sz w:val="20"/>
          <w:szCs w:val="20"/>
          <w:color w:val="auto"/>
        </w:rPr>
      </w:pPr>
    </w:p>
    <w:p>
      <w:pPr>
        <w:ind w:left="360" w:hanging="352"/>
        <w:spacing w:after="0"/>
        <w:tabs>
          <w:tab w:leader="none" w:pos="3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BUSINESS, BASIS OF PRESENTATION, AND SUMMARY OF SIGNIFICANT ACCOUNTING POLICIES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Skyworks Solutions, Inc., together with its consolidated subsidiaries (“Skyworks” or the “Company”), is a leading developer, manufacturer and provider of analog and mixed-signal semiconductor products and solutions for numerous applications, including aerospace, automotive, broadband, cellular infrastructure, connected home, defense, entertainment and gaming, industrial, medical, smartphone, tablet, and wearables.</w:t>
      </w:r>
    </w:p>
    <w:p>
      <w:pPr>
        <w:spacing w:after="0" w:line="20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accompanying unaudited interim consolidated financial statements have been prepared pursuant to the rules and regulations of the Securities and Exchange Commission (“SEC”) for interim financial reporting. Certain information and footnote disclosures, normally included in annual consolidated financial statements prepared in accordance with accounting principles generally accepted in the United States of America (“GAAP”), have been condensed or omitted pursuant to those rules and regulations. However, in management’s opinion, the financial information reflects all adjustments, including those of a normal recurring nature, necessary to present fairly the results of operations, financial position, and cash flows of the Company for the periods presented. The results of operations, financial position, and cash flows for the Company during the interim periods are not necessarily indicative of those expected for the full year. This information should be read in conjunction with the Company’s financial statements and notes thereto contained in the Company’s Annual Report on Form 10-K for the fiscal year ended September 27, 2024, filed with the SEC on November 15, 2024, as amended by Amendment No. 1 to such Annual Report on Form 10-K, filed with the SEC on January 24, 2025 (“2024 10-K”). Certain items in the prior period financial statements have been reclassified to conform to the current period presentation.</w:t>
      </w:r>
    </w:p>
    <w:p>
      <w:pPr>
        <w:spacing w:after="0" w:line="2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amounts of assets, liabilities, revenue, expenses, comprehensive income, and accumulated other comprehensive loss that are reported during the reporting period. The Company evaluates its estimates on an ongoing basis using historical experience and other factors, including the current economic environment. Judgment is required in determining the reserves for, and fair value of, items such as overall fair value assessments of assets and liabilities, particularly those classified as Level 2 or Level 3 in the fair value hierarchy, marketable securities, inventory, intangible assets associated with business combinations, share-based compensation, revenue reserves, loss contingencies, and income taxes. In addition, judgment is required in determining whether a potential indicator of impairment of long-lived assets, indefinite-lived intangible assets, and goodwill exists and in estimating future cash flows for any necessary impairment testing. Actual results could differ significantly from these estimates.</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fiscal year ends on the Friday closest to September 30. The fiscal year ending on October 3, 2025 consists of 53 weeks (“fiscal 2025”). The fiscal year ended on September 27, 2024 consisted of 52 weeks (“fiscal 2024”). The three months ended December 27, 2024, and December 29, 2023, each consisted of 13 weeks.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Accounting Standards Update (“ASU”) 2023-07, “Segment Reporting (Topic 280): Improvements to Reportable Segment Disclosure” (“ASU 2023-07”). ASU 2023-07 requires disclosure of incremental segment information on an annual and interim basis. ASU 2023-07 is effective for fiscal years beginning after December 15, 2023, and interim periods within fiscal years beginning after December 15, 2024, on a retrospective basis. Early adoption is permitted. The Company is currently evaluating the impact of ASU 2023-07 on its consolidated financial statements and related disclosures.</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(“ASU 2023-09”). ASU 2023-09 includes amendments that further enhance income tax disclosures, primarily through standardization and disaggregation of rate reconciliation categories and income taxes paid by jurisdiction. ASU 2023-09 is effective for annual periods beginning after December 15, 2024, on either a prospective or retrospective basis, with early adoption permitted. The Company is currently evaluating the impact of ASU 2023-09 on its consolidated financial statements and related disclosures.</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Statement—Reporting Comprehensive Income—Expense Disaggregation Disclosures (Subtopic 220-40): Disaggregation of Income Statement Expenses” (“ASU 2024-03”). ASU 2024-03 requires disaggregated disclosure of certain expense captions into specified categories in the notes to financial statements on an annual and interim basis. ASU 2024-03 is effective for annual periods beginning after December 15, 2026, and interim periods within annual periods beginning after December 15, 2027, on either a prospective or retrospective basis. Early adoption is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permitted. The Company is currently evaluating the impact of ASU 2024-03 on its consolidated financial statements and related disclosures.</w:t>
      </w:r>
    </w:p>
    <w:p>
      <w:pPr>
        <w:spacing w:after="0" w:line="24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REVENUE RECOGNITION</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presents net revenue by geographic area, based upon the location of the original equipment manufacturers’ (“OEMs”) headquarters, and by sales channel, as it believes that doing so best depicts how the nature, amount, timing, and uncertainty of revenue and cash flows are affected by economic factors. Individually insignificant OEMs are presented based upon the location of the Company’s direct customer, which is typically a distributor.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revenue by geographic area is as follows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7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320" w:type="dxa"/>
            <w:vAlign w:val="bottom"/>
            <w:tcBorders>
              <w:bottom w:val="single" w:sz="8" w:color="auto"/>
            </w:tcBorders>
            <w:gridSpan w:val="4"/>
          </w:tcPr>
          <w:p>
            <w:pPr>
              <w:jc w:val="right"/>
              <w:ind w:right="912"/>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211"/>
        </w:trPr>
        <w:tc>
          <w:tcPr>
            <w:tcW w:w="7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27, 2024</w:t>
            </w:r>
          </w:p>
        </w:tc>
        <w:tc>
          <w:tcPr>
            <w:tcW w:w="140" w:type="dxa"/>
            <w:vAlign w:val="bottom"/>
          </w:tcPr>
          <w:p>
            <w:pPr>
              <w:spacing w:after="0"/>
              <w:rPr>
                <w:sz w:val="18"/>
                <w:szCs w:val="18"/>
                <w:color w:val="auto"/>
              </w:rPr>
            </w:pPr>
          </w:p>
        </w:tc>
        <w:tc>
          <w:tcPr>
            <w:tcW w:w="1540" w:type="dxa"/>
            <w:vAlign w:val="bottom"/>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December 29, 2023</w:t>
            </w:r>
          </w:p>
        </w:tc>
        <w:tc>
          <w:tcPr>
            <w:tcW w:w="0" w:type="dxa"/>
            <w:vAlign w:val="bottom"/>
          </w:tcPr>
          <w:p>
            <w:pPr>
              <w:spacing w:after="0"/>
              <w:rPr>
                <w:sz w:val="1"/>
                <w:szCs w:val="1"/>
                <w:color w:val="auto"/>
              </w:rPr>
            </w:pPr>
          </w:p>
        </w:tc>
      </w:tr>
      <w:tr>
        <w:trPr>
          <w:trHeight w:val="225"/>
        </w:trPr>
        <w:tc>
          <w:tcPr>
            <w:tcW w:w="7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969.2</w:t>
            </w:r>
          </w:p>
        </w:tc>
        <w:tc>
          <w:tcPr>
            <w:tcW w:w="0" w:type="dxa"/>
            <w:vAlign w:val="bottom"/>
          </w:tcPr>
          <w:p>
            <w:pPr>
              <w:spacing w:after="0"/>
              <w:rPr>
                <w:sz w:val="1"/>
                <w:szCs w:val="1"/>
                <w:color w:val="auto"/>
              </w:rPr>
            </w:pP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Taiwan</w:t>
            </w: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0" w:type="dxa"/>
            <w:vAlign w:val="bottom"/>
          </w:tcPr>
          <w:p>
            <w:pPr>
              <w:spacing w:after="0"/>
              <w:rPr>
                <w:sz w:val="1"/>
                <w:szCs w:val="1"/>
                <w:color w:val="auto"/>
              </w:rPr>
            </w:pP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South Korea</w:t>
            </w: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229"/>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Asia-Pacific</w:t>
            </w:r>
          </w:p>
        </w:tc>
        <w:tc>
          <w:tcPr>
            <w:tcW w:w="1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48"/>
        </w:trPr>
        <w:tc>
          <w:tcPr>
            <w:tcW w:w="77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net revenue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1,201.5</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Net revenue by sales channel is as follows (in millions):</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77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77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4"/>
          </w:tcPr>
          <w:p>
            <w:pPr>
              <w:jc w:val="right"/>
              <w:ind w:right="912"/>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211"/>
        </w:trPr>
        <w:tc>
          <w:tcPr>
            <w:tcW w:w="7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27, 2024</w:t>
            </w:r>
          </w:p>
        </w:tc>
        <w:tc>
          <w:tcPr>
            <w:tcW w:w="140" w:type="dxa"/>
            <w:vAlign w:val="bottom"/>
          </w:tcPr>
          <w:p>
            <w:pPr>
              <w:spacing w:after="0"/>
              <w:rPr>
                <w:sz w:val="18"/>
                <w:szCs w:val="18"/>
                <w:color w:val="auto"/>
              </w:rPr>
            </w:pPr>
          </w:p>
        </w:tc>
        <w:tc>
          <w:tcPr>
            <w:tcW w:w="1540" w:type="dxa"/>
            <w:vAlign w:val="bottom"/>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December 29, 2023</w:t>
            </w:r>
          </w:p>
        </w:tc>
        <w:tc>
          <w:tcPr>
            <w:tcW w:w="0" w:type="dxa"/>
            <w:vAlign w:val="bottom"/>
          </w:tcPr>
          <w:p>
            <w:pPr>
              <w:spacing w:after="0"/>
              <w:rPr>
                <w:sz w:val="1"/>
                <w:szCs w:val="1"/>
                <w:color w:val="auto"/>
              </w:rPr>
            </w:pPr>
          </w:p>
        </w:tc>
      </w:tr>
      <w:tr>
        <w:trPr>
          <w:trHeight w:val="225"/>
        </w:trPr>
        <w:tc>
          <w:tcPr>
            <w:tcW w:w="7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Distributors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1,062.9</w:t>
            </w:r>
          </w:p>
        </w:tc>
        <w:tc>
          <w:tcPr>
            <w:tcW w:w="0" w:type="dxa"/>
            <w:vAlign w:val="bottom"/>
          </w:tcPr>
          <w:p>
            <w:pPr>
              <w:spacing w:after="0"/>
              <w:rPr>
                <w:sz w:val="1"/>
                <w:szCs w:val="1"/>
                <w:color w:val="auto"/>
              </w:rPr>
            </w:pPr>
          </w:p>
        </w:tc>
      </w:tr>
      <w:tr>
        <w:trPr>
          <w:trHeight w:val="230"/>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Direct customers</w:t>
            </w:r>
          </w:p>
        </w:tc>
        <w:tc>
          <w:tcPr>
            <w:tcW w:w="1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0" w:type="dxa"/>
            <w:vAlign w:val="bottom"/>
          </w:tcPr>
          <w:p>
            <w:pPr>
              <w:spacing w:after="0"/>
              <w:rPr>
                <w:sz w:val="1"/>
                <w:szCs w:val="1"/>
                <w:color w:val="auto"/>
              </w:rPr>
            </w:pPr>
          </w:p>
        </w:tc>
      </w:tr>
      <w:tr>
        <w:trPr>
          <w:trHeight w:val="248"/>
        </w:trPr>
        <w:tc>
          <w:tcPr>
            <w:tcW w:w="77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net revenue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1,201.5</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revenue from external customers is generated principally from the sale of semiconductor products. Accordingly, the Company considers its product offerings to be similar in nature and therefore not segregated for reporting purposes.</w:t>
      </w:r>
    </w:p>
    <w:p>
      <w:pPr>
        <w:spacing w:after="0" w:line="18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MARKETABLE SECURITIES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portfolio of available-for-sale marketable securities consists of the following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500" w:type="dxa"/>
            <w:vAlign w:val="bottom"/>
            <w:gridSpan w:val="5"/>
          </w:tcPr>
          <w:p>
            <w:pPr>
              <w:ind w:left="1340"/>
              <w:spacing w:after="0"/>
              <w:rPr>
                <w:sz w:val="20"/>
                <w:szCs w:val="20"/>
                <w:color w:val="auto"/>
              </w:rPr>
            </w:pPr>
            <w:r>
              <w:rPr>
                <w:rFonts w:ascii="Times New Roman" w:cs="Times New Roman" w:eastAsia="Times New Roman" w:hAnsi="Times New Roman"/>
                <w:sz w:val="16"/>
                <w:szCs w:val="16"/>
                <w:b w:val="1"/>
                <w:bCs w:val="1"/>
                <w:color w:val="auto"/>
              </w:rPr>
              <w:t>Current</w:t>
            </w:r>
          </w:p>
        </w:tc>
        <w:tc>
          <w:tcPr>
            <w:tcW w:w="160" w:type="dxa"/>
            <w:vAlign w:val="bottom"/>
          </w:tcPr>
          <w:p>
            <w:pPr>
              <w:spacing w:after="0"/>
              <w:rPr>
                <w:sz w:val="18"/>
                <w:szCs w:val="18"/>
                <w:color w:val="auto"/>
              </w:rPr>
            </w:pPr>
          </w:p>
        </w:tc>
        <w:tc>
          <w:tcPr>
            <w:tcW w:w="3400" w:type="dxa"/>
            <w:vAlign w:val="bottom"/>
            <w:gridSpan w:val="4"/>
          </w:tcPr>
          <w:p>
            <w:pPr>
              <w:jc w:val="right"/>
              <w:ind w:right="1292"/>
              <w:spacing w:after="0"/>
              <w:rPr>
                <w:sz w:val="20"/>
                <w:szCs w:val="20"/>
                <w:color w:val="auto"/>
              </w:rPr>
            </w:pPr>
            <w:r>
              <w:rPr>
                <w:rFonts w:ascii="Times New Roman" w:cs="Times New Roman" w:eastAsia="Times New Roman" w:hAnsi="Times New Roman"/>
                <w:sz w:val="16"/>
                <w:szCs w:val="16"/>
                <w:b w:val="1"/>
                <w:bCs w:val="1"/>
                <w:color w:val="auto"/>
              </w:rPr>
              <w:t>Noncurrent</w:t>
            </w:r>
          </w:p>
        </w:tc>
      </w:tr>
      <w:tr>
        <w:trPr>
          <w:trHeight w:val="211"/>
        </w:trPr>
        <w:tc>
          <w:tcPr>
            <w:tcW w:w="40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27, 2024</w:t>
            </w:r>
          </w:p>
        </w:tc>
        <w:tc>
          <w:tcPr>
            <w:tcW w:w="14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September 27, 2024</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27, 2024</w:t>
            </w:r>
          </w:p>
        </w:tc>
        <w:tc>
          <w:tcPr>
            <w:tcW w:w="14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September 27, 2024</w:t>
            </w:r>
          </w:p>
        </w:tc>
      </w:tr>
      <w:tr>
        <w:trPr>
          <w:trHeight w:val="225"/>
        </w:trPr>
        <w:tc>
          <w:tcPr>
            <w:tcW w:w="4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and government securities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30"/>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bonds and notes</w:t>
            </w: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Municipal bonds</w:t>
            </w:r>
          </w:p>
        </w:tc>
        <w:tc>
          <w:tcPr>
            <w:tcW w:w="1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136.7</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194.1</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0"/>
        </w:trPr>
        <w:tc>
          <w:tcPr>
            <w:tcW w:w="4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contractual maturities of noncurrent available-for-sale marketable securities were within two years or less of issuance of the applicable securities.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Neither gross unrealized gains and losses nor realized gains and losses were material as of December 27, 2024, or September 27,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FAIR VALUE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and Recorded at Fair Value on a Recurring Basis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groups its financial assets and liabilities measured at fair value on a recurring basis in three levels, based on the markets in which the assets and liabilities are traded and the reliability of the assumptions used to determine fair value. These levels are:</w:t>
      </w:r>
    </w:p>
    <w:p>
      <w:pPr>
        <w:spacing w:after="0" w:line="189" w:lineRule="exact"/>
        <w:rPr>
          <w:sz w:val="20"/>
          <w:szCs w:val="20"/>
          <w:color w:val="auto"/>
        </w:rPr>
      </w:pPr>
    </w:p>
    <w:p>
      <w:pPr>
        <w:ind w:left="320" w:hanging="150"/>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27" w:lineRule="exact"/>
        <w:rPr>
          <w:rFonts w:ascii="Times New Roman" w:cs="Times New Roman" w:eastAsia="Times New Roman" w:hAnsi="Times New Roman"/>
          <w:sz w:val="18"/>
          <w:szCs w:val="18"/>
          <w:color w:val="auto"/>
        </w:rPr>
      </w:pPr>
    </w:p>
    <w:p>
      <w:pPr>
        <w:jc w:val="both"/>
        <w:ind w:left="340" w:hanging="170"/>
        <w:spacing w:after="0" w:line="250"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Observable inputs other than Level 1 prices, such as quoted prices for similar assets or liabilities, quoted prices in markets with insufficient volume or infrequent transactions (less-active markets), or model-driven valuations in which all significant inputs are observable or can be derived principally from, or corroborated with, observable market data.</w:t>
      </w:r>
    </w:p>
    <w:p>
      <w:pPr>
        <w:spacing w:after="0" w:line="1" w:lineRule="exact"/>
        <w:rPr>
          <w:rFonts w:ascii="Times New Roman" w:cs="Times New Roman" w:eastAsia="Times New Roman" w:hAnsi="Times New Roman"/>
          <w:sz w:val="18"/>
          <w:szCs w:val="18"/>
          <w:color w:val="auto"/>
        </w:rPr>
      </w:pPr>
    </w:p>
    <w:p>
      <w:pPr>
        <w:ind w:left="340" w:hanging="170"/>
        <w:spacing w:after="0" w:line="260"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Fair value is derived from valuation techniques in which one or more significant inputs are unobservable, including assumptions and judgments made by the Company.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and liabilities recorded at fair value on a recurring basis consisted of the following (in millions):</w:t>
      </w:r>
    </w:p>
    <w:p>
      <w:pPr>
        <w:spacing w:after="0" w:line="160"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6"/>
          <w:szCs w:val="16"/>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2319655</wp:posOffset>
            </wp:positionH>
            <wp:positionV relativeFrom="paragraph">
              <wp:posOffset>21590</wp:posOffset>
            </wp:positionV>
            <wp:extent cx="481774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817745" cy="825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p>
      <w:pPr>
        <w:spacing w:after="0" w:line="46"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6"/>
          <w:szCs w:val="16"/>
          <w:b w:val="1"/>
          <w:bCs w:val="1"/>
          <w:color w:val="auto"/>
        </w:rPr>
        <w:t>December 27,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2319655</wp:posOffset>
            </wp:positionH>
            <wp:positionV relativeFrom="paragraph">
              <wp:posOffset>21590</wp:posOffset>
            </wp:positionV>
            <wp:extent cx="23742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374265" cy="8890"/>
                    </a:xfrm>
                    <a:prstGeom prst="rect">
                      <a:avLst/>
                    </a:prstGeom>
                    <a:noFill/>
                  </pic:spPr>
                </pic:pic>
              </a:graphicData>
            </a:graphic>
          </wp:anchor>
        </w:drawing>
      </w:r>
    </w:p>
    <w:p>
      <w:pPr>
        <w:spacing w:after="0" w:line="17" w:lineRule="exact"/>
        <w:rPr>
          <w:sz w:val="20"/>
          <w:szCs w:val="20"/>
          <w:color w:val="auto"/>
        </w:rPr>
      </w:pPr>
    </w:p>
    <w:p>
      <w:pPr>
        <w:jc w:val="right"/>
        <w:ind w:right="1160"/>
        <w:spacing w:after="0"/>
        <w:rPr>
          <w:sz w:val="20"/>
          <w:szCs w:val="20"/>
          <w:color w:val="auto"/>
        </w:rPr>
      </w:pPr>
      <w:r>
        <w:rPr>
          <w:rFonts w:ascii="Times New Roman" w:cs="Times New Roman" w:eastAsia="Times New Roman" w:hAnsi="Times New Roman"/>
          <w:sz w:val="14"/>
          <w:szCs w:val="14"/>
          <w:b w:val="1"/>
          <w:bCs w:val="1"/>
          <w:color w:val="auto"/>
        </w:rPr>
        <w:t>Fair Value Measurements</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September 27,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-756920</wp:posOffset>
            </wp:positionH>
            <wp:positionV relativeFrom="paragraph">
              <wp:posOffset>21590</wp:posOffset>
            </wp:positionV>
            <wp:extent cx="23831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17" w:lineRule="exact"/>
        <w:rPr>
          <w:sz w:val="20"/>
          <w:szCs w:val="20"/>
          <w:color w:val="auto"/>
        </w:rPr>
      </w:pPr>
    </w:p>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Fair Value Measurements</w:t>
      </w:r>
    </w:p>
    <w:p>
      <w:pPr>
        <w:spacing w:after="0" w:line="33" w:lineRule="exact"/>
        <w:rPr>
          <w:sz w:val="20"/>
          <w:szCs w:val="20"/>
          <w:color w:val="auto"/>
        </w:rPr>
      </w:pPr>
    </w:p>
    <w:p>
      <w:pPr>
        <w:sectPr>
          <w:pgSz w:w="11900" w:h="16838" w:orient="portrait"/>
          <w:cols w:equalWidth="0" w:num="2">
            <w:col w:w="7960" w:space="720"/>
            <w:col w:w="2560"/>
          </w:cols>
          <w:pgMar w:left="320" w:top="126" w:right="339" w:bottom="1440" w:gutter="0" w:footer="0" w:header="0"/>
          <w:type w:val="continuous"/>
        </w:sectPr>
      </w:pPr>
    </w:p>
    <w:tbl>
      <w:tblPr>
        <w:tblLayout w:type="fixed"/>
        <w:tblInd w:w="0" w:type="dxa"/>
        <w:tblCellMar>
          <w:top w:w="0" w:type="dxa"/>
          <w:left w:w="0" w:type="dxa"/>
          <w:bottom w:w="0" w:type="dxa"/>
          <w:right w:w="0" w:type="dxa"/>
        </w:tblCellMar>
      </w:tblPr>
      <w:tr>
        <w:trPr>
          <w:trHeight w:val="203"/>
        </w:trPr>
        <w:tc>
          <w:tcPr>
            <w:tcW w:w="3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09"/>
        </w:trPr>
        <w:tc>
          <w:tcPr>
            <w:tcW w:w="3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r>
      <w:tr>
        <w:trPr>
          <w:trHeight w:val="213"/>
        </w:trPr>
        <w:tc>
          <w:tcPr>
            <w:tcW w:w="3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and cash equivalents (1)</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1,602.5</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1,418.6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183.9</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1,368.6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1,199.1</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169.5</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2"/>
        </w:trPr>
        <w:tc>
          <w:tcPr>
            <w:tcW w:w="3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U.S. Treasury and government securities</w:t>
            </w: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60.9</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42.1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18.8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50.1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Corporate bonds and notes</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7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91.4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155.3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Municipal bonds</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36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assets at fair value</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1,754.8</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1,460.7</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294.1</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1,574.1</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1,235.6</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338.5</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
        </w:trPr>
        <w:tc>
          <w:tcPr>
            <w:tcW w:w="3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20" w:firstLine="8"/>
        <w:spacing w:after="0" w:line="282" w:lineRule="auto"/>
        <w:tabs>
          <w:tab w:leader="none" w:pos="26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equivalents included in Levels 1 and 2 consist of money market funds, corporate bonds and notes, and U.S. Treasury and government securities purchased with less than ninety days until maturity.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Measured and Recorded at Fair Value on a Nonrecurring Basis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non-financial assets and liabilities, such as goodwill, intangible assets, and other long-lived assets resulting from business combinations, are measured at fair value using income approach valuation methodologies at the date of acquisition and are subsequently re-measured if there are indicators of impairment. There were no indicators of impairment identified during the three months ended December 27, 2024. During the three months ended December 29, 2023, the Company recorded an impairment charge of $16.1 million related to the abandonment of a previously capitalized in-process research and development (“IPR&amp;D”) project recorded within restructuring, impairment, and other charges.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Debt</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debt is carried at amortized cost and is measured at fair value quarterly for disclosure purposes. The estimated fair values are based on Level 2 inputs as the fair value is based on quoted prices for the Company’s debt and comparable instruments in inactive markets.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amount and estimated fair value of debt consists of the following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5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6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r>
      <w:tr>
        <w:trPr>
          <w:trHeight w:val="211"/>
        </w:trPr>
        <w:tc>
          <w:tcPr>
            <w:tcW w:w="3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80" w:type="dxa"/>
            <w:vAlign w:val="bottom"/>
            <w:gridSpan w:val="5"/>
          </w:tcPr>
          <w:p>
            <w:pPr>
              <w:ind w:left="1040"/>
              <w:spacing w:after="0"/>
              <w:rPr>
                <w:sz w:val="20"/>
                <w:szCs w:val="20"/>
                <w:color w:val="auto"/>
              </w:rPr>
            </w:pPr>
            <w:r>
              <w:rPr>
                <w:rFonts w:ascii="Times New Roman" w:cs="Times New Roman" w:eastAsia="Times New Roman" w:hAnsi="Times New Roman"/>
                <w:sz w:val="16"/>
                <w:szCs w:val="16"/>
                <w:b w:val="1"/>
                <w:bCs w:val="1"/>
                <w:color w:val="auto"/>
              </w:rPr>
              <w:t>December 27, 2024</w:t>
            </w:r>
          </w:p>
        </w:tc>
        <w:tc>
          <w:tcPr>
            <w:tcW w:w="220" w:type="dxa"/>
            <w:vAlign w:val="bottom"/>
          </w:tcPr>
          <w:p>
            <w:pPr>
              <w:spacing w:after="0"/>
              <w:rPr>
                <w:sz w:val="18"/>
                <w:szCs w:val="18"/>
                <w:color w:val="auto"/>
              </w:rPr>
            </w:pPr>
          </w:p>
        </w:tc>
        <w:tc>
          <w:tcPr>
            <w:tcW w:w="3580" w:type="dxa"/>
            <w:vAlign w:val="bottom"/>
            <w:gridSpan w:val="4"/>
          </w:tcPr>
          <w:p>
            <w:pPr>
              <w:jc w:val="right"/>
              <w:ind w:right="1132"/>
              <w:spacing w:after="0"/>
              <w:rPr>
                <w:sz w:val="20"/>
                <w:szCs w:val="20"/>
                <w:color w:val="auto"/>
              </w:rPr>
            </w:pPr>
            <w:r>
              <w:rPr>
                <w:rFonts w:ascii="Times New Roman" w:cs="Times New Roman" w:eastAsia="Times New Roman" w:hAnsi="Times New Roman"/>
                <w:sz w:val="16"/>
                <w:szCs w:val="16"/>
                <w:b w:val="1"/>
                <w:bCs w:val="1"/>
                <w:color w:val="auto"/>
              </w:rPr>
              <w:t>September 27, 2024</w:t>
            </w:r>
          </w:p>
        </w:tc>
      </w:tr>
      <w:tr>
        <w:trPr>
          <w:trHeight w:val="210"/>
        </w:trPr>
        <w:tc>
          <w:tcPr>
            <w:tcW w:w="35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Carrying Amount</w:t>
            </w:r>
          </w:p>
        </w:tc>
        <w:tc>
          <w:tcPr>
            <w:tcW w:w="16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jc w:val="right"/>
              <w:ind w:right="114"/>
              <w:spacing w:after="0"/>
              <w:rPr>
                <w:sz w:val="20"/>
                <w:szCs w:val="20"/>
                <w:color w:val="auto"/>
              </w:rPr>
            </w:pPr>
            <w:r>
              <w:rPr>
                <w:rFonts w:ascii="Times New Roman" w:cs="Times New Roman" w:eastAsia="Times New Roman" w:hAnsi="Times New Roman"/>
                <w:sz w:val="16"/>
                <w:szCs w:val="16"/>
                <w:b w:val="1"/>
                <w:bCs w:val="1"/>
                <w:color w:val="auto"/>
              </w:rPr>
              <w:t>Estimated Fair Value</w:t>
            </w: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Carrying Amount</w:t>
            </w:r>
          </w:p>
        </w:tc>
        <w:tc>
          <w:tcPr>
            <w:tcW w:w="14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Estimated Fair Value</w:t>
            </w:r>
          </w:p>
        </w:tc>
      </w:tr>
      <w:tr>
        <w:trPr>
          <w:trHeight w:val="225"/>
        </w:trPr>
        <w:tc>
          <w:tcPr>
            <w:tcW w:w="3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1.80% Senior Notes due 2026</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478.5</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478.4</w:t>
            </w:r>
          </w:p>
        </w:tc>
      </w:tr>
      <w:tr>
        <w:trPr>
          <w:trHeight w:val="229"/>
        </w:trPr>
        <w:tc>
          <w:tcPr>
            <w:tcW w:w="3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3.00% Senior Notes due 2031</w:t>
            </w:r>
          </w:p>
        </w:tc>
        <w:tc>
          <w:tcPr>
            <w:tcW w:w="2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429.4</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441.2</w:t>
            </w:r>
          </w:p>
        </w:tc>
      </w:tr>
      <w:tr>
        <w:trPr>
          <w:trHeight w:val="248"/>
        </w:trPr>
        <w:tc>
          <w:tcPr>
            <w:tcW w:w="35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debt under Senior Notes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907.9</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919.6</w:t>
            </w: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w:t>
            </w:r>
          </w:p>
        </w:tc>
        <w:tc>
          <w:tcPr>
            <w:tcW w:w="740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INVENTORY</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Inventory consists of the following (in millions):</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20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0" w:type="dxa"/>
            <w:vAlign w:val="bottom"/>
            <w:tcBorders>
              <w:bottom w:val="single" w:sz="8" w:color="CCEEFF"/>
            </w:tcBorders>
          </w:tcPr>
          <w:p>
            <w:pPr>
              <w:spacing w:after="0"/>
              <w:rPr>
                <w:sz w:val="18"/>
                <w:szCs w:val="18"/>
                <w:color w:val="auto"/>
              </w:rPr>
            </w:pPr>
          </w:p>
        </w:tc>
        <w:tc>
          <w:tcPr>
            <w:tcW w:w="74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27, 2024</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6"/>
                <w:szCs w:val="16"/>
                <w:b w:val="1"/>
                <w:bCs w:val="1"/>
                <w:color w:val="auto"/>
              </w:rPr>
              <w:t>September 27, 2024</w:t>
            </w:r>
          </w:p>
        </w:tc>
        <w:tc>
          <w:tcPr>
            <w:tcW w:w="0" w:type="dxa"/>
            <w:vAlign w:val="bottom"/>
          </w:tcPr>
          <w:p>
            <w:pPr>
              <w:spacing w:after="0"/>
              <w:rPr>
                <w:sz w:val="1"/>
                <w:szCs w:val="1"/>
                <w:color w:val="auto"/>
              </w:rPr>
            </w:pPr>
          </w:p>
        </w:tc>
      </w:tr>
      <w:tr>
        <w:trPr>
          <w:trHeight w:val="225"/>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0" w:type="dxa"/>
            <w:vAlign w:val="bottom"/>
          </w:tcPr>
          <w:p>
            <w:pPr>
              <w:spacing w:after="0"/>
              <w:rPr>
                <w:sz w:val="1"/>
                <w:szCs w:val="1"/>
                <w:color w:val="auto"/>
              </w:rPr>
            </w:pPr>
          </w:p>
        </w:tc>
      </w:tr>
      <w:tr>
        <w:trPr>
          <w:trHeight w:val="230"/>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520.5</w:t>
            </w:r>
          </w:p>
        </w:tc>
        <w:tc>
          <w:tcPr>
            <w:tcW w:w="0" w:type="dxa"/>
            <w:vAlign w:val="bottom"/>
          </w:tcPr>
          <w:p>
            <w:pPr>
              <w:spacing w:after="0"/>
              <w:rPr>
                <w:sz w:val="1"/>
                <w:szCs w:val="1"/>
                <w:color w:val="auto"/>
              </w:rPr>
            </w:pPr>
          </w:p>
        </w:tc>
      </w:tr>
      <w:tr>
        <w:trPr>
          <w:trHeight w:val="229"/>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219.4</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234.0</w:t>
            </w: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7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inventory</w:t>
            </w:r>
          </w:p>
        </w:tc>
        <w:tc>
          <w:tcPr>
            <w:tcW w:w="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784.8</w:t>
            </w:r>
          </w:p>
        </w:tc>
        <w:tc>
          <w:tcPr>
            <w:tcW w:w="0" w:type="dxa"/>
            <w:vAlign w:val="bottom"/>
          </w:tcPr>
          <w:p>
            <w:pPr>
              <w:spacing w:after="0"/>
              <w:rPr>
                <w:sz w:val="1"/>
                <w:szCs w:val="1"/>
                <w:color w:val="auto"/>
              </w:rPr>
            </w:pPr>
          </w:p>
        </w:tc>
      </w:tr>
      <w:tr>
        <w:trPr>
          <w:trHeight w:val="20"/>
        </w:trPr>
        <w:tc>
          <w:tcPr>
            <w:tcW w:w="7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6.   PROPERTY, PLANT, AND EQUIPMENT, NET</w:t>
            </w: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760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plant, and equipment, net consists of the following (in millions):</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20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0" w:type="dxa"/>
            <w:vAlign w:val="bottom"/>
          </w:tcPr>
          <w:p>
            <w:pPr>
              <w:spacing w:after="0"/>
              <w:rPr>
                <w:sz w:val="18"/>
                <w:szCs w:val="18"/>
                <w:color w:val="auto"/>
              </w:rPr>
            </w:pPr>
          </w:p>
        </w:tc>
        <w:tc>
          <w:tcPr>
            <w:tcW w:w="7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27, 2024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ind w:right="111"/>
              <w:spacing w:after="0"/>
              <w:rPr>
                <w:sz w:val="20"/>
                <w:szCs w:val="20"/>
                <w:color w:val="auto"/>
              </w:rPr>
            </w:pPr>
            <w:r>
              <w:rPr>
                <w:rFonts w:ascii="Times New Roman" w:cs="Times New Roman" w:eastAsia="Times New Roman" w:hAnsi="Times New Roman"/>
                <w:sz w:val="16"/>
                <w:szCs w:val="16"/>
                <w:b w:val="1"/>
                <w:bCs w:val="1"/>
                <w:color w:val="auto"/>
              </w:rPr>
              <w:t>September 27, 2024</w:t>
            </w:r>
          </w:p>
        </w:tc>
        <w:tc>
          <w:tcPr>
            <w:tcW w:w="0" w:type="dxa"/>
            <w:vAlign w:val="bottom"/>
          </w:tcPr>
          <w:p>
            <w:pPr>
              <w:spacing w:after="0"/>
              <w:rPr>
                <w:sz w:val="1"/>
                <w:szCs w:val="1"/>
                <w:color w:val="auto"/>
              </w:rPr>
            </w:pPr>
          </w:p>
        </w:tc>
      </w:tr>
      <w:tr>
        <w:trPr>
          <w:trHeight w:val="225"/>
        </w:trPr>
        <w:tc>
          <w:tcPr>
            <w:tcW w:w="76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 and improvements</w:t>
            </w:r>
          </w:p>
        </w:tc>
        <w:tc>
          <w:tcPr>
            <w:tcW w:w="2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29"/>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610.2</w:t>
            </w:r>
          </w:p>
        </w:tc>
        <w:tc>
          <w:tcPr>
            <w:tcW w:w="0" w:type="dxa"/>
            <w:vAlign w:val="bottom"/>
          </w:tcPr>
          <w:p>
            <w:pPr>
              <w:spacing w:after="0"/>
              <w:rPr>
                <w:sz w:val="1"/>
                <w:szCs w:val="1"/>
                <w:color w:val="auto"/>
              </w:rPr>
            </w:pPr>
          </w:p>
        </w:tc>
      </w:tr>
      <w:tr>
        <w:trPr>
          <w:trHeight w:val="229"/>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0" w:type="dxa"/>
            <w:vAlign w:val="bottom"/>
          </w:tcPr>
          <w:p>
            <w:pPr>
              <w:spacing w:after="0"/>
              <w:rPr>
                <w:sz w:val="1"/>
                <w:szCs w:val="1"/>
                <w:color w:val="auto"/>
              </w:rPr>
            </w:pPr>
          </w:p>
        </w:tc>
      </w:tr>
      <w:tr>
        <w:trPr>
          <w:trHeight w:val="230"/>
        </w:trPr>
        <w:tc>
          <w:tcPr>
            <w:tcW w:w="7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3,419.7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3,418.0</w:t>
            </w:r>
          </w:p>
        </w:tc>
        <w:tc>
          <w:tcPr>
            <w:tcW w:w="0" w:type="dxa"/>
            <w:vAlign w:val="bottom"/>
          </w:tcPr>
          <w:p>
            <w:pPr>
              <w:spacing w:after="0"/>
              <w:rPr>
                <w:sz w:val="1"/>
                <w:szCs w:val="1"/>
                <w:color w:val="auto"/>
              </w:rPr>
            </w:pPr>
          </w:p>
        </w:tc>
      </w:tr>
      <w:tr>
        <w:trPr>
          <w:trHeight w:val="229"/>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6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7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property, plant, and equipment, gross</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4,218.1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4,210.1</w:t>
            </w:r>
          </w:p>
        </w:tc>
        <w:tc>
          <w:tcPr>
            <w:tcW w:w="0" w:type="dxa"/>
            <w:vAlign w:val="bottom"/>
          </w:tcPr>
          <w:p>
            <w:pPr>
              <w:spacing w:after="0"/>
              <w:rPr>
                <w:sz w:val="1"/>
                <w:szCs w:val="1"/>
                <w:color w:val="auto"/>
              </w:rPr>
            </w:pPr>
          </w:p>
        </w:tc>
      </w:tr>
      <w:tr>
        <w:trPr>
          <w:trHeight w:val="229"/>
        </w:trPr>
        <w:tc>
          <w:tcPr>
            <w:tcW w:w="7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6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(2,971.1)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(2,929.8)</w:t>
            </w: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7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1,247.0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1,280.3</w:t>
            </w:r>
          </w:p>
        </w:tc>
        <w:tc>
          <w:tcPr>
            <w:tcW w:w="0" w:type="dxa"/>
            <w:vAlign w:val="bottom"/>
          </w:tcPr>
          <w:p>
            <w:pPr>
              <w:spacing w:after="0"/>
              <w:rPr>
                <w:sz w:val="1"/>
                <w:szCs w:val="1"/>
                <w:color w:val="auto"/>
              </w:rPr>
            </w:pPr>
          </w:p>
        </w:tc>
      </w:tr>
      <w:tr>
        <w:trPr>
          <w:trHeight w:val="20"/>
        </w:trPr>
        <w:tc>
          <w:tcPr>
            <w:tcW w:w="2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7.</w:t>
            </w:r>
          </w:p>
        </w:tc>
        <w:tc>
          <w:tcPr>
            <w:tcW w:w="7400" w:type="dxa"/>
            <w:vAlign w:val="bottom"/>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GOODWILL AND INTANGIBLE ASSETS</w:t>
            </w: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4"/>
        </w:trPr>
        <w:tc>
          <w:tcPr>
            <w:tcW w:w="200" w:type="dxa"/>
            <w:vAlign w:val="bottom"/>
            <w:vMerge w:val="continue"/>
          </w:tcPr>
          <w:p>
            <w:pPr>
              <w:spacing w:after="0"/>
              <w:rPr>
                <w:sz w:val="24"/>
                <w:szCs w:val="24"/>
                <w:color w:val="auto"/>
              </w:rPr>
            </w:pPr>
          </w:p>
        </w:tc>
        <w:tc>
          <w:tcPr>
            <w:tcW w:w="740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changes to the carrying amount of goodwill during the three months ended December 27, 2024.</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tests its goodwill and its indefinite-lived intangible assets for impairment annually as of the first day of its fourth fiscal quarter and in interim periods if certain events occur indicating the carrying value may be impaired. There were no indicators of goodwill and IPR&amp;D impairment noted during the three months ended December 27, 2024. Refer to Note 4 for a discussion of an IPR&amp;D impairment of $16.1 million during the three months ended December 29, 2023.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consist of the following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6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8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620" w:type="dxa"/>
            <w:vAlign w:val="bottom"/>
          </w:tcPr>
          <w:p>
            <w:pPr>
              <w:spacing w:after="0"/>
              <w:rPr>
                <w:sz w:val="20"/>
                <w:szCs w:val="20"/>
                <w:color w:val="auto"/>
              </w:rPr>
            </w:pPr>
          </w:p>
        </w:tc>
        <w:tc>
          <w:tcPr>
            <w:tcW w:w="1280" w:type="dxa"/>
            <w:vAlign w:val="bottom"/>
          </w:tcPr>
          <w:p>
            <w:pPr>
              <w:jc w:val="center"/>
              <w:ind w:left="22"/>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27, 2024</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27, 2024</w:t>
            </w: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1280" w:type="dxa"/>
            <w:vAlign w:val="bottom"/>
          </w:tcPr>
          <w:p>
            <w:pPr>
              <w:jc w:val="center"/>
              <w:ind w:left="22"/>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920" w:type="dxa"/>
            <w:vAlign w:val="bottom"/>
          </w:tcPr>
          <w:p>
            <w:pPr>
              <w:jc w:val="center"/>
              <w:ind w:right="118"/>
              <w:spacing w:after="0" w:line="149" w:lineRule="exact"/>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Net</w:t>
            </w:r>
          </w:p>
        </w:tc>
        <w:tc>
          <w:tcPr>
            <w:tcW w:w="280" w:type="dxa"/>
            <w:vAlign w:val="bottom"/>
          </w:tcPr>
          <w:p>
            <w:pPr>
              <w:spacing w:after="0"/>
              <w:rPr>
                <w:sz w:val="12"/>
                <w:szCs w:val="12"/>
                <w:color w:val="auto"/>
              </w:rPr>
            </w:pPr>
          </w:p>
        </w:tc>
        <w:tc>
          <w:tcPr>
            <w:tcW w:w="860" w:type="dxa"/>
            <w:vAlign w:val="bottom"/>
            <w:vMerge w:val="restart"/>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2"/>
                <w:szCs w:val="12"/>
                <w:color w:val="auto"/>
              </w:rPr>
            </w:pPr>
          </w:p>
        </w:tc>
        <w:tc>
          <w:tcPr>
            <w:tcW w:w="940" w:type="dxa"/>
            <w:vAlign w:val="bottom"/>
          </w:tcPr>
          <w:p>
            <w:pPr>
              <w:jc w:val="center"/>
              <w:ind w:right="118"/>
              <w:spacing w:after="0" w:line="149" w:lineRule="exact"/>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35"/>
        </w:trPr>
        <w:tc>
          <w:tcPr>
            <w:tcW w:w="2620" w:type="dxa"/>
            <w:vAlign w:val="bottom"/>
          </w:tcPr>
          <w:p>
            <w:pPr>
              <w:spacing w:after="0"/>
              <w:rPr>
                <w:sz w:val="11"/>
                <w:szCs w:val="11"/>
                <w:color w:val="auto"/>
              </w:rPr>
            </w:pPr>
          </w:p>
        </w:tc>
        <w:tc>
          <w:tcPr>
            <w:tcW w:w="1280" w:type="dxa"/>
            <w:vAlign w:val="bottom"/>
          </w:tcPr>
          <w:p>
            <w:pPr>
              <w:jc w:val="center"/>
              <w:ind w:left="22"/>
              <w:spacing w:after="0" w:line="135"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1"/>
                <w:szCs w:val="11"/>
                <w:color w:val="auto"/>
              </w:rPr>
            </w:pPr>
          </w:p>
        </w:tc>
        <w:tc>
          <w:tcPr>
            <w:tcW w:w="920" w:type="dxa"/>
            <w:vAlign w:val="bottom"/>
          </w:tcPr>
          <w:p>
            <w:pPr>
              <w:jc w:val="center"/>
              <w:ind w:right="118"/>
              <w:spacing w:after="0" w:line="135"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8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jc w:val="center"/>
              <w:ind w:right="118"/>
              <w:spacing w:after="0" w:line="135"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89"/>
        </w:trPr>
        <w:tc>
          <w:tcPr>
            <w:tcW w:w="2620" w:type="dxa"/>
            <w:vAlign w:val="bottom"/>
          </w:tcPr>
          <w:p>
            <w:pPr>
              <w:spacing w:after="0"/>
              <w:rPr>
                <w:sz w:val="16"/>
                <w:szCs w:val="16"/>
                <w:color w:val="auto"/>
              </w:rPr>
            </w:pPr>
          </w:p>
        </w:tc>
        <w:tc>
          <w:tcPr>
            <w:tcW w:w="1280" w:type="dxa"/>
            <w:vAlign w:val="bottom"/>
          </w:tcPr>
          <w:p>
            <w:pPr>
              <w:jc w:val="center"/>
              <w:ind w:left="22"/>
              <w:spacing w:after="0"/>
              <w:rPr>
                <w:sz w:val="20"/>
                <w:szCs w:val="20"/>
                <w:color w:val="auto"/>
              </w:rPr>
            </w:pPr>
            <w:r>
              <w:rPr>
                <w:rFonts w:ascii="Times New Roman" w:cs="Times New Roman" w:eastAsia="Times New Roman" w:hAnsi="Times New Roman"/>
                <w:sz w:val="14"/>
                <w:szCs w:val="14"/>
                <w:b w:val="1"/>
                <w:bCs w:val="1"/>
                <w:color w:val="auto"/>
              </w:rPr>
              <w:t>Period (Years)</w:t>
            </w:r>
          </w:p>
        </w:tc>
        <w:tc>
          <w:tcPr>
            <w:tcW w:w="200" w:type="dxa"/>
            <w:vAlign w:val="bottom"/>
          </w:tcPr>
          <w:p>
            <w:pPr>
              <w:spacing w:after="0"/>
              <w:rPr>
                <w:sz w:val="16"/>
                <w:szCs w:val="16"/>
                <w:color w:val="auto"/>
              </w:rPr>
            </w:pPr>
          </w:p>
        </w:tc>
        <w:tc>
          <w:tcPr>
            <w:tcW w:w="92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6"/>
                <w:szCs w:val="16"/>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6"/>
                <w:szCs w:val="16"/>
                <w:color w:val="auto"/>
              </w:rPr>
            </w:pPr>
          </w:p>
        </w:tc>
        <w:tc>
          <w:tcPr>
            <w:tcW w:w="94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23"/>
        </w:trPr>
        <w:tc>
          <w:tcPr>
            <w:tcW w:w="262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Developed technology and other</w:t>
            </w:r>
          </w:p>
        </w:tc>
        <w:tc>
          <w:tcPr>
            <w:tcW w:w="1280" w:type="dxa"/>
            <w:vAlign w:val="bottom"/>
            <w:tcBorders>
              <w:top w:val="single" w:sz="8" w:color="CCEEFF"/>
            </w:tcBorders>
            <w:shd w:val="clear" w:color="auto" w:fill="CCEEFF"/>
          </w:tcPr>
          <w:p>
            <w:pPr>
              <w:jc w:val="center"/>
              <w:ind w:left="22"/>
              <w:spacing w:after="0"/>
              <w:rPr>
                <w:sz w:val="20"/>
                <w:szCs w:val="20"/>
                <w:color w:val="auto"/>
              </w:rPr>
            </w:pPr>
            <w:r>
              <w:rPr>
                <w:rFonts w:ascii="Times New Roman" w:cs="Times New Roman" w:eastAsia="Times New Roman" w:hAnsi="Times New Roman"/>
                <w:sz w:val="18"/>
                <w:szCs w:val="18"/>
                <w:color w:val="auto"/>
                <w:w w:val="97"/>
              </w:rPr>
              <w:t>6.3</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798.7</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1,379.6</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838.9</w:t>
            </w:r>
          </w:p>
        </w:tc>
        <w:tc>
          <w:tcPr>
            <w:tcW w:w="0" w:type="dxa"/>
            <w:vAlign w:val="bottom"/>
          </w:tcPr>
          <w:p>
            <w:pPr>
              <w:spacing w:after="0"/>
              <w:rPr>
                <w:sz w:val="1"/>
                <w:szCs w:val="1"/>
                <w:color w:val="auto"/>
              </w:rPr>
            </w:pPr>
          </w:p>
        </w:tc>
      </w:tr>
      <w:tr>
        <w:trPr>
          <w:trHeight w:val="229"/>
        </w:trPr>
        <w:tc>
          <w:tcPr>
            <w:tcW w:w="2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Technology licenses</w:t>
            </w:r>
          </w:p>
        </w:tc>
        <w:tc>
          <w:tcPr>
            <w:tcW w:w="1280" w:type="dxa"/>
            <w:vAlign w:val="bottom"/>
          </w:tcPr>
          <w:p>
            <w:pPr>
              <w:jc w:val="center"/>
              <w:ind w:left="22"/>
              <w:spacing w:after="0"/>
              <w:rPr>
                <w:sz w:val="20"/>
                <w:szCs w:val="20"/>
                <w:color w:val="auto"/>
              </w:rPr>
            </w:pPr>
            <w:r>
              <w:rPr>
                <w:rFonts w:ascii="Times New Roman" w:cs="Times New Roman" w:eastAsia="Times New Roman" w:hAnsi="Times New Roman"/>
                <w:sz w:val="18"/>
                <w:szCs w:val="18"/>
                <w:color w:val="auto"/>
                <w:w w:val="97"/>
              </w:rPr>
              <w:t>3.2</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184"/>
        </w:trPr>
        <w:tc>
          <w:tcPr>
            <w:tcW w:w="2620" w:type="dxa"/>
            <w:vAlign w:val="bottom"/>
            <w:shd w:val="clear" w:color="auto" w:fill="CCEEFF"/>
          </w:tcPr>
          <w:p>
            <w:pPr>
              <w:ind w:left="40"/>
              <w:spacing w:after="0" w:line="184" w:lineRule="exact"/>
              <w:rPr>
                <w:sz w:val="20"/>
                <w:szCs w:val="20"/>
                <w:color w:val="auto"/>
              </w:rPr>
            </w:pPr>
            <w:r>
              <w:rPr>
                <w:rFonts w:ascii="Times New Roman" w:cs="Times New Roman" w:eastAsia="Times New Roman" w:hAnsi="Times New Roman"/>
                <w:sz w:val="18"/>
                <w:szCs w:val="18"/>
                <w:color w:val="auto"/>
              </w:rPr>
              <w:t>In-process research and</w:t>
            </w:r>
          </w:p>
        </w:tc>
        <w:tc>
          <w:tcPr>
            <w:tcW w:w="1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development</w:t>
            </w:r>
          </w:p>
        </w:tc>
        <w:tc>
          <w:tcPr>
            <w:tcW w:w="1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0" w:type="dxa"/>
            <w:vAlign w:val="bottom"/>
          </w:tcPr>
          <w:p>
            <w:pPr>
              <w:spacing w:after="0"/>
              <w:rPr>
                <w:sz w:val="1"/>
                <w:szCs w:val="1"/>
                <w:color w:val="auto"/>
              </w:rPr>
            </w:pPr>
          </w:p>
        </w:tc>
      </w:tr>
      <w:tr>
        <w:trPr>
          <w:trHeight w:val="223"/>
        </w:trPr>
        <w:tc>
          <w:tcPr>
            <w:tcW w:w="2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intangible assets</w:t>
            </w:r>
          </w:p>
        </w:tc>
        <w:tc>
          <w:tcPr>
            <w:tcW w:w="12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1,505.5</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(621.5)</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884.0</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1,490.0</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(589.5)</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900.5</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Fully amortized intangible assets are eliminated from both the gross and accumulated amortization amounts in the first quarter of each fiscal year. Amortization expense related to definite-lived intangible assets was $48.4 million and $48.1 million for the three months ended December 27, 2024 and December 29, 2023, respectively, primarily recorded within cost of goods sold.</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Annual amortization expense for the next five fiscal years related to definite-lived intangible assets, excluding IPR&amp;D, is expected to be as follows (in millions):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Remaining</w:t>
            </w:r>
          </w:p>
        </w:tc>
        <w:tc>
          <w:tcPr>
            <w:tcW w:w="260" w:type="dxa"/>
            <w:vAlign w:val="bottom"/>
          </w:tcPr>
          <w:p>
            <w:pPr>
              <w:spacing w:after="0"/>
              <w:rPr>
                <w:sz w:val="16"/>
                <w:szCs w:val="16"/>
                <w:color w:val="auto"/>
              </w:rPr>
            </w:pPr>
          </w:p>
        </w:tc>
        <w:tc>
          <w:tcPr>
            <w:tcW w:w="900" w:type="dxa"/>
            <w:vAlign w:val="bottom"/>
            <w:vMerge w:val="restart"/>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vMerge w:val="restart"/>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2027</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vMerge w:val="restart"/>
          </w:tcPr>
          <w:p>
            <w:pPr>
              <w:jc w:val="right"/>
              <w:ind w:right="317"/>
              <w:spacing w:after="0"/>
              <w:rPr>
                <w:sz w:val="20"/>
                <w:szCs w:val="20"/>
                <w:color w:val="auto"/>
              </w:rPr>
            </w:pPr>
            <w:r>
              <w:rPr>
                <w:rFonts w:ascii="Times New Roman" w:cs="Times New Roman" w:eastAsia="Times New Roman" w:hAnsi="Times New Roman"/>
                <w:sz w:val="16"/>
                <w:szCs w:val="16"/>
                <w:b w:val="1"/>
                <w:bCs w:val="1"/>
                <w:color w:val="auto"/>
              </w:rPr>
              <w:t>2028</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2029</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vMerge w:val="restart"/>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Thereafter</w:t>
            </w:r>
          </w:p>
        </w:tc>
        <w:tc>
          <w:tcPr>
            <w:tcW w:w="0" w:type="dxa"/>
            <w:vAlign w:val="bottom"/>
          </w:tcPr>
          <w:p>
            <w:pPr>
              <w:spacing w:after="0"/>
              <w:rPr>
                <w:sz w:val="1"/>
                <w:szCs w:val="1"/>
                <w:color w:val="auto"/>
              </w:rPr>
            </w:pPr>
          </w:p>
        </w:tc>
      </w:tr>
      <w:tr>
        <w:trPr>
          <w:trHeight w:val="214"/>
        </w:trPr>
        <w:tc>
          <w:tcPr>
            <w:tcW w:w="38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gridSpan w:val="3"/>
            <w:vMerge w:val="continue"/>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expense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87.7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8.   INCOME TAXES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38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3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provision for income taxes consists of the following components (in millions):</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3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9"/>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8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December 27, 2024</w:t>
            </w: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4"/>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December 29, 2023</w:t>
            </w:r>
          </w:p>
        </w:tc>
        <w:tc>
          <w:tcPr>
            <w:tcW w:w="0" w:type="dxa"/>
            <w:vAlign w:val="bottom"/>
          </w:tcPr>
          <w:p>
            <w:pPr>
              <w:spacing w:after="0"/>
              <w:rPr>
                <w:sz w:val="1"/>
                <w:szCs w:val="1"/>
                <w:color w:val="auto"/>
              </w:rPr>
            </w:pPr>
          </w:p>
        </w:tc>
      </w:tr>
      <w:tr>
        <w:trPr>
          <w:trHeight w:val="225"/>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 income taxes</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19"/>
                <w:szCs w:val="19"/>
                <w:color w:val="auto"/>
              </w:rPr>
            </w:pPr>
          </w:p>
        </w:tc>
        <w:tc>
          <w:tcPr>
            <w:tcW w:w="4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15.1</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29"/>
        </w:trPr>
        <w:tc>
          <w:tcPr>
            <w:tcW w:w="3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income taxes</w:t>
            </w:r>
          </w:p>
        </w:tc>
        <w:tc>
          <w:tcPr>
            <w:tcW w:w="16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13.3</w:t>
            </w: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48"/>
        </w:trPr>
        <w:tc>
          <w:tcPr>
            <w:tcW w:w="38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28.4</w:t>
            </w:r>
          </w:p>
        </w:tc>
        <w:tc>
          <w:tcPr>
            <w:tcW w:w="1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1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8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14.9 %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0" w:type="dxa"/>
            <w:vAlign w:val="bottom"/>
          </w:tcPr>
          <w:p>
            <w:pPr>
              <w:spacing w:after="0"/>
              <w:rPr>
                <w:sz w:val="1"/>
                <w:szCs w:val="1"/>
                <w:color w:val="auto"/>
              </w:rPr>
            </w:pPr>
          </w:p>
        </w:tc>
      </w:tr>
    </w:tbl>
    <w:p>
      <w:pPr>
        <w:spacing w:after="0" w:line="3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difference between the Company’s effective tax rate and the 21.0% United States federal statutory rate for the three months ended December 27, 2024 and December 29, 2023 resulted primarily from foreign earnings taxed at rates lower than the federal statutory rate, a benefit from foreign-derived intangible income deduction (“FDII”), and research and experimentation and foreign tax credits earned, partially offset by a tax on global intangible low-taxed income (“GILTI”), and tax expense related to share-based compensation shortfalls.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August 2022, the U.S. government enacted the Inflation Reduction Act, which imposes a corporate alternative minimum tax (“CAMT”) of 15% on corporations with three-year average annual adjusted financial statement income exceeding $1.0 billion. The Company was subject to the provisions of CAMT beginning in fiscal 2024. CAMT had no impact to the Company’s consolidated financial statements during the three months ended December 27, 2024 and December 29, 2023, respectively.</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2021, the Organization for Economic Co-operation and Development’s (“OECD”) Inclusive Framework on Base Erosion and Profit Shifting (“BEPS”) released Global Anti-Base Erosion (“GloBE”) rules under Pillar Two. Many countries have implemented laws based on Pillar Two which is effective for the Company beginning in fiscal 2025. Pillar Two did not have a material impact to the Company's consolidated financial statements during the three months ended December 27, 2024.</w:t>
      </w:r>
    </w:p>
    <w:p>
      <w:pPr>
        <w:spacing w:after="0" w:line="20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tab/>
        <w:t>COMMITMENTS AND CONTINGENCIES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Matters</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From time to time, various lawsuits, claims, and proceedings have been, and may in the future be, instituted or asserted against the Company, including those pertaining to patent infringement, intellectual property, environmental hazards, product liability and warranty, safety and health, employment, and contractual matters.</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semiconductor industry is characterized by vigorous protection and pursuit of intellectual property rights. From time to time, third parties have asserted and may in the future assert patent, copyright, trademark, and other intellectual property rights to technologies that are important to the Company’s business and have demanded and may in the future demand that the Company license their technology. The outcome of any such litigation cannot be predicted with certainty and some such lawsuits, claims, or proceedings may be disposed of unfavorably to the Company. Generally speaking, intellectual property disputes often have a risk of injunctive relief, which, if imposed against the Company, could materially and adversely affect the Company’s financial condition or results of operations. From time to time the Company may also be involved in legal proceedings in the ordinary course of business.</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monitors the status of legal proceedings and other contingencies on an ongoing basis to assess whether loss contingencies should be recognized and disclosed in its financial statements and footnotes. The Company does not believe there are any pending legal proceedings that are reasonably possible to result in a material loss. The Company is engaged in various legal actions in the normal course of business and, while there can be no assurances, the Company believes the outcome of all pending litigation involving the Company will not have, individually or in the aggregate, a material adverse effect on its business or financial statements.</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Guarantees and Indemnities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made no significant contractual guarantees for the benefit of third parties. However, the Company generally indemnifies its customers from third-party intellectual property infringement litigation claims related to its products and, on occasion, also provides other indemnities related to product sales. In connection with certain facility leases, the Company has indemnified its lessors for certain claims arising from the facility or the lease.</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indemnifies its directors and officers to the maximum extent permitted under the laws of the state of Delaware. The duration of the indemnities varies and in many cases is indefinite. The indemnities to customers in connection with product sales generally are subject to limits based upon the amount of the related product sales and in many cases are subject to geographic and other restrictions. In certain instances, the Company’s indemnities do not provide for any limitation of the maximum potential future payments the Company could be obligated to make. The Company has not recorded any liability for these indemnities in the accompanying consolidated balance sheets and does not expect that such obligations will have a material adverse impact on its financial statements.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purchases materials primarily pursuant to individual purchase orders, some of which have underlying master purchase agreements. Some of these purchase commitments are cancellable, and some are non-cancelable, depending on the terms with each individual supplier. In the event of cancellation, the Company may be required to pay costs incurred through the date of cancellation or other fees. When cancellation would result in incurring costs or other fees, the Company has historically sought to negotiate amended terms to the original agreements and orders to limit its exposure. As such, the Company believes that purchase commitments as of any particular date may not be a reliable indicator of future liabilities.</w:t>
      </w:r>
    </w:p>
    <w:p>
      <w:pPr>
        <w:spacing w:after="0" w:line="2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maintains certain minimum purchase commitments under long-term capacity reservation agreements primarily with foundries for the purchase of wafers. Under these agreements, the Company has agreed to pay a combination of refundable deposits and prepayments to the suppliers in exchange for reserved manufacturing production capacity over the term of the agreements. As of December 27, 2024, the deposits and prepayments under the long-term capacity reservation agreements were $141.7 million and $3.6 million, respectively, recorded within other current assets, and $1.1 million and $23.0 million, respectively, recorded within other long-term assets. As of September 27, 2024, the deposits and prepayments under the long-term capacity reservation agreements were $141.7 million and $3.0 million, respectively, recorded within other current assets, and $1.3 million and $21.8 million, respectively, recorded within other long-term assets.</w:t>
      </w:r>
    </w:p>
    <w:p>
      <w:pPr>
        <w:spacing w:after="0" w:line="212" w:lineRule="exact"/>
        <w:rPr>
          <w:sz w:val="20"/>
          <w:szCs w:val="20"/>
          <w:color w:val="auto"/>
        </w:rPr>
      </w:pPr>
    </w:p>
    <w:p>
      <w:pPr>
        <w:ind w:left="460" w:hanging="452"/>
        <w:spacing w:after="0"/>
        <w:tabs>
          <w:tab w:leader="none" w:pos="4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and Retirement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31, 2023, the Board of Directors approved a stock repurchase program (“January 31, 2023 stock repurchase program”), pursuant to which the Company was authorized to repurchase up to $2.0 billion of its common stock from time to time through February 1, 2025, on the open market or in privately negotiated transactions, in compliance with applicable securities laws and other legal requirements.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December 27, 2024 and December 29, 2023, the Company did not repurchase any shares of its common stock. As of December 27, 2024, $1.9 billion remained available under the January 31, 2023 stock repurchase program.</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February 4, 2025, the Board of Directors approved a new stock repurchase program (“February 4, 2025 stock repurchase program”), pursuant to which the Company is authorized to repurchase up to $2.0 billion of its common stock from time to time through February 3, 2027, on the open market or in privately negotiated transactions, in compliance with applicable securities laws and other legal requirements. The February 4, 2025 stock repurchase program succeeds in its entirety the aforementioned January 31, 2023 stock repurchase program. The timing and amount of any shares of the Company’s common stock that are repurchased under the February 4, 2025 stock repurchase program will be determined by the Company’s management based on its evaluation of market conditions and other factors. The February 4, 2025 stock repurchase program may be suspended or discontinued at any time. The Company currently expects to fund the February 4, 2025 stock repurchase program using the Company’s working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5, 2025, the Company announced that the Board of Directors had declared a cash dividend on the Company’s common stock of $0.70 per share. This dividend is payable on March 17, 2025, to the Company’s stockholders of record as of the close of business on February 24, 2025. Future dividends are subject to declaration by the Board of Directors.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Dividends charged to retained earnings were as follows (in millions, except per share data):</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0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420" w:type="dxa"/>
            <w:vAlign w:val="bottom"/>
            <w:tcBorders>
              <w:bottom w:val="single" w:sz="8" w:color="auto"/>
            </w:tcBorders>
            <w:gridSpan w:val="5"/>
          </w:tcPr>
          <w:p>
            <w:pPr>
              <w:ind w:left="880"/>
              <w:spacing w:after="0"/>
              <w:rPr>
                <w:sz w:val="20"/>
                <w:szCs w:val="20"/>
                <w:color w:val="auto"/>
              </w:rPr>
            </w:pPr>
            <w:r>
              <w:rPr>
                <w:rFonts w:ascii="Times New Roman" w:cs="Times New Roman" w:eastAsia="Times New Roman" w:hAnsi="Times New Roman"/>
                <w:sz w:val="16"/>
                <w:szCs w:val="16"/>
                <w:b w:val="1"/>
                <w:bCs w:val="1"/>
                <w:color w:val="auto"/>
              </w:rPr>
              <w:t>Fiscal Years Ended</w:t>
            </w: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r>
      <w:tr>
        <w:trPr>
          <w:trHeight w:val="211"/>
        </w:trPr>
        <w:tc>
          <w:tcPr>
            <w:tcW w:w="40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6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October 3, 2025</w:t>
            </w:r>
          </w:p>
        </w:tc>
        <w:tc>
          <w:tcPr>
            <w:tcW w:w="320" w:type="dxa"/>
            <w:vAlign w:val="bottom"/>
          </w:tcPr>
          <w:p>
            <w:pPr>
              <w:spacing w:after="0"/>
              <w:rPr>
                <w:sz w:val="18"/>
                <w:szCs w:val="18"/>
                <w:color w:val="auto"/>
              </w:rPr>
            </w:pPr>
          </w:p>
        </w:tc>
        <w:tc>
          <w:tcPr>
            <w:tcW w:w="3240" w:type="dxa"/>
            <w:vAlign w:val="bottom"/>
            <w:gridSpan w:val="4"/>
          </w:tcPr>
          <w:p>
            <w:pPr>
              <w:jc w:val="right"/>
              <w:ind w:right="1015"/>
              <w:spacing w:after="0"/>
              <w:rPr>
                <w:sz w:val="20"/>
                <w:szCs w:val="20"/>
                <w:color w:val="auto"/>
              </w:rPr>
            </w:pPr>
            <w:r>
              <w:rPr>
                <w:rFonts w:ascii="Times New Roman" w:cs="Times New Roman" w:eastAsia="Times New Roman" w:hAnsi="Times New Roman"/>
                <w:sz w:val="16"/>
                <w:szCs w:val="16"/>
                <w:b w:val="1"/>
                <w:bCs w:val="1"/>
                <w:color w:val="auto"/>
              </w:rPr>
              <w:t>September 27, 2024</w:t>
            </w:r>
          </w:p>
        </w:tc>
      </w:tr>
      <w:tr>
        <w:trPr>
          <w:trHeight w:val="209"/>
        </w:trPr>
        <w:tc>
          <w:tcPr>
            <w:tcW w:w="4000" w:type="dxa"/>
            <w:vAlign w:val="bottom"/>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5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296"/>
              <w:spacing w:after="0"/>
              <w:rPr>
                <w:sz w:val="20"/>
                <w:szCs w:val="20"/>
                <w:color w:val="auto"/>
              </w:rPr>
            </w:pPr>
            <w:r>
              <w:rPr>
                <w:rFonts w:ascii="Times New Roman" w:cs="Times New Roman" w:eastAsia="Times New Roman" w:hAnsi="Times New Roman"/>
                <w:sz w:val="16"/>
                <w:szCs w:val="16"/>
                <w:b w:val="1"/>
                <w:bCs w:val="1"/>
                <w:color w:val="auto"/>
              </w:rPr>
              <w:t>Total Amount</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24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Total Amount</w:t>
            </w:r>
          </w:p>
        </w:tc>
      </w:tr>
      <w:tr>
        <w:trPr>
          <w:trHeight w:val="225"/>
        </w:trPr>
        <w:tc>
          <w:tcPr>
            <w:tcW w:w="4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quarter</w:t>
            </w:r>
          </w:p>
        </w:tc>
        <w:tc>
          <w:tcPr>
            <w:tcW w:w="1220" w:type="dxa"/>
            <w:vAlign w:val="bottom"/>
            <w:tcBorders>
              <w:top w:val="single" w:sz="8" w:color="auto"/>
            </w:tcBorders>
            <w:shd w:val="clear" w:color="auto" w:fill="CCEEFF"/>
          </w:tcPr>
          <w:p>
            <w:pPr>
              <w:jc w:val="right"/>
              <w:ind w:right="1015"/>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share-based compensation expense by line item in the Consolidated Statements of Operations (in millions):</w:t>
      </w:r>
    </w:p>
    <w:p>
      <w:pPr>
        <w:spacing w:after="0" w:line="160"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77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320" w:type="dxa"/>
            <w:vAlign w:val="bottom"/>
            <w:tcBorders>
              <w:bottom w:val="single" w:sz="8" w:color="auto"/>
            </w:tcBorders>
            <w:gridSpan w:val="4"/>
          </w:tcPr>
          <w:p>
            <w:pPr>
              <w:jc w:val="right"/>
              <w:ind w:right="912"/>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1"/>
        </w:trPr>
        <w:tc>
          <w:tcPr>
            <w:tcW w:w="7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27, 2024</w:t>
            </w:r>
          </w:p>
        </w:tc>
        <w:tc>
          <w:tcPr>
            <w:tcW w:w="140" w:type="dxa"/>
            <w:vAlign w:val="bottom"/>
          </w:tcPr>
          <w:p>
            <w:pPr>
              <w:spacing w:after="0"/>
              <w:rPr>
                <w:sz w:val="18"/>
                <w:szCs w:val="18"/>
                <w:color w:val="auto"/>
              </w:rPr>
            </w:pPr>
          </w:p>
        </w:tc>
        <w:tc>
          <w:tcPr>
            <w:tcW w:w="1540" w:type="dxa"/>
            <w:vAlign w:val="bottom"/>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December 29, 2023</w:t>
            </w:r>
          </w:p>
        </w:tc>
      </w:tr>
      <w:tr>
        <w:trPr>
          <w:trHeight w:val="225"/>
        </w:trPr>
        <w:tc>
          <w:tcPr>
            <w:tcW w:w="7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2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r>
      <w:tr>
        <w:trPr>
          <w:trHeight w:val="23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23"/>
        </w:trPr>
        <w:tc>
          <w:tcPr>
            <w:tcW w:w="7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share-based compensation</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w:t>
            </w:r>
          </w:p>
        </w:tc>
      </w:tr>
      <w:tr>
        <w:trPr>
          <w:trHeight w:val="21"/>
        </w:trPr>
        <w:tc>
          <w:tcPr>
            <w:tcW w:w="7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ind w:left="440" w:hanging="432"/>
        <w:spacing w:after="0"/>
        <w:tabs>
          <w:tab w:leader="none" w:pos="4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 (in millions, except per share amounts):</w:t>
      </w:r>
    </w:p>
    <w:p>
      <w:pPr>
        <w:spacing w:after="0" w:line="160" w:lineRule="exact"/>
        <w:rPr>
          <w:sz w:val="20"/>
          <w:szCs w:val="20"/>
          <w:color w:val="auto"/>
        </w:rPr>
      </w:pPr>
    </w:p>
    <w:p>
      <w:pPr>
        <w:jc w:val="center"/>
        <w:ind w:left="776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4933950</wp:posOffset>
            </wp:positionH>
            <wp:positionV relativeFrom="paragraph">
              <wp:posOffset>21590</wp:posOffset>
            </wp:positionV>
            <wp:extent cx="22028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26" w:lineRule="exact"/>
        <w:rPr>
          <w:sz w:val="20"/>
          <w:szCs w:val="20"/>
          <w:color w:val="auto"/>
        </w:rPr>
      </w:pPr>
    </w:p>
    <w:p>
      <w:pPr>
        <w:ind w:left="7960"/>
        <w:spacing w:after="0"/>
        <w:tabs>
          <w:tab w:leader="none" w:pos="9720" w:val="left"/>
        </w:tabs>
        <w:rPr>
          <w:sz w:val="20"/>
          <w:szCs w:val="20"/>
          <w:color w:val="auto"/>
        </w:rPr>
      </w:pPr>
      <w:r>
        <w:rPr>
          <w:rFonts w:ascii="Times New Roman" w:cs="Times New Roman" w:eastAsia="Times New Roman" w:hAnsi="Times New Roman"/>
          <w:sz w:val="16"/>
          <w:szCs w:val="16"/>
          <w:b w:val="1"/>
          <w:bCs w:val="1"/>
          <w:color w:val="auto"/>
        </w:rPr>
        <w:t>December 27, 2024</w:t>
      </w:r>
      <w:r>
        <w:rPr>
          <w:sz w:val="20"/>
          <w:szCs w:val="20"/>
          <w:color w:val="auto"/>
        </w:rPr>
        <w:tab/>
      </w:r>
      <w:r>
        <w:rPr>
          <w:rFonts w:ascii="Times New Roman" w:cs="Times New Roman" w:eastAsia="Times New Roman" w:hAnsi="Times New Roman"/>
          <w:sz w:val="16"/>
          <w:szCs w:val="16"/>
          <w:b w:val="1"/>
          <w:bCs w:val="1"/>
          <w:color w:val="auto"/>
        </w:rPr>
        <w:t>December 29,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p>
      <w:pPr>
        <w:spacing w:after="0" w:line="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income</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Weighted average shares outstanding – basic</w:t>
      </w:r>
    </w:p>
    <w:p>
      <w:pPr>
        <w:spacing w:after="0" w:line="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Dilutive effect of equity-based awards</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6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162.0</w:t>
            </w:r>
          </w:p>
        </w:tc>
        <w:tc>
          <w:tcPr>
            <w:tcW w:w="1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231.3</w:t>
            </w:r>
          </w:p>
        </w:tc>
      </w:tr>
      <w:tr>
        <w:trPr>
          <w:trHeight w:val="20"/>
        </w:trPr>
        <w:tc>
          <w:tcPr>
            <w:tcW w:w="6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461"/>
        </w:trPr>
        <w:tc>
          <w:tcPr>
            <w:tcW w:w="6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160.4</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159.9</w:t>
            </w:r>
          </w:p>
        </w:tc>
      </w:tr>
      <w:tr>
        <w:trPr>
          <w:trHeight w:val="232"/>
        </w:trPr>
        <w:tc>
          <w:tcPr>
            <w:tcW w:w="6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-4934585</wp:posOffset>
            </wp:positionH>
            <wp:positionV relativeFrom="paragraph">
              <wp:posOffset>-289560</wp:posOffset>
            </wp:positionV>
            <wp:extent cx="7132320" cy="145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7060" w:space="720"/>
            <w:col w:w="3460"/>
          </w:cols>
          <w:pgMar w:left="320" w:top="126" w:right="339" w:bottom="1440" w:gutter="0" w:footer="0" w:header="0"/>
          <w:type w:val="continuous"/>
        </w:sectPr>
      </w:pPr>
    </w:p>
    <w:tbl>
      <w:tblPr>
        <w:tblLayout w:type="fixed"/>
        <w:tblInd w:w="0" w:type="dxa"/>
        <w:tblCellMar>
          <w:top w:w="0" w:type="dxa"/>
          <w:left w:w="0" w:type="dxa"/>
          <w:bottom w:w="0" w:type="dxa"/>
          <w:right w:w="0" w:type="dxa"/>
        </w:tblCellMar>
      </w:tblPr>
      <w:tr>
        <w:trPr>
          <w:trHeight w:val="250"/>
        </w:trPr>
        <w:tc>
          <w:tcPr>
            <w:tcW w:w="7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640" w:type="dxa"/>
            <w:vAlign w:val="bottom"/>
            <w:tcBorders>
              <w:top w:val="single" w:sz="8" w:color="auto"/>
              <w:bottom w:val="single" w:sz="8" w:color="auto"/>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780" w:type="dxa"/>
            <w:vAlign w:val="bottom"/>
            <w:vMerge w:val="continue"/>
          </w:tcPr>
          <w:p>
            <w:pPr>
              <w:spacing w:after="0"/>
              <w:rPr>
                <w:sz w:val="17"/>
                <w:szCs w:val="17"/>
                <w:color w:val="auto"/>
              </w:rPr>
            </w:pPr>
          </w:p>
        </w:tc>
        <w:tc>
          <w:tcPr>
            <w:tcW w:w="640" w:type="dxa"/>
            <w:vAlign w:val="bottom"/>
            <w:tcBorders>
              <w:bottom w:val="single" w:sz="8" w:color="auto"/>
            </w:tcBorders>
          </w:tcPr>
          <w:p>
            <w:pPr>
              <w:jc w:val="right"/>
              <w:ind w:right="4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7"/>
                <w:szCs w:val="17"/>
                <w:color w:val="auto"/>
              </w:rPr>
            </w:pPr>
          </w:p>
        </w:tc>
        <w:tc>
          <w:tcPr>
            <w:tcW w:w="660" w:type="dxa"/>
            <w:vAlign w:val="bottom"/>
            <w:tcBorders>
              <w:bottom w:val="single" w:sz="8" w:color="auto"/>
            </w:tcBorders>
          </w:tcPr>
          <w:p>
            <w:pPr>
              <w:jc w:val="right"/>
              <w:ind w:right="4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7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Anti-dilutive common stock equivalents</w:t>
            </w:r>
          </w:p>
        </w:tc>
        <w:tc>
          <w:tcPr>
            <w:tcW w:w="6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32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Basic earnings per share are calculated by dividing net income by the weighted average number of shares of the Company’s common stock outstanding during the period. The calculation of diluted earnings per share includes the dilutive effect of equity-based awards that were outstanding during the three months ended December 27, 2024, and December 29, 2023, using the treasury stock method. Shares issuable upon the vesting of performance stock awards are likewise included in the calculation of diluted earnings per share as of the date the condition(s) have been satisfied, assuming the end of the reporting period was the end of the contingency period. Certain of the Company’s outstanding share-based awards, noted in the table above, were excluded because they were anti-dilutive, but they could become dilutive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12.</w:t>
        <w:tab/>
        <w:t>SUPPLEMENTAL FINANCIAL INFORMATION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current assets consist of the following (in millions):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5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27, 2024</w:t>
            </w:r>
          </w:p>
        </w:tc>
        <w:tc>
          <w:tcPr>
            <w:tcW w:w="160" w:type="dxa"/>
            <w:vAlign w:val="bottom"/>
          </w:tcPr>
          <w:p>
            <w:pPr>
              <w:spacing w:after="0"/>
              <w:rPr>
                <w:sz w:val="18"/>
                <w:szCs w:val="18"/>
                <w:color w:val="auto"/>
              </w:rPr>
            </w:pPr>
          </w:p>
        </w:tc>
        <w:tc>
          <w:tcPr>
            <w:tcW w:w="1580" w:type="dxa"/>
            <w:vAlign w:val="bottom"/>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September 27, 2024</w:t>
            </w:r>
          </w:p>
        </w:tc>
        <w:tc>
          <w:tcPr>
            <w:tcW w:w="0" w:type="dxa"/>
            <w:vAlign w:val="bottom"/>
          </w:tcPr>
          <w:p>
            <w:pPr>
              <w:spacing w:after="0"/>
              <w:rPr>
                <w:sz w:val="1"/>
                <w:szCs w:val="1"/>
                <w:color w:val="auto"/>
              </w:rPr>
            </w:pPr>
          </w:p>
        </w:tc>
      </w:tr>
      <w:tr>
        <w:trPr>
          <w:trHeight w:val="225"/>
        </w:trPr>
        <w:tc>
          <w:tcPr>
            <w:tcW w:w="7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234.8</w:t>
            </w:r>
          </w:p>
        </w:tc>
        <w:tc>
          <w:tcPr>
            <w:tcW w:w="0" w:type="dxa"/>
            <w:vAlign w:val="bottom"/>
          </w:tcPr>
          <w:p>
            <w:pPr>
              <w:spacing w:after="0"/>
              <w:rPr>
                <w:sz w:val="1"/>
                <w:szCs w:val="1"/>
                <w:color w:val="auto"/>
              </w:rPr>
            </w:pPr>
          </w:p>
        </w:tc>
      </w:tr>
      <w:tr>
        <w:trPr>
          <w:trHeight w:val="230"/>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249.9</w:t>
            </w:r>
          </w:p>
        </w:tc>
        <w:tc>
          <w:tcPr>
            <w:tcW w:w="0" w:type="dxa"/>
            <w:vAlign w:val="bottom"/>
          </w:tcPr>
          <w:p>
            <w:pPr>
              <w:spacing w:after="0"/>
              <w:rPr>
                <w:sz w:val="1"/>
                <w:szCs w:val="1"/>
                <w:color w:val="auto"/>
              </w:rPr>
            </w:pPr>
          </w:p>
        </w:tc>
      </w:tr>
      <w:tr>
        <w:trPr>
          <w:trHeight w:val="248"/>
        </w:trPr>
        <w:tc>
          <w:tcPr>
            <w:tcW w:w="76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other current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484.7</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Other current liabilities consist of the following (in millions):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76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76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7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27, 2024</w:t>
            </w:r>
          </w:p>
        </w:tc>
        <w:tc>
          <w:tcPr>
            <w:tcW w:w="160" w:type="dxa"/>
            <w:vAlign w:val="bottom"/>
          </w:tcPr>
          <w:p>
            <w:pPr>
              <w:spacing w:after="0"/>
              <w:rPr>
                <w:sz w:val="18"/>
                <w:szCs w:val="18"/>
                <w:color w:val="auto"/>
              </w:rPr>
            </w:pPr>
          </w:p>
        </w:tc>
        <w:tc>
          <w:tcPr>
            <w:tcW w:w="1580" w:type="dxa"/>
            <w:vAlign w:val="bottom"/>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September 27, 2024</w:t>
            </w:r>
          </w:p>
        </w:tc>
        <w:tc>
          <w:tcPr>
            <w:tcW w:w="0" w:type="dxa"/>
            <w:vAlign w:val="bottom"/>
          </w:tcPr>
          <w:p>
            <w:pPr>
              <w:spacing w:after="0"/>
              <w:rPr>
                <w:sz w:val="1"/>
                <w:szCs w:val="1"/>
                <w:color w:val="auto"/>
              </w:rPr>
            </w:pPr>
          </w:p>
        </w:tc>
      </w:tr>
      <w:tr>
        <w:trPr>
          <w:trHeight w:val="225"/>
        </w:trPr>
        <w:tc>
          <w:tcPr>
            <w:tcW w:w="7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customer liabilities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w:t>
            </w:r>
          </w:p>
        </w:tc>
        <w:tc>
          <w:tcPr>
            <w:tcW w:w="0" w:type="dxa"/>
            <w:vAlign w:val="bottom"/>
          </w:tcPr>
          <w:p>
            <w:pPr>
              <w:spacing w:after="0"/>
              <w:rPr>
                <w:sz w:val="1"/>
                <w:szCs w:val="1"/>
                <w:color w:val="auto"/>
              </w:rPr>
            </w:pPr>
          </w:p>
        </w:tc>
      </w:tr>
      <w:tr>
        <w:trPr>
          <w:trHeight w:val="229"/>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taxes</w:t>
            </w: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0" w:type="dxa"/>
            <w:vAlign w:val="bottom"/>
          </w:tcPr>
          <w:p>
            <w:pPr>
              <w:spacing w:after="0"/>
              <w:rPr>
                <w:sz w:val="1"/>
                <w:szCs w:val="1"/>
                <w:color w:val="auto"/>
              </w:rPr>
            </w:pPr>
          </w:p>
        </w:tc>
      </w:tr>
      <w:tr>
        <w:trPr>
          <w:trHeight w:val="22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operating lease liabilities</w:t>
            </w:r>
          </w:p>
        </w:tc>
        <w:tc>
          <w:tcPr>
            <w:tcW w:w="1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30"/>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0" w:type="dxa"/>
            <w:vAlign w:val="bottom"/>
          </w:tcPr>
          <w:p>
            <w:pPr>
              <w:spacing w:after="0"/>
              <w:rPr>
                <w:sz w:val="1"/>
                <w:szCs w:val="1"/>
                <w:color w:val="auto"/>
              </w:rPr>
            </w:pPr>
          </w:p>
        </w:tc>
      </w:tr>
      <w:tr>
        <w:trPr>
          <w:trHeight w:val="248"/>
        </w:trPr>
        <w:tc>
          <w:tcPr>
            <w:tcW w:w="76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other current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303.0</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ind w:left="460" w:hanging="452"/>
        <w:spacing w:after="0"/>
        <w:tabs>
          <w:tab w:leader="none" w:pos="4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w:t>
      </w:r>
    </w:p>
    <w:p>
      <w:pPr>
        <w:spacing w:after="0" w:line="24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On February 4, 2025, the Board of Directors appointed Philip Brace as the President and Chief Executive Officer of the Company and as a director, effective February 17, 2025 (the “Transition Date”), to succeed Liam K. Griffin who will step down from his roles as President and Chief Executive Officer of the Company as of the Transition Date (the “Chief Executive Officer Transition”). In connection with the Chief Executive Officer Transition, the Company will incur charges of approximately $20.0 million (with the portion of the charge relating to outstanding equity awards being based on the original grant date fair value as computed in accordance with the provisions of FASB ASC Topic 718) pursuant to Mr. Griffin's Second Amended and Restated Change in Control / Severance Agreement and the prorated vesting of approximately 5,934 shares under his fiscal 2025 restricted stock unit award.</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DISCUSSION AND ANALYSIS OF FINANCIAL CONDITION AND RESULTS OF OPERATIONS.</w:t>
      </w:r>
    </w:p>
    <w:p>
      <w:pPr>
        <w:spacing w:after="0" w:line="25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report and other documents we have filed with the SEC contain forward-looking statements within the meaning of Section 27A of the Securities Act of 1933, as amended, and Section 21E of the Securities and Exchange Act of 1934, as amended (the “Exchange Act”), and are subject to the “safe harbor” created by those sections. Any statements that are not statements of historical fact should be considered to be forward-looking statements. Words such as “anticipates”, “believes”, “continue”, “could”, “estimates”, “expects”, “forecasts”, “intends”, “may”, “plans”, “potential”, “predicts”, “projects”, “seek”, “should”, “targets”, “will”, “would”, and similar expressions or variations or negatives of such words are intended to identify forward-looking statements, but are not the exclusive means of identifying forward-looking statements in this report. Additionally, statements concerning future matters such as the possible impacts of geopolitical conflicts, inflation, recession, and global health crises, as well as the development of new products, enhancements of technologies, sales levels, expense levels, the benefits of acquisitions we have made or may make in the future, and other statements regarding matters that are not historical are forward-looking statements. Although forward-looking statements in this report reflect the good faith judgment of our management as of the date the statement is first made, such statements can only be based on facts and factors then known and understood by us. Consequently, forward-looking statements involve inherent risks and uncertainties, and actual financial results and outcomes may differ materially and adversely from the results and outcomes discussed in or anticipated by the forward-looking statements. A number of important factors could cause actual financial results to differ materially and adversely from those in the forward-looking statements. We urge you to consider the risks and uncertainties discussed in the 2024 10-K, under the heading “Risk Factors” and in the other documents filed by us with the SEC in evaluating our forward-looking statements. We have no plans, and undertake no obligation, to revise or update our forward-looking statements to reflect any event or circumstance that may arise after the date of the initial filing of this Quarterly Report on Form 10-Q. We caution readers not to place undue reliance upon any such forward-looking statements, which speak only as of the date made.</w:t>
      </w:r>
    </w:p>
    <w:p>
      <w:pPr>
        <w:spacing w:after="0" w:line="22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this document, the words “we”, “our”, “ours”, “us”, “Skyworks”, and “the Company” refer only to Skyworks Solutions, Inc., and its consolidated subsidiaries and not any other person or entity.</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December 27, 2024, and December 29, 2023</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results of our operations expressed as a percentage of net revenue: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560" w:type="dxa"/>
            <w:vAlign w:val="bottom"/>
          </w:tcPr>
          <w:p>
            <w:pPr>
              <w:spacing w:after="0"/>
              <w:rPr>
                <w:sz w:val="18"/>
                <w:szCs w:val="18"/>
                <w:color w:val="auto"/>
              </w:rPr>
            </w:pPr>
          </w:p>
        </w:tc>
        <w:tc>
          <w:tcPr>
            <w:tcW w:w="3680" w:type="dxa"/>
            <w:vAlign w:val="bottom"/>
            <w:tcBorders>
              <w:bottom w:val="single" w:sz="8" w:color="auto"/>
            </w:tcBorders>
            <w:gridSpan w:val="3"/>
          </w:tcPr>
          <w:p>
            <w:pPr>
              <w:jc w:val="right"/>
              <w:ind w:right="1011"/>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1"/>
        </w:trPr>
        <w:tc>
          <w:tcPr>
            <w:tcW w:w="7560" w:type="dxa"/>
            <w:vAlign w:val="bottom"/>
          </w:tcPr>
          <w:p>
            <w:pPr>
              <w:spacing w:after="0"/>
              <w:rPr>
                <w:sz w:val="18"/>
                <w:szCs w:val="18"/>
                <w:color w:val="auto"/>
              </w:rPr>
            </w:pPr>
          </w:p>
        </w:tc>
        <w:tc>
          <w:tcPr>
            <w:tcW w:w="188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December 27, 2024</w:t>
            </w:r>
          </w:p>
        </w:tc>
        <w:tc>
          <w:tcPr>
            <w:tcW w:w="1800" w:type="dxa"/>
            <w:vAlign w:val="bottom"/>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December 29, 2023</w:t>
            </w:r>
          </w:p>
        </w:tc>
      </w:tr>
      <w:tr>
        <w:trPr>
          <w:trHeight w:val="225"/>
        </w:trPr>
        <w:tc>
          <w:tcPr>
            <w:tcW w:w="7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30"/>
        </w:trPr>
        <w:tc>
          <w:tcPr>
            <w:tcW w:w="7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7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58.6</w:t>
            </w:r>
          </w:p>
        </w:tc>
        <w:tc>
          <w:tcPr>
            <w:tcW w:w="100" w:type="dxa"/>
            <w:vAlign w:val="bottom"/>
            <w:tcBorders>
              <w:bottom w:val="single" w:sz="8" w:color="CCEEFF"/>
            </w:tcBorders>
          </w:tcPr>
          <w:p>
            <w:pPr>
              <w:spacing w:after="0"/>
              <w:rPr>
                <w:sz w:val="19"/>
                <w:szCs w:val="19"/>
                <w:color w:val="auto"/>
              </w:rPr>
            </w:pPr>
          </w:p>
        </w:tc>
        <w:tc>
          <w:tcPr>
            <w:tcW w:w="18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57.8</w:t>
            </w:r>
          </w:p>
        </w:tc>
      </w:tr>
      <w:tr>
        <w:trPr>
          <w:trHeight w:val="223"/>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7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42.2</w:t>
            </w:r>
          </w:p>
        </w:tc>
      </w:tr>
      <w:tr>
        <w:trPr>
          <w:trHeight w:val="230"/>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29"/>
        </w:trPr>
        <w:tc>
          <w:tcPr>
            <w:tcW w:w="7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7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12.7</w:t>
            </w:r>
          </w:p>
        </w:tc>
      </w:tr>
      <w:tr>
        <w:trPr>
          <w:trHeight w:val="229"/>
        </w:trPr>
        <w:tc>
          <w:tcPr>
            <w:tcW w:w="7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7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19"/>
                <w:szCs w:val="19"/>
                <w:color w:val="auto"/>
              </w:rPr>
            </w:pPr>
          </w:p>
        </w:tc>
        <w:tc>
          <w:tcPr>
            <w:tcW w:w="18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6.6</w:t>
            </w:r>
          </w:p>
        </w:tc>
      </w:tr>
      <w:tr>
        <w:trPr>
          <w:trHeight w:val="230"/>
        </w:trPr>
        <w:tc>
          <w:tcPr>
            <w:tcW w:w="7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5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Restructuring, impairment, and other charges</w:t>
            </w:r>
          </w:p>
        </w:tc>
        <w:tc>
          <w:tcPr>
            <w:tcW w:w="17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18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1.4</w:t>
            </w:r>
          </w:p>
        </w:tc>
      </w:tr>
      <w:tr>
        <w:trPr>
          <w:trHeight w:val="223"/>
        </w:trPr>
        <w:tc>
          <w:tcPr>
            <w:tcW w:w="75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7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20.7</w:t>
            </w:r>
          </w:p>
        </w:tc>
      </w:tr>
      <w:tr>
        <w:trPr>
          <w:trHeight w:val="223"/>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7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Pr>
          <w:p>
            <w:pPr>
              <w:spacing w:after="0"/>
              <w:rPr>
                <w:sz w:val="19"/>
                <w:szCs w:val="19"/>
                <w:color w:val="auto"/>
              </w:rPr>
            </w:pPr>
          </w:p>
        </w:tc>
        <w:tc>
          <w:tcPr>
            <w:tcW w:w="18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21.5</w:t>
            </w:r>
          </w:p>
        </w:tc>
      </w:tr>
      <w:tr>
        <w:trPr>
          <w:trHeight w:val="230"/>
        </w:trPr>
        <w:tc>
          <w:tcPr>
            <w:tcW w:w="7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17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(0.8)</w:t>
            </w:r>
          </w:p>
        </w:tc>
      </w:tr>
      <w:tr>
        <w:trPr>
          <w:trHeight w:val="229"/>
        </w:trPr>
        <w:tc>
          <w:tcPr>
            <w:tcW w:w="75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income, net</w:t>
            </w:r>
          </w:p>
        </w:tc>
        <w:tc>
          <w:tcPr>
            <w:tcW w:w="17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18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0.3</w:t>
            </w:r>
          </w:p>
        </w:tc>
      </w:tr>
      <w:tr>
        <w:trPr>
          <w:trHeight w:val="223"/>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7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20.9</w:t>
            </w:r>
          </w:p>
        </w:tc>
      </w:tr>
      <w:tr>
        <w:trPr>
          <w:trHeight w:val="229"/>
        </w:trPr>
        <w:tc>
          <w:tcPr>
            <w:tcW w:w="7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7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tcPr>
          <w:p>
            <w:pPr>
              <w:spacing w:after="0"/>
              <w:rPr>
                <w:sz w:val="19"/>
                <w:szCs w:val="19"/>
                <w:color w:val="auto"/>
              </w:rPr>
            </w:pPr>
          </w:p>
        </w:tc>
        <w:tc>
          <w:tcPr>
            <w:tcW w:w="18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1.7</w:t>
            </w:r>
          </w:p>
        </w:tc>
      </w:tr>
      <w:tr>
        <w:trPr>
          <w:trHeight w:val="248"/>
        </w:trPr>
        <w:tc>
          <w:tcPr>
            <w:tcW w:w="7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15.2 %</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19.3 %</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together with our consolidated subsidiaries, are a leading developer, manufacturer and provider of analog and mixed-signal semiconductor products and solutions for numerous applications, including aerospace, automotive, broadband, cellular infrastructure, connected home, defense, entertainment and gaming, industrial, medical, smartphone, tablet, and wearables.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December 27, 2024, the following key factors contributed to our overall results of operations, financial position, and cash flows:</w:t>
      </w:r>
    </w:p>
    <w:p>
      <w:pPr>
        <w:spacing w:after="0" w:line="189" w:lineRule="exact"/>
        <w:rPr>
          <w:sz w:val="20"/>
          <w:szCs w:val="20"/>
          <w:color w:val="auto"/>
        </w:rPr>
      </w:pPr>
    </w:p>
    <w:p>
      <w:pPr>
        <w:ind w:left="6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 decreased to $1,068.5 million for the three months ended December 27, 2024, as compared to $1,201.5 million for the corresponding period in fiscal 2024, driven primarily by a decrease in demand for our mobile products.</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ending cash, cash equivalents, and marketable securities balance increased to $1,754.8 million. The increase in cash, cash equivalents, and marketable securities during the three months ended December 27, 2024, was primarily due to cash generated from operations of $377.2 million, partially offset by dividend payments of $112.5 million and capital expenditures of $39.0 million.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3"/>
          </w:tcPr>
          <w:p>
            <w:pPr>
              <w:jc w:val="center"/>
              <w:ind w:left="1276"/>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500" w:type="dxa"/>
            <w:vAlign w:val="bottom"/>
            <w:tcBorders>
              <w:bottom w:val="single" w:sz="8" w:color="auto"/>
            </w:tcBorders>
          </w:tcPr>
          <w:p>
            <w:pPr>
              <w:spacing w:after="0"/>
              <w:rPr>
                <w:sz w:val="18"/>
                <w:szCs w:val="18"/>
                <w:color w:val="auto"/>
              </w:rPr>
            </w:pPr>
          </w:p>
        </w:tc>
      </w:tr>
      <w:tr>
        <w:trPr>
          <w:trHeight w:val="211"/>
        </w:trPr>
        <w:tc>
          <w:tcPr>
            <w:tcW w:w="6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(dollars in millions)</w:t>
            </w:r>
          </w:p>
        </w:tc>
        <w:tc>
          <w:tcPr>
            <w:tcW w:w="1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6"/>
                <w:szCs w:val="16"/>
                <w:b w:val="1"/>
                <w:bCs w:val="1"/>
                <w:color w:val="auto"/>
              </w:rPr>
              <w:t>December 27, 2024</w:t>
            </w: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3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6"/>
                <w:szCs w:val="16"/>
                <w:b w:val="1"/>
                <w:bCs w:val="1"/>
                <w:color w:val="auto"/>
              </w:rPr>
              <w:t>December 29, 2023</w:t>
            </w:r>
          </w:p>
        </w:tc>
      </w:tr>
      <w:tr>
        <w:trPr>
          <w:trHeight w:val="225"/>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1,068.5</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(11.1)%</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1,201.5</w:t>
            </w:r>
          </w:p>
        </w:tc>
      </w:tr>
    </w:tbl>
    <w:p>
      <w:pPr>
        <w:spacing w:after="0" w:line="3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market and sell our products indirectly through electronic components distributors and directly to OEMs of communications and electronics products, third-party original design manufacturers, and contract manufacturers. We generally experience seasonal peaks during our fourth and first fiscal quarters (which correspond to the second half of the calendar year), primarily as a result of increased worldwide production of consumer electronics in anticipation of holiday sales, whereas our second and third fiscal</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quarters are typically lower and in line with seasonal industry trends. In addition, beginning in the fourth quarter of fiscal 2025, we expect revenues will be negatively impacted by a decrease in market share at a significant customer.</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decrease in net revenue for the three months ended December 27, 2024, as compared with the corresponding period in fiscal 2024, was driven primarily by a decrease in demand for our mobile products.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5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00" w:type="dxa"/>
            <w:vAlign w:val="bottom"/>
            <w:tcBorders>
              <w:bottom w:val="single" w:sz="8" w:color="auto"/>
            </w:tcBorders>
          </w:tcPr>
          <w:p>
            <w:pPr>
              <w:spacing w:after="0"/>
              <w:rPr>
                <w:sz w:val="18"/>
                <w:szCs w:val="18"/>
                <w:color w:val="auto"/>
              </w:rPr>
            </w:pPr>
          </w:p>
        </w:tc>
      </w:tr>
      <w:tr>
        <w:trPr>
          <w:trHeight w:val="211"/>
        </w:trPr>
        <w:tc>
          <w:tcPr>
            <w:tcW w:w="6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(dollars in millions)</w:t>
            </w: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27, 2024</w:t>
            </w:r>
          </w:p>
        </w:tc>
        <w:tc>
          <w:tcPr>
            <w:tcW w:w="1200" w:type="dxa"/>
            <w:vAlign w:val="bottom"/>
            <w:tcBorders>
              <w:bottom w:val="single" w:sz="8" w:color="auto"/>
            </w:tcBorders>
          </w:tcPr>
          <w:p>
            <w:pPr>
              <w:jc w:val="center"/>
              <w:ind w:left="236"/>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3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December 29, 2023</w:t>
            </w:r>
          </w:p>
        </w:tc>
      </w:tr>
      <w:tr>
        <w:trPr>
          <w:trHeight w:val="225"/>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441.9</w:t>
            </w:r>
          </w:p>
        </w:tc>
        <w:tc>
          <w:tcPr>
            <w:tcW w:w="1200" w:type="dxa"/>
            <w:vAlign w:val="bottom"/>
            <w:shd w:val="clear" w:color="auto" w:fill="CCEEFF"/>
          </w:tcPr>
          <w:p>
            <w:pPr>
              <w:jc w:val="center"/>
              <w:ind w:left="256"/>
              <w:spacing w:after="0"/>
              <w:rPr>
                <w:sz w:val="20"/>
                <w:szCs w:val="20"/>
                <w:color w:val="auto"/>
              </w:rPr>
            </w:pPr>
            <w:r>
              <w:rPr>
                <w:rFonts w:ascii="Times New Roman" w:cs="Times New Roman" w:eastAsia="Times New Roman" w:hAnsi="Times New Roman"/>
                <w:sz w:val="18"/>
                <w:szCs w:val="18"/>
                <w:color w:val="auto"/>
                <w:w w:val="99"/>
              </w:rPr>
              <w:t>(12.8)%</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506.6</w:t>
            </w:r>
          </w:p>
        </w:tc>
      </w:tr>
      <w:tr>
        <w:trPr>
          <w:trHeight w:val="234"/>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net revenue</w:t>
            </w:r>
          </w:p>
        </w:tc>
        <w:tc>
          <w:tcPr>
            <w:tcW w:w="180" w:type="dxa"/>
            <w:vAlign w:val="bottom"/>
          </w:tcPr>
          <w:p>
            <w:pPr>
              <w:spacing w:after="0"/>
              <w:rPr>
                <w:sz w:val="20"/>
                <w:szCs w:val="20"/>
                <w:color w:val="auto"/>
              </w:rPr>
            </w:pPr>
          </w:p>
        </w:tc>
        <w:tc>
          <w:tcPr>
            <w:tcW w:w="2620" w:type="dxa"/>
            <w:vAlign w:val="bottom"/>
            <w:gridSpan w:val="2"/>
          </w:tcPr>
          <w:p>
            <w:pPr>
              <w:jc w:val="right"/>
              <w:ind w:right="956"/>
              <w:spacing w:after="0"/>
              <w:rPr>
                <w:sz w:val="20"/>
                <w:szCs w:val="20"/>
                <w:color w:val="auto"/>
              </w:rPr>
            </w:pPr>
            <w:r>
              <w:rPr>
                <w:rFonts w:ascii="Times New Roman" w:cs="Times New Roman" w:eastAsia="Times New Roman" w:hAnsi="Times New Roman"/>
                <w:sz w:val="18"/>
                <w:szCs w:val="18"/>
                <w:color w:val="auto"/>
              </w:rPr>
              <w:t>41.4 %</w:t>
            </w:r>
          </w:p>
        </w:tc>
        <w:tc>
          <w:tcPr>
            <w:tcW w:w="34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42.2 %</w:t>
            </w:r>
          </w:p>
        </w:tc>
      </w:tr>
    </w:tbl>
    <w:p>
      <w:pPr>
        <w:spacing w:after="0" w:line="3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Gross profit represents net revenue less cost of goods sold. Our cost of goods sold consists primarily of purchased materials, labor, and overhead (including depreciation, share-based compensation expense, and amortization of acquisition intangibles) associated with product manufacturing. Erosion of average selling prices of established products is typical of the semiconductor industry. Consistent with trends in the industry, we anticipate that average selling prices for our established products will continue to decline over time. As part of our normal course of business, we intend to improve gross profit with efforts to increase unit volumes, improve manufacturing efficiencies, lower manufacturing costs of existing products, and by introducing new and higher value-added products.</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decrease in gross profit for the three months ended December 27, 2024, as compared with the corresponding period in fiscal 2024, was primarily the result of lower unit volumes, unfavorable product mix, and lower average selling prices.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5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580" w:type="dxa"/>
            <w:vAlign w:val="bottom"/>
            <w:tcBorders>
              <w:bottom w:val="single" w:sz="8" w:color="auto"/>
            </w:tcBorders>
          </w:tcPr>
          <w:p>
            <w:pPr>
              <w:spacing w:after="0"/>
              <w:rPr>
                <w:sz w:val="18"/>
                <w:szCs w:val="18"/>
                <w:color w:val="auto"/>
              </w:rPr>
            </w:pPr>
          </w:p>
        </w:tc>
      </w:tr>
      <w:tr>
        <w:trPr>
          <w:trHeight w:val="211"/>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(dollars in millions)</w:t>
            </w: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27, 2024</w:t>
            </w:r>
          </w:p>
        </w:tc>
        <w:tc>
          <w:tcPr>
            <w:tcW w:w="1200" w:type="dxa"/>
            <w:vAlign w:val="bottom"/>
            <w:tcBorders>
              <w:bottom w:val="single" w:sz="8" w:color="auto"/>
            </w:tcBorders>
          </w:tcPr>
          <w:p>
            <w:pPr>
              <w:jc w:val="center"/>
              <w:ind w:left="276"/>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3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December 29, 2023</w:t>
            </w:r>
          </w:p>
        </w:tc>
      </w:tr>
      <w:tr>
        <w:trPr>
          <w:trHeight w:val="225"/>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w:t>
            </w:r>
          </w:p>
        </w:tc>
        <w:tc>
          <w:tcPr>
            <w:tcW w:w="1200" w:type="dxa"/>
            <w:vAlign w:val="bottom"/>
            <w:shd w:val="clear" w:color="auto" w:fill="CCEEFF"/>
          </w:tcPr>
          <w:p>
            <w:pPr>
              <w:jc w:val="center"/>
              <w:ind w:left="256"/>
              <w:spacing w:after="0"/>
              <w:rPr>
                <w:sz w:val="20"/>
                <w:szCs w:val="20"/>
                <w:color w:val="auto"/>
              </w:rPr>
            </w:pPr>
            <w:r>
              <w:rPr>
                <w:rFonts w:ascii="Times New Roman" w:cs="Times New Roman" w:eastAsia="Times New Roman" w:hAnsi="Times New Roman"/>
                <w:sz w:val="18"/>
                <w:szCs w:val="18"/>
                <w:color w:val="auto"/>
                <w:w w:val="98"/>
              </w:rPr>
              <w:t>15.2%</w:t>
            </w:r>
          </w:p>
        </w:tc>
        <w:tc>
          <w:tcPr>
            <w:tcW w:w="3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153.1</w:t>
            </w:r>
          </w:p>
        </w:tc>
      </w:tr>
      <w:tr>
        <w:trPr>
          <w:trHeight w:val="234"/>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net revenue</w:t>
            </w:r>
          </w:p>
        </w:tc>
        <w:tc>
          <w:tcPr>
            <w:tcW w:w="160" w:type="dxa"/>
            <w:vAlign w:val="bottom"/>
          </w:tcPr>
          <w:p>
            <w:pPr>
              <w:spacing w:after="0"/>
              <w:rPr>
                <w:sz w:val="20"/>
                <w:szCs w:val="20"/>
                <w:color w:val="auto"/>
              </w:rPr>
            </w:pPr>
          </w:p>
        </w:tc>
        <w:tc>
          <w:tcPr>
            <w:tcW w:w="2620" w:type="dxa"/>
            <w:vAlign w:val="bottom"/>
            <w:gridSpan w:val="2"/>
          </w:tcPr>
          <w:p>
            <w:pPr>
              <w:jc w:val="right"/>
              <w:ind w:right="936"/>
              <w:spacing w:after="0"/>
              <w:rPr>
                <w:sz w:val="20"/>
                <w:szCs w:val="20"/>
                <w:color w:val="auto"/>
              </w:rPr>
            </w:pPr>
            <w:r>
              <w:rPr>
                <w:rFonts w:ascii="Times New Roman" w:cs="Times New Roman" w:eastAsia="Times New Roman" w:hAnsi="Times New Roman"/>
                <w:sz w:val="18"/>
                <w:szCs w:val="18"/>
                <w:color w:val="auto"/>
              </w:rPr>
              <w:t>16.5 %</w:t>
            </w:r>
          </w:p>
        </w:tc>
        <w:tc>
          <w:tcPr>
            <w:tcW w:w="3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12.7 %</w:t>
            </w:r>
          </w:p>
        </w:tc>
      </w:tr>
    </w:tbl>
    <w:p>
      <w:pPr>
        <w:spacing w:after="0" w:line="30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primarily of direct personnel costs including share-based compensation expense, costs for pre-production evaluation units and testing of new devices, non-production masks, engineering prototypes, and design tool costs.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research and development expenses for the three months ended December 27, 2024, as compared with the corresponding period in fiscal 2024, was primarily related to increases in certain headcount-related expenses and costs for engineering prototypes as a result of our increased investment in developing new technologies and products.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00" w:type="dxa"/>
            <w:vAlign w:val="bottom"/>
            <w:tcBorders>
              <w:bottom w:val="single" w:sz="8" w:color="auto"/>
            </w:tcBorders>
          </w:tcPr>
          <w:p>
            <w:pPr>
              <w:spacing w:after="0"/>
              <w:rPr>
                <w:sz w:val="18"/>
                <w:szCs w:val="18"/>
                <w:color w:val="auto"/>
              </w:rPr>
            </w:pPr>
          </w:p>
        </w:tc>
      </w:tr>
      <w:tr>
        <w:trPr>
          <w:trHeight w:val="211"/>
        </w:trPr>
        <w:tc>
          <w:tcPr>
            <w:tcW w:w="6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(dollars in millions)</w:t>
            </w: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27, 2024</w:t>
            </w:r>
          </w:p>
        </w:tc>
        <w:tc>
          <w:tcPr>
            <w:tcW w:w="1200" w:type="dxa"/>
            <w:vAlign w:val="bottom"/>
            <w:tcBorders>
              <w:bottom w:val="single" w:sz="8" w:color="auto"/>
            </w:tcBorders>
          </w:tcPr>
          <w:p>
            <w:pPr>
              <w:jc w:val="center"/>
              <w:ind w:left="236"/>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3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December 29, 2023</w:t>
            </w:r>
          </w:p>
        </w:tc>
      </w:tr>
      <w:tr>
        <w:trPr>
          <w:trHeight w:val="225"/>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1200" w:type="dxa"/>
            <w:vAlign w:val="bottom"/>
            <w:shd w:val="clear" w:color="auto" w:fill="CCEEFF"/>
          </w:tcPr>
          <w:p>
            <w:pPr>
              <w:jc w:val="center"/>
              <w:ind w:left="256"/>
              <w:spacing w:after="0"/>
              <w:rPr>
                <w:sz w:val="20"/>
                <w:szCs w:val="20"/>
                <w:color w:val="auto"/>
              </w:rPr>
            </w:pPr>
            <w:r>
              <w:rPr>
                <w:rFonts w:ascii="Times New Roman" w:cs="Times New Roman" w:eastAsia="Times New Roman" w:hAnsi="Times New Roman"/>
                <w:sz w:val="18"/>
                <w:szCs w:val="18"/>
                <w:color w:val="auto"/>
              </w:rPr>
              <w:t>4.8%</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78.8</w:t>
            </w:r>
          </w:p>
        </w:tc>
      </w:tr>
      <w:tr>
        <w:trPr>
          <w:trHeight w:val="234"/>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net revenue</w:t>
            </w:r>
          </w:p>
        </w:tc>
        <w:tc>
          <w:tcPr>
            <w:tcW w:w="180" w:type="dxa"/>
            <w:vAlign w:val="bottom"/>
          </w:tcPr>
          <w:p>
            <w:pPr>
              <w:spacing w:after="0"/>
              <w:rPr>
                <w:sz w:val="20"/>
                <w:szCs w:val="20"/>
                <w:color w:val="auto"/>
              </w:rPr>
            </w:pPr>
          </w:p>
        </w:tc>
        <w:tc>
          <w:tcPr>
            <w:tcW w:w="2640" w:type="dxa"/>
            <w:vAlign w:val="bottom"/>
            <w:gridSpan w:val="2"/>
          </w:tcPr>
          <w:p>
            <w:pPr>
              <w:jc w:val="right"/>
              <w:ind w:right="956"/>
              <w:spacing w:after="0"/>
              <w:rPr>
                <w:sz w:val="20"/>
                <w:szCs w:val="20"/>
                <w:color w:val="auto"/>
              </w:rPr>
            </w:pPr>
            <w:r>
              <w:rPr>
                <w:rFonts w:ascii="Times New Roman" w:cs="Times New Roman" w:eastAsia="Times New Roman" w:hAnsi="Times New Roman"/>
                <w:sz w:val="18"/>
                <w:szCs w:val="18"/>
                <w:color w:val="auto"/>
              </w:rPr>
              <w:t>7.7 %</w:t>
            </w:r>
          </w:p>
        </w:tc>
        <w:tc>
          <w:tcPr>
            <w:tcW w:w="34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6.6 %</w:t>
            </w:r>
          </w:p>
        </w:tc>
      </w:tr>
    </w:tbl>
    <w:p>
      <w:pPr>
        <w:spacing w:after="0" w:line="3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include legal and related costs, accounting, treasury, human resources, information systems, customer service, bad debt expense, sales commissions, share-based compensation expense, advertising, marketing, costs associated with business combinations completed or contemplated during the period, and other costs.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in selling, general, and administrative expenses for the three months ended December 27, 2024, as compared with the corresponding period in fiscal 2024, was primarily related to increased professional services costs.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Amortization of Intangibles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00" w:type="dxa"/>
            <w:vAlign w:val="bottom"/>
            <w:tcBorders>
              <w:bottom w:val="single" w:sz="8" w:color="auto"/>
            </w:tcBorders>
          </w:tcPr>
          <w:p>
            <w:pPr>
              <w:spacing w:after="0"/>
              <w:rPr>
                <w:sz w:val="18"/>
                <w:szCs w:val="18"/>
                <w:color w:val="auto"/>
              </w:rPr>
            </w:pPr>
          </w:p>
        </w:tc>
      </w:tr>
      <w:tr>
        <w:trPr>
          <w:trHeight w:val="211"/>
        </w:trPr>
        <w:tc>
          <w:tcPr>
            <w:tcW w:w="6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(dollars in millions)</w:t>
            </w: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27, 2024</w:t>
            </w:r>
          </w:p>
        </w:tc>
        <w:tc>
          <w:tcPr>
            <w:tcW w:w="1200" w:type="dxa"/>
            <w:vAlign w:val="bottom"/>
            <w:tcBorders>
              <w:bottom w:val="single" w:sz="8" w:color="auto"/>
            </w:tcBorders>
          </w:tcPr>
          <w:p>
            <w:pPr>
              <w:jc w:val="center"/>
              <w:ind w:left="236"/>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3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December 29, 2023</w:t>
            </w:r>
          </w:p>
        </w:tc>
      </w:tr>
      <w:tr>
        <w:trPr>
          <w:trHeight w:val="225"/>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0" w:type="dxa"/>
            <w:vAlign w:val="bottom"/>
            <w:shd w:val="clear" w:color="auto" w:fill="CCEEFF"/>
          </w:tcPr>
          <w:p>
            <w:pPr>
              <w:jc w:val="center"/>
              <w:ind w:left="236"/>
              <w:spacing w:after="0"/>
              <w:rPr>
                <w:sz w:val="20"/>
                <w:szCs w:val="20"/>
                <w:color w:val="auto"/>
              </w:rPr>
            </w:pPr>
            <w:r>
              <w:rPr>
                <w:rFonts w:ascii="Times New Roman" w:cs="Times New Roman" w:eastAsia="Times New Roman" w:hAnsi="Times New Roman"/>
                <w:sz w:val="18"/>
                <w:szCs w:val="18"/>
                <w:color w:val="auto"/>
                <w:w w:val="96"/>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0.2</w:t>
            </w:r>
          </w:p>
        </w:tc>
      </w:tr>
      <w:tr>
        <w:trPr>
          <w:trHeight w:val="234"/>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net revenue</w:t>
            </w:r>
          </w:p>
        </w:tc>
        <w:tc>
          <w:tcPr>
            <w:tcW w:w="180" w:type="dxa"/>
            <w:vAlign w:val="bottom"/>
          </w:tcPr>
          <w:p>
            <w:pPr>
              <w:spacing w:after="0"/>
              <w:rPr>
                <w:sz w:val="20"/>
                <w:szCs w:val="20"/>
                <w:color w:val="auto"/>
              </w:rPr>
            </w:pPr>
          </w:p>
        </w:tc>
        <w:tc>
          <w:tcPr>
            <w:tcW w:w="264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bl>
    <w:p>
      <w:pPr>
        <w:spacing w:after="0" w:line="32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Amortization expense of intangible assets was consistent for the three months ended December 27, 2024, as compared with the corresponding period in fiscal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Impairment, and Other Charges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00" w:type="dxa"/>
            <w:vAlign w:val="bottom"/>
            <w:tcBorders>
              <w:bottom w:val="single" w:sz="8" w:color="auto"/>
            </w:tcBorders>
          </w:tcPr>
          <w:p>
            <w:pPr>
              <w:spacing w:after="0"/>
              <w:rPr>
                <w:sz w:val="18"/>
                <w:szCs w:val="18"/>
                <w:color w:val="auto"/>
              </w:rPr>
            </w:pPr>
          </w:p>
        </w:tc>
      </w:tr>
      <w:tr>
        <w:trPr>
          <w:trHeight w:val="211"/>
        </w:trPr>
        <w:tc>
          <w:tcPr>
            <w:tcW w:w="6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(dollars in millions)</w:t>
            </w: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27, 2024</w:t>
            </w:r>
          </w:p>
        </w:tc>
        <w:tc>
          <w:tcPr>
            <w:tcW w:w="1200" w:type="dxa"/>
            <w:vAlign w:val="bottom"/>
            <w:tcBorders>
              <w:bottom w:val="single" w:sz="8" w:color="auto"/>
            </w:tcBorders>
          </w:tcPr>
          <w:p>
            <w:pPr>
              <w:jc w:val="center"/>
              <w:ind w:left="236"/>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3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December 29, 2023</w:t>
            </w:r>
          </w:p>
        </w:tc>
      </w:tr>
      <w:tr>
        <w:trPr>
          <w:trHeight w:val="225"/>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impairment, and other charges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1.6</w:t>
            </w:r>
          </w:p>
        </w:tc>
        <w:tc>
          <w:tcPr>
            <w:tcW w:w="1200" w:type="dxa"/>
            <w:vAlign w:val="bottom"/>
            <w:shd w:val="clear" w:color="auto" w:fill="CCEEFF"/>
          </w:tcPr>
          <w:p>
            <w:pPr>
              <w:jc w:val="center"/>
              <w:ind w:left="256"/>
              <w:spacing w:after="0"/>
              <w:rPr>
                <w:sz w:val="20"/>
                <w:szCs w:val="20"/>
                <w:color w:val="auto"/>
              </w:rPr>
            </w:pPr>
            <w:r>
              <w:rPr>
                <w:rFonts w:ascii="Times New Roman" w:cs="Times New Roman" w:eastAsia="Times New Roman" w:hAnsi="Times New Roman"/>
                <w:sz w:val="18"/>
                <w:szCs w:val="18"/>
                <w:color w:val="auto"/>
                <w:w w:val="99"/>
              </w:rPr>
              <w:t>(90.1)%</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16.2</w:t>
            </w:r>
          </w:p>
        </w:tc>
      </w:tr>
      <w:tr>
        <w:trPr>
          <w:trHeight w:val="234"/>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net revenue</w:t>
            </w:r>
          </w:p>
        </w:tc>
        <w:tc>
          <w:tcPr>
            <w:tcW w:w="180" w:type="dxa"/>
            <w:vAlign w:val="bottom"/>
          </w:tcPr>
          <w:p>
            <w:pPr>
              <w:spacing w:after="0"/>
              <w:rPr>
                <w:sz w:val="20"/>
                <w:szCs w:val="20"/>
                <w:color w:val="auto"/>
              </w:rPr>
            </w:pPr>
          </w:p>
        </w:tc>
        <w:tc>
          <w:tcPr>
            <w:tcW w:w="264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0.2 %</w:t>
            </w:r>
          </w:p>
        </w:tc>
        <w:tc>
          <w:tcPr>
            <w:tcW w:w="34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r>
    </w:tbl>
    <w:p>
      <w:pPr>
        <w:spacing w:after="0" w:line="32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decrease in restructuring, impairment, and other charges for the three months ended December 27, 2024 was primarily due to the abandonment of a previously capitalized IPR&amp;D project during the corresponding period in fiscal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00" w:type="dxa"/>
            <w:vAlign w:val="bottom"/>
            <w:tcBorders>
              <w:bottom w:val="single" w:sz="8" w:color="auto"/>
            </w:tcBorders>
          </w:tcPr>
          <w:p>
            <w:pPr>
              <w:spacing w:after="0"/>
              <w:rPr>
                <w:sz w:val="18"/>
                <w:szCs w:val="18"/>
                <w:color w:val="auto"/>
              </w:rPr>
            </w:pPr>
          </w:p>
        </w:tc>
      </w:tr>
      <w:tr>
        <w:trPr>
          <w:trHeight w:val="211"/>
        </w:trPr>
        <w:tc>
          <w:tcPr>
            <w:tcW w:w="6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(dollars in millions)</w:t>
            </w: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27, 2024</w:t>
            </w:r>
          </w:p>
        </w:tc>
        <w:tc>
          <w:tcPr>
            <w:tcW w:w="1200" w:type="dxa"/>
            <w:vAlign w:val="bottom"/>
            <w:tcBorders>
              <w:bottom w:val="single" w:sz="8" w:color="auto"/>
            </w:tcBorders>
          </w:tcPr>
          <w:p>
            <w:pPr>
              <w:jc w:val="center"/>
              <w:ind w:left="236"/>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3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December 29, 2023</w:t>
            </w:r>
          </w:p>
        </w:tc>
      </w:tr>
      <w:tr>
        <w:trPr>
          <w:trHeight w:val="225"/>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6.8</w:t>
            </w:r>
          </w:p>
        </w:tc>
        <w:tc>
          <w:tcPr>
            <w:tcW w:w="1200" w:type="dxa"/>
            <w:vAlign w:val="bottom"/>
            <w:shd w:val="clear" w:color="auto" w:fill="CCEEFF"/>
          </w:tcPr>
          <w:p>
            <w:pPr>
              <w:jc w:val="center"/>
              <w:ind w:left="256"/>
              <w:spacing w:after="0"/>
              <w:rPr>
                <w:sz w:val="20"/>
                <w:szCs w:val="20"/>
                <w:color w:val="auto"/>
              </w:rPr>
            </w:pPr>
            <w:r>
              <w:rPr>
                <w:rFonts w:ascii="Times New Roman" w:cs="Times New Roman" w:eastAsia="Times New Roman" w:hAnsi="Times New Roman"/>
                <w:sz w:val="18"/>
                <w:szCs w:val="18"/>
                <w:color w:val="auto"/>
                <w:w w:val="99"/>
              </w:rPr>
              <w:t>(32.0)%</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10.0</w:t>
            </w:r>
          </w:p>
        </w:tc>
      </w:tr>
      <w:tr>
        <w:trPr>
          <w:trHeight w:val="234"/>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net revenue</w:t>
            </w:r>
          </w:p>
        </w:tc>
        <w:tc>
          <w:tcPr>
            <w:tcW w:w="180" w:type="dxa"/>
            <w:vAlign w:val="bottom"/>
          </w:tcPr>
          <w:p>
            <w:pPr>
              <w:spacing w:after="0"/>
              <w:rPr>
                <w:sz w:val="20"/>
                <w:szCs w:val="20"/>
                <w:color w:val="auto"/>
              </w:rPr>
            </w:pPr>
          </w:p>
        </w:tc>
        <w:tc>
          <w:tcPr>
            <w:tcW w:w="264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0.6 %</w:t>
            </w:r>
          </w:p>
        </w:tc>
        <w:tc>
          <w:tcPr>
            <w:tcW w:w="34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0.8 %</w:t>
            </w:r>
          </w:p>
        </w:tc>
      </w:tr>
    </w:tbl>
    <w:p>
      <w:pPr>
        <w:spacing w:after="0" w:line="3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decrease in interest expense for the three months ended December 27, 2024, as compared with the corresponding period in fiscal 2024, was due to certain debt repayments in prior periods that reduced the amount of outstanding indebtedness.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00" w:type="dxa"/>
            <w:vAlign w:val="bottom"/>
            <w:tcBorders>
              <w:bottom w:val="single" w:sz="8" w:color="auto"/>
            </w:tcBorders>
          </w:tcPr>
          <w:p>
            <w:pPr>
              <w:spacing w:after="0"/>
              <w:rPr>
                <w:sz w:val="18"/>
                <w:szCs w:val="18"/>
                <w:color w:val="auto"/>
              </w:rPr>
            </w:pPr>
          </w:p>
        </w:tc>
      </w:tr>
      <w:tr>
        <w:trPr>
          <w:trHeight w:val="211"/>
        </w:trPr>
        <w:tc>
          <w:tcPr>
            <w:tcW w:w="6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(dollars in millions)</w:t>
            </w: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27, 2024</w:t>
            </w:r>
          </w:p>
        </w:tc>
        <w:tc>
          <w:tcPr>
            <w:tcW w:w="1200" w:type="dxa"/>
            <w:vAlign w:val="bottom"/>
            <w:tcBorders>
              <w:bottom w:val="single" w:sz="8" w:color="auto"/>
            </w:tcBorders>
          </w:tcPr>
          <w:p>
            <w:pPr>
              <w:jc w:val="center"/>
              <w:ind w:left="236"/>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3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29, 2023</w:t>
            </w:r>
          </w:p>
        </w:tc>
      </w:tr>
      <w:tr>
        <w:trPr>
          <w:trHeight w:val="225"/>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200" w:type="dxa"/>
            <w:vAlign w:val="bottom"/>
            <w:shd w:val="clear" w:color="auto" w:fill="CCEEFF"/>
          </w:tcPr>
          <w:p>
            <w:pPr>
              <w:jc w:val="center"/>
              <w:ind w:left="236"/>
              <w:spacing w:after="0"/>
              <w:rPr>
                <w:sz w:val="20"/>
                <w:szCs w:val="20"/>
                <w:color w:val="auto"/>
              </w:rPr>
            </w:pPr>
            <w:r>
              <w:rPr>
                <w:rFonts w:ascii="Times New Roman" w:cs="Times New Roman" w:eastAsia="Times New Roman" w:hAnsi="Times New Roman"/>
                <w:sz w:val="18"/>
                <w:szCs w:val="18"/>
                <w:color w:val="auto"/>
              </w:rPr>
              <w:t>373.5%</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3.4</w:t>
            </w:r>
          </w:p>
        </w:tc>
      </w:tr>
      <w:tr>
        <w:trPr>
          <w:trHeight w:val="234"/>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net revenue</w:t>
            </w:r>
          </w:p>
        </w:tc>
        <w:tc>
          <w:tcPr>
            <w:tcW w:w="180" w:type="dxa"/>
            <w:vAlign w:val="bottom"/>
          </w:tcPr>
          <w:p>
            <w:pPr>
              <w:spacing w:after="0"/>
              <w:rPr>
                <w:sz w:val="20"/>
                <w:szCs w:val="20"/>
                <w:color w:val="auto"/>
              </w:rPr>
            </w:pPr>
          </w:p>
        </w:tc>
        <w:tc>
          <w:tcPr>
            <w:tcW w:w="2640" w:type="dxa"/>
            <w:vAlign w:val="bottom"/>
            <w:gridSpan w:val="2"/>
          </w:tcPr>
          <w:p>
            <w:pPr>
              <w:jc w:val="right"/>
              <w:ind w:right="956"/>
              <w:spacing w:after="0"/>
              <w:rPr>
                <w:sz w:val="20"/>
                <w:szCs w:val="20"/>
                <w:color w:val="auto"/>
              </w:rPr>
            </w:pPr>
            <w:r>
              <w:rPr>
                <w:rFonts w:ascii="Times New Roman" w:cs="Times New Roman" w:eastAsia="Times New Roman" w:hAnsi="Times New Roman"/>
                <w:sz w:val="18"/>
                <w:szCs w:val="18"/>
                <w:color w:val="auto"/>
              </w:rPr>
              <w:t>1.5 %</w:t>
            </w:r>
          </w:p>
        </w:tc>
        <w:tc>
          <w:tcPr>
            <w:tcW w:w="340" w:type="dxa"/>
            <w:vAlign w:val="bottom"/>
          </w:tcPr>
          <w:p>
            <w:pPr>
              <w:spacing w:after="0"/>
              <w:rPr>
                <w:sz w:val="20"/>
                <w:szCs w:val="20"/>
                <w:color w:val="auto"/>
              </w:rPr>
            </w:pPr>
          </w:p>
        </w:tc>
        <w:tc>
          <w:tcPr>
            <w:tcW w:w="1600" w:type="dxa"/>
            <w:vAlign w:val="bottom"/>
          </w:tcPr>
          <w:p>
            <w:pPr>
              <w:ind w:left="1160"/>
              <w:spacing w:after="0"/>
              <w:rPr>
                <w:sz w:val="20"/>
                <w:szCs w:val="20"/>
                <w:color w:val="auto"/>
              </w:rPr>
            </w:pPr>
            <w:r>
              <w:rPr>
                <w:rFonts w:ascii="Times New Roman" w:cs="Times New Roman" w:eastAsia="Times New Roman" w:hAnsi="Times New Roman"/>
                <w:sz w:val="18"/>
                <w:szCs w:val="18"/>
                <w:color w:val="auto"/>
                <w:w w:val="99"/>
              </w:rPr>
              <w:t>0.3 %</w:t>
            </w:r>
          </w:p>
        </w:tc>
      </w:tr>
    </w:tbl>
    <w:p>
      <w:pPr>
        <w:spacing w:after="0" w:line="30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in other income, net for the three months ended December 27, 2024, as compared with the corresponding period in fiscal 2024, was primarily due to an increase in interest income generated from cash, cash equivalents, and marketable securities.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00" w:type="dxa"/>
            <w:vAlign w:val="bottom"/>
            <w:tcBorders>
              <w:bottom w:val="single" w:sz="8" w:color="auto"/>
            </w:tcBorders>
          </w:tcPr>
          <w:p>
            <w:pPr>
              <w:spacing w:after="0"/>
              <w:rPr>
                <w:sz w:val="18"/>
                <w:szCs w:val="18"/>
                <w:color w:val="auto"/>
              </w:rPr>
            </w:pPr>
          </w:p>
        </w:tc>
      </w:tr>
      <w:tr>
        <w:trPr>
          <w:trHeight w:val="211"/>
        </w:trPr>
        <w:tc>
          <w:tcPr>
            <w:tcW w:w="6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(dollars in millions)</w:t>
            </w: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27, 2024</w:t>
            </w:r>
          </w:p>
        </w:tc>
        <w:tc>
          <w:tcPr>
            <w:tcW w:w="1200" w:type="dxa"/>
            <w:vAlign w:val="bottom"/>
            <w:tcBorders>
              <w:bottom w:val="single" w:sz="8" w:color="auto"/>
            </w:tcBorders>
          </w:tcPr>
          <w:p>
            <w:pPr>
              <w:jc w:val="center"/>
              <w:ind w:left="236"/>
              <w:spacing w:after="0"/>
              <w:rPr>
                <w:sz w:val="20"/>
                <w:szCs w:val="20"/>
                <w:color w:val="auto"/>
              </w:rPr>
            </w:pPr>
            <w:r>
              <w:rPr>
                <w:rFonts w:ascii="Times New Roman" w:cs="Times New Roman" w:eastAsia="Times New Roman" w:hAnsi="Times New Roman"/>
                <w:sz w:val="16"/>
                <w:szCs w:val="16"/>
                <w:b w:val="1"/>
                <w:bCs w:val="1"/>
                <w:color w:val="auto"/>
                <w:w w:val="99"/>
              </w:rPr>
              <w:t>Change</w:t>
            </w:r>
          </w:p>
        </w:tc>
        <w:tc>
          <w:tcPr>
            <w:tcW w:w="3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December 29, 2023</w:t>
            </w:r>
          </w:p>
        </w:tc>
      </w:tr>
      <w:tr>
        <w:trPr>
          <w:trHeight w:val="225"/>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200" w:type="dxa"/>
            <w:vAlign w:val="bottom"/>
            <w:shd w:val="clear" w:color="auto" w:fill="CCEEFF"/>
          </w:tcPr>
          <w:p>
            <w:pPr>
              <w:jc w:val="center"/>
              <w:ind w:left="256"/>
              <w:spacing w:after="0"/>
              <w:rPr>
                <w:sz w:val="20"/>
                <w:szCs w:val="20"/>
                <w:color w:val="auto"/>
              </w:rPr>
            </w:pPr>
            <w:r>
              <w:rPr>
                <w:rFonts w:ascii="Times New Roman" w:cs="Times New Roman" w:eastAsia="Times New Roman" w:hAnsi="Times New Roman"/>
                <w:sz w:val="18"/>
                <w:szCs w:val="18"/>
                <w:color w:val="auto"/>
                <w:w w:val="98"/>
              </w:rPr>
              <w:t>39.2%</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20.4</w:t>
            </w:r>
          </w:p>
        </w:tc>
      </w:tr>
      <w:tr>
        <w:trPr>
          <w:trHeight w:val="234"/>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net revenue</w:t>
            </w:r>
          </w:p>
        </w:tc>
        <w:tc>
          <w:tcPr>
            <w:tcW w:w="180" w:type="dxa"/>
            <w:vAlign w:val="bottom"/>
          </w:tcPr>
          <w:p>
            <w:pPr>
              <w:spacing w:after="0"/>
              <w:rPr>
                <w:sz w:val="20"/>
                <w:szCs w:val="20"/>
                <w:color w:val="auto"/>
              </w:rPr>
            </w:pPr>
          </w:p>
        </w:tc>
        <w:tc>
          <w:tcPr>
            <w:tcW w:w="2640" w:type="dxa"/>
            <w:vAlign w:val="bottom"/>
            <w:gridSpan w:val="2"/>
          </w:tcPr>
          <w:p>
            <w:pPr>
              <w:jc w:val="right"/>
              <w:ind w:right="956"/>
              <w:spacing w:after="0"/>
              <w:rPr>
                <w:sz w:val="20"/>
                <w:szCs w:val="20"/>
                <w:color w:val="auto"/>
              </w:rPr>
            </w:pPr>
            <w:r>
              <w:rPr>
                <w:rFonts w:ascii="Times New Roman" w:cs="Times New Roman" w:eastAsia="Times New Roman" w:hAnsi="Times New Roman"/>
                <w:sz w:val="18"/>
                <w:szCs w:val="18"/>
                <w:color w:val="auto"/>
              </w:rPr>
              <w:t>2.7 %</w:t>
            </w:r>
          </w:p>
        </w:tc>
        <w:tc>
          <w:tcPr>
            <w:tcW w:w="34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r>
    </w:tbl>
    <w:p>
      <w:pPr>
        <w:spacing w:after="0" w:line="32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recorded a provision for income taxes of $28.4 million (which consisted of $15.1 million and $13.3 million related to United States and foreign income taxes, respectively) for the three months ended December 27, 2024.</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income tax expense for the three months ended December 27, 2024, as compared with the corresponding period in fiscal 2024, was primarily due to higher foreign taxes and a lower Foreign-Derived Intangible Income (“FDII”) benefit, partially offset by a decrease in Global Intangible Low-Taxed Income (“GILTI”), net of foreign tax credits, and a decrease in tax expense related to a change in the reserve for uncertain tax positions.</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Company operates under a tax holiday in Singapore, which is effective through September 30, 2025, with the ability to extend through September 30, 2030. The current tax holiday is conditioned upon the Company’s compliance with certain conditions, including employment and investment thresholds in Singapore. The Company is currently re-assessing the structure of the tax holiday including certain compliance thresholds for fiscal 2025. As a result, we expect foreign taxes to increase in fiscal 2025.</w:t>
      </w:r>
    </w:p>
    <w:p>
      <w:pPr>
        <w:spacing w:after="0" w:line="2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continue to monitor changes in tax laws that could arise related to the BEPS project of the OECD, including Pillar Two. Many countries have implemented laws based on Pillar Two which is effective for us beginning in fiscal 2025. While we do not expect these enacted laws to materially impact our effective tax rate for fiscal 2025, we continue to evaluate the impact of proposed and enacted legislative changes to our effective tax rate as new guidance becomes available.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400" w:type="dxa"/>
            <w:vAlign w:val="bottom"/>
            <w:tcBorders>
              <w:bottom w:val="single" w:sz="8" w:color="auto"/>
            </w:tcBorders>
            <w:gridSpan w:val="4"/>
          </w:tcPr>
          <w:p>
            <w:pPr>
              <w:jc w:val="right"/>
              <w:ind w:right="952"/>
              <w:spacing w:after="0"/>
              <w:rPr>
                <w:sz w:val="20"/>
                <w:szCs w:val="20"/>
                <w:color w:val="auto"/>
              </w:rPr>
            </w:pPr>
            <w:r>
              <w:rPr>
                <w:rFonts w:ascii="Times New Roman" w:cs="Times New Roman" w:eastAsia="Times New Roman" w:hAnsi="Times New Roman"/>
                <w:sz w:val="16"/>
                <w:szCs w:val="16"/>
                <w:b w:val="1"/>
                <w:bCs w:val="1"/>
                <w:color w:val="auto"/>
              </w:rPr>
              <w:t>Three Months Ended</w:t>
            </w:r>
          </w:p>
        </w:tc>
      </w:tr>
      <w:tr>
        <w:trPr>
          <w:trHeight w:val="211"/>
        </w:trPr>
        <w:tc>
          <w:tcPr>
            <w:tcW w:w="7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60" w:type="dxa"/>
            <w:vAlign w:val="bottom"/>
          </w:tcPr>
          <w:p>
            <w:pPr>
              <w:spacing w:after="0"/>
              <w:rPr>
                <w:sz w:val="18"/>
                <w:szCs w:val="18"/>
                <w:color w:val="auto"/>
              </w:rPr>
            </w:pPr>
          </w:p>
        </w:tc>
        <w:tc>
          <w:tcPr>
            <w:tcW w:w="16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27, 2024</w:t>
            </w:r>
          </w:p>
        </w:tc>
        <w:tc>
          <w:tcPr>
            <w:tcW w:w="160" w:type="dxa"/>
            <w:vAlign w:val="bottom"/>
          </w:tcPr>
          <w:p>
            <w:pPr>
              <w:spacing w:after="0"/>
              <w:rPr>
                <w:sz w:val="18"/>
                <w:szCs w:val="18"/>
                <w:color w:val="auto"/>
              </w:rPr>
            </w:pPr>
          </w:p>
        </w:tc>
        <w:tc>
          <w:tcPr>
            <w:tcW w:w="1560" w:type="dxa"/>
            <w:vAlign w:val="bottom"/>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December 29, 2023</w:t>
            </w:r>
          </w:p>
        </w:tc>
      </w:tr>
      <w:tr>
        <w:trPr>
          <w:trHeight w:val="225"/>
        </w:trPr>
        <w:tc>
          <w:tcPr>
            <w:tcW w:w="7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718.8</w:t>
            </w:r>
          </w:p>
        </w:tc>
      </w:tr>
      <w:tr>
        <w:trPr>
          <w:trHeight w:val="230"/>
        </w:trPr>
        <w:tc>
          <w:tcPr>
            <w:tcW w:w="7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774.9</w:t>
            </w:r>
          </w:p>
        </w:tc>
      </w:tr>
      <w:tr>
        <w:trPr>
          <w:trHeight w:val="229"/>
        </w:trPr>
        <w:tc>
          <w:tcPr>
            <w:tcW w:w="7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r>
      <w:tr>
        <w:trPr>
          <w:trHeight w:val="229"/>
        </w:trPr>
        <w:tc>
          <w:tcPr>
            <w:tcW w:w="76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(440.5)</w:t>
            </w:r>
          </w:p>
        </w:tc>
      </w:tr>
      <w:tr>
        <w:trPr>
          <w:trHeight w:val="248"/>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1,029.7</w:t>
            </w: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provided by operating activities: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Cash provided by operating activities consists of net income for the period adjusted for certain non-cash items and changes in certain operating assets and liabilities. The $397.7 million decrease in cash provided by operating activities during the three months ended December 27, 2024, as compared with the corresponding period in fiscal 2024, was primarily related to decreases in working capital of $315.3 million, due primarily to unfavorable changes in accounts receivables and inventory, and lower net income.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provided by investing activities: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Cash provided by investing activities consists primarily of cash received related to the sale or maturity of marketable securities, partially offset by cash paid to purchase marketable securities, capital expenditures, and cash paid to acquire intangible assets. The increase in cash provided by investing activities during the three months ended December 27, 2024, as compared with the corresponding period in fiscal 2024, was primarily related to an increase of $201.7 million in the sale or maturity of marketable securities, partially offset by an increase of $149.6 million in purchases of marketable securities and an increase of $16.8 million in capital expenditures.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used in financing activities: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Cash used in financing activities consists primarily of proceeds and payments related to our long-term borrowings and cash transactions related to equity. The $289.7 million decrease in cash used in financing activities during the three months ended December 27, 2024, as compared with the corresponding period in fiscal 2024, was primarily related to a decrease of $300.0 million for the repayment of debt, partially offset by an increase of $5.6 million in payroll tax withholdings on equity awards and an increase of $3.6 million in dividend payments.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cash equivalents, and marketable securities totaled $1,754.8 million as of December 27, 2024, representing an increase of $180.7 million from September 27, 2024.</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outstanding $500.0 million of Notes Due 2026 and $500.0 million of Notes Due 2031 (the “Notes”). We have a Revolving Credit Agreement (the “Revolving Credit Agreement”) under which we may borrow up to $750.0 million for general corporate purposes and working capital needs of the Company and its subsidiaries. As of December 27, 2024, there were no borrowings outstanding under the revolving credit facility (the “Revolver”). The Revolving Credit Agreement expires July 26, 2026.</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our historical results of operations, we expect that our cash, cash equivalents, and marketable securities on hand, the cash we expect to generate from operations, and funds from our Revolver, will be sufficient to fund our short-term and long-term</w:t>
      </w: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liquidity requirements primarily arising from: research and development, capital expenditures, potential acquisitions, working capital, quarterly cash dividend payments (if such dividends are declared by the Board of Directors), share repurchases, outstanding commitments, and other liquidity requirements associated with existing operations. However, we cannot be certain that our cash on hand, cash generated from operations, and funds from our Revolver will be available in the future to fund all of our capital and operating requirements. In addition, any future strategic investments and significant acquisitions may require additional cash and capital resources. If we are unable to obtain sufficient cash or capital to meet our needs on a timely basis and on favorable terms, our business and operations could be materially and adversely affected.</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invested cash balances primarily consist of highly liquid marketable securities that are available to meet near-term cash requirements including: money market funds, U.S. Treasury and government securities, corporate bonds and notes, and municipal bonds.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contractual obligations disclosure in the 2024 10-K has not materially changed since we filed that report.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subject to overall financial market risks, such as changes in market liquidity, credit quality, investment risk, interest rate risk, and foreign exchange rate risk as described below.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and Interest Rate Risk</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exposure to interest rate and general market risks relates to our investment portfolio. Our investment portfolio consists of cash and cash equivalents (money market funds, corporate bonds and notes, and U.S. Treasury and government securities purchased with less than ninety days until maturity) that total approximately $1,602.5 million, and marketable securities (U.S. Treasury and government securities and corporate bonds and notes) that total approximately $136.7 million and $15.6 million within short-term and long-term marketable securities, respectively, as of December 27, 2024.</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main objectives of our investment activities are liquidity and preservation of capital. Our cash equivalent investments have short-term maturity periods that dampen the impact of market or interest rate risk. Our marketable securities have short-term and long-term maturity periods between 90 days and two years. Credit risk associated with our investments is not material because our investments are diversified across several types of securities with high credit ratings, which reduces the amount of credit exposure to any one investment.</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our results of operations for the three months ended December 27, 2024, a hypothetical reduction in the interest rates on our cash, cash equivalents, and other investments of 100 basis points would result in an immaterial reduction of interest income with a de minimis impact on income before taxes.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believe that investment or interest rate risks currently pose material exposures to our business or results of operations.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Rate Risk</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Substantially all sales to customers and arrangements with third-party manufacturers provide for pricing and payment in United States dollars, thereby reducing the impact of foreign exchange rate fluctuations on our results. A percentage of our international operational expenses are denominated in foreign currencies, and exchange rate volatility could positively or negatively impact those operating costs. Increases in the value of the United States dollar relative to other currencies could make our products more expensive, which could negatively impact our ability to compete. Conversely, decreases in the value of the United States dollar relative to other currencies could result in our suppliers raising their prices to continue doing business with us. Given the relatively small number of customers and arrangements with third-party manufacturers denominated in foreign currencies, we do not believe that foreign exchange volatility has a material impact on our current business or results of operations. However, fluctuations in currency exchange rates could have a greater effect on our business or results of operations in the future to the extent our expenses increasingly become denominated in foreign currencies.</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enter into foreign currency forward and options contracts with financial institutions to protect against foreign exchange risks associated with certain existing assets and liabilities, certain firmly committed transactions, forecasted future cash flows, and net investments in foreign subsidiaries. However, we may choose not to hedge certain foreign exchange exposures for a variety of reasons, including, but not limited to, accounting considerations and the prohibitive economic cost of hedging particular exposures. For the three months ended December 27, 2024 and December 29, 2023, we had not entered into any outstanding foreign currency forward or options contracts with financial institutions.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our disclosure controls and procedures as of December 27, 2024.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well-designed and operated, can provide only reasonable assurance of achieving their objectives, and management necessarily applies its judgment in evaluating the cost-benefit relationship of possible controls and procedures. Based on management’s evaluation of our disclosure controls and procedures as of December 27, 2024, our chief executive officer and chief financial officer concluded that, as of such date, our disclosure controls and procedures were effective at the reasonable assurance level.</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are no changes to our internal control over financial reporting (as defined in Rules 13a-15(f) and 15d-15(f) of the Exchange Act) that occurred during the first quarter of fiscal 2025 that have materially affected or are reasonably likely to materially affect our internal control over financial reporting.</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9 of the Notes to Consolidated Financial Statements for a detailed discussion.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to the risk factors set forth below and the other information set forth in this Quarterly Report on Form 10-Q, you should carefully consider the factors discussed in Part I, Item 1A Risk Factors in the 2024 10-K, which could materially affect our business, financial condition, or future results.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upcoming chief executive officer transition is not successful, our business and future growth prospects could be harmed.</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4, 2025, we appointed Philip Brace as our Chief Executive Officer (“CEO”), effective February 17, 2025. Any significant leadership change involves inherent risk, including potential disruptions to our operations or relationships with customers, suppliers, and key employees, and can be inherently difficult to implement. If the transition to our new CEO is not successful for any reason, it could have an adverse impact on our business.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risks of doing business internationally apply to all aspects of our operations.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derive significant revenues from customers located outside the United States, primarily in countries located in the Asia-Pacific region and Europe. We have suppliers located outside the United States, including third-party packaging, assembly, and test facilities and semiconductor foundries located in the Asia-Pacific region. We also operate our own wafer processing facilities in Osaka, Japan, as well as packaging, assembly, and test facilities in Singapore and in Mexicali, Mexico. Our international sales and operations are subject to a number of risks inherent in selling and operating in multiple jurisdictions. These include, but are not limited to, risks regarding:</w:t>
      </w:r>
    </w:p>
    <w:p>
      <w:pPr>
        <w:spacing w:after="0" w:line="75"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recession or economic downturn globally or in the jurisdictions in which we do business,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controls and currency exchange rate fluctuations, including increases or decreases in commodities prices related to such fluctuations,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or deflation, as well as changes in existing and expected rates of inflation or deflation, which may vary across the jurisdictions in which we do business,</w:t>
      </w: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rates, as well as changes in existing and expected interest rates, which may vary across the jurisdictions in which we do business,</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regional, and local economic and political conditions, including, but not limited to, social, economic, political, and supply chain instability related to the uncertainty regarding the relationships among the United States, China, Taiwan, Russia, Mexico, North Korea, Israel, other Middle Eastern countries, Japan, Singapore, Canada, and potentially other foreign countries, and the international community at large, as well as related to armed conflicts, such as the conflict between Russia and Ukraine and the conflicts in Israel and the Middle Eastern region, that exist, or in the future could exist, in various jurisdictions around the world,</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or changes to tariffs, including the tariffs announced in February 2025 by the United States with respect to Canada, China and Mexico, and any retaliatory tariffs or measures, including any taken by Canada, China or Mexico, including countermeasures by China announced in February 2025, that could negatively impact trade between, or increase the cost of operating in, or increase the cost of or negatively impact the demand for our products or our customers’ products in, the countries in which we or our customers do business,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restrictive or punitive governmental actions (such as restrictions on transfer of funds, restrictions on individuals’ movement, including travel restrictions, quarantines, lockdowns, and curfews, trade protection measures, including export duties, quotas, customs duties, border taxes, border closures, increased import or export controls, export licenses, and restrictions on the purchase of products made or containing technology or components from certain companies or from companies located in certain jurisdictions), or actions by non-governmental individuals and groups (such as protests, boycotts, insurgencies, organized crime, and general civil unrest), that could negatively impact trade between, or increase the cost of operating in, the countries in which we do business,</w:t>
      </w:r>
    </w:p>
    <w:p>
      <w:pPr>
        <w:spacing w:after="0" w:line="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market conditions and laws,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of capital and trading markets,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collecting, or failure to collect, accounts receivable, as well as longer collection periods,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or non-compliance with, legal or regulatory import/export requirements, including restrictions on selling to certain customers or into certain jurisdictions,</w:t>
      </w:r>
    </w:p>
    <w:p>
      <w:pPr>
        <w:ind w:left="660" w:hanging="328"/>
        <w:spacing w:after="0" w:line="260"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and severe weather events, including, but not limited to, earthquakes, wildfires, droughts, hurricanes, tsunamis, floods, rising sea levels, as well as other impacts of climate change,</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660" w:hanging="328"/>
        <w:spacing w:after="0" w:line="26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of terrorism, widespread illness, the effects of global health crises on business conditions in our industry or in the jurisdictions in which we do business, or other deterioration of public health conditions, and war,</w:t>
      </w:r>
    </w:p>
    <w:p>
      <w:pPr>
        <w:ind w:left="660" w:hanging="328"/>
        <w:spacing w:after="0" w:line="25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misappropriation or other unauthorized transfers of our information and breaches of our information systems, as well as the potential lack of adequate remedies or enforcement mechanisms in certain jurisdictions,</w:t>
      </w: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engaging distribution partners or obtaining sales or other business support in certain jurisdictions,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cultural differences in the conduct of business,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or indirect government actions, subsidies, or policies aimed at supporting local industry,</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laws and policies of the United States and other countries affecting trade, foreign investment and loans, foreign travel, and import or export licensing requirements, including, but not limited to, prohibitions on certain trade and other activities in China, Russia, Belarus, and portions of Ukraine,</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from, or renegotiation of, existing trade agreements by the United States (or other jurisdictions) potentially affecting Mexico, China, Canada, and other countries in which we do business,</w:t>
      </w: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current or future tax law or regulations or new interpretations thereof, by federal or state agencies or foreign governments,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effective tax rate as a result of our overall profitability and mix of earnings in countries with differing statutory tax rates,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audits and examination of previously filed tax returns,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ability under local laws to protect or enforce our intellectual property rights in a particular foreign jurisdiction.</w:t>
      </w:r>
    </w:p>
    <w:p>
      <w:pPr>
        <w:spacing w:after="0" w:line="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we are subject to risks in certain global markets in which wireless operators provide subsidies on handset sales to their customers. Increases in cellular handset prices that negatively impact handset sales can result from changes in regulatory policies or other factors, which could impact the demand for our products.</w:t>
      </w:r>
    </w:p>
    <w:p>
      <w:pPr>
        <w:spacing w:after="0" w:line="6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Some of the countries in which we operate and seek to expand are in emerging markets where legal systems may be less developed or familiar to us, potentially impacting our ability to obtain appropriate recourse in the event of a dispute. Other jurisdictions in which we conduct business have established, or may establish, legal and regulatory regimes that differ materially from United States laws and regulations. It is costly, time-consuming, and requires significant resources to comply with the numerous, and sometimes conflicting, legal regimes in the jurisdictions in which we conduct business on matters as diverse as anti-corruption, anti-bribery, import/export controls, content requirements, trade restrictions, tariffs, taxation, sanctions, immigration, intellectual property, sustainability, internal and disclosure control obligations, securities regulation, competition, data privacy and protection, employment, and labor relations. Violations of one or more of these legal regimes’ laws and regulations in the conduct of our business could result in significant fines, penalties, or monetary damages, criminal sanctions against us or our officers, prohibitions on doing business, unfavorable publicity and other reputational damage, restrictions on our ability to process information, and allegations by our counterparties that we have not performed our contractual obligations.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the risks of our and our customers and suppliers doing business in China.</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Demand from Chinese customers may be adversely affected by China’s evolving laws and regulations, including those relating to taxation, import and export tariffs and restrictions, currency controls, environmental regulations, privacy and information security, indigenous innovation, and intellectual property rights and enforcement of those rights. Enforcement of existing laws or agreements may be inconsistent, and the potential issuance of new laws and regulations creates uncertainty. In addition, changes in the political environment, economic environment, governmental policies, United States-China relations, or China-Taiwan relations could result in revisions to laws or regulations or their interpretation and enforcement, exposure of our intellectual property, increased taxation, restrictions on imports, import duties, or currency revaluations, any of which could have an adverse effect on our business plans and operating results. In particular, the imposition by the United States of new tariffs, including the tariffs announced in February 2025, on goods imported from China, or deemed to be of Chinese origin, and other government actions that restrict our ability to sell our products to Chinese customers or to manufacture or source components in China, and countermeasures imposed by China in response, including the countermeasures announced in February 2025, could directly or indirectly adversely impact our manufacturing costs, the availability and cost of materials, including gallium, germanium, antimony, tungsten, molybdenum, and rare earth metals, and the sales of our products in China, the United States and elsewhere. Such actions, including any threatened or actual tariffs and retaliatory measures, could also increase the prices of or negatively impact the demand for our customers’ products, which could negatively impact the sales of our products to those customers. In addition, the U.S. government has expanded export restrictions, and might continue expanding export restrictions, including by adding certain Chinese entities to the U.S. Bureau of Industry and Security’s Entity List (“Entity List”) or other entity lists, which has limited, and could in the future limit, our ability to sell to certain of those entities and to third parties that do business with those entities. These restrictions have negatively impacted, and may continue to negatively impact, sales of our products. In the future, we may be prevented from shipping, or be required to obtain a license to ship, our products to certain customers if they are added to the Entity List. In addition, geopolitical changes in China-Taiwan relations could disrupt the operations of several companies in Taiwan that are suppliers to, or third-party partners of, the Company, our customers, and our customers’ other</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suppliers. Disruption of certain critical operations in Taiwan would adversely affect our ability to manufacture certain products and would likely have substantial negative effects on the entire semiconductor industry. Finally, China’s investments in technology development and manufacturing capability in support of its stated policy of reducing its dependence on foreign semiconductor manufacturers and other technology companies has likely already resulted, and we expect will continue to result, in reduced demand for our products in China and other key markets as well as reduced supply of critical materials for our products.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regarding repurchases of common stock made during the three months ended December 27, 2024:</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0" w:type="dxa"/>
            <w:vAlign w:val="bottom"/>
          </w:tcPr>
          <w:p>
            <w:pPr>
              <w:spacing w:after="0"/>
              <w:rPr>
                <w:sz w:val="13"/>
                <w:szCs w:val="13"/>
                <w:color w:val="auto"/>
              </w:rPr>
            </w:pP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340" w:type="dxa"/>
            <w:vAlign w:val="bottom"/>
          </w:tcPr>
          <w:p>
            <w:pPr>
              <w:spacing w:after="0"/>
              <w:rPr>
                <w:sz w:val="13"/>
                <w:szCs w:val="13"/>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2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 Purchased as Part</w:t>
            </w:r>
          </w:p>
        </w:tc>
        <w:tc>
          <w:tcPr>
            <w:tcW w:w="3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40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6000" w:type="dxa"/>
            <w:vAlign w:val="bottom"/>
            <w:gridSpan w:val="2"/>
          </w:tcPr>
          <w:p>
            <w:pPr>
              <w:ind w:left="60"/>
              <w:spacing w:after="0" w:line="146" w:lineRule="exact"/>
              <w:rPr>
                <w:sz w:val="20"/>
                <w:szCs w:val="20"/>
                <w:color w:val="auto"/>
              </w:rPr>
            </w:pPr>
            <w:r>
              <w:rPr>
                <w:rFonts w:ascii="Times New Roman" w:cs="Times New Roman" w:eastAsia="Times New Roman" w:hAnsi="Times New Roman"/>
                <w:sz w:val="14"/>
                <w:szCs w:val="14"/>
                <w:b w:val="1"/>
                <w:bCs w:val="1"/>
                <w:color w:val="auto"/>
              </w:rPr>
              <w:t>of Publicly Announced Plans or Programs Approximate Dollar Value of Shares that May Yet Be</w:t>
            </w:r>
          </w:p>
        </w:tc>
        <w:tc>
          <w:tcPr>
            <w:tcW w:w="0" w:type="dxa"/>
            <w:vAlign w:val="bottom"/>
          </w:tcPr>
          <w:p>
            <w:pPr>
              <w:spacing w:after="0"/>
              <w:rPr>
                <w:sz w:val="1"/>
                <w:szCs w:val="1"/>
                <w:color w:val="auto"/>
              </w:rPr>
            </w:pPr>
          </w:p>
        </w:tc>
      </w:tr>
      <w:tr>
        <w:trPr>
          <w:trHeight w:val="198"/>
        </w:trPr>
        <w:tc>
          <w:tcPr>
            <w:tcW w:w="2000" w:type="dxa"/>
            <w:vAlign w:val="bottom"/>
            <w:tcBorders>
              <w:bottom w:val="single" w:sz="8" w:color="auto"/>
            </w:tcBorders>
            <w:vMerge w:val="continue"/>
          </w:tcPr>
          <w:p>
            <w:pPr>
              <w:spacing w:after="0"/>
              <w:rPr>
                <w:sz w:val="17"/>
                <w:szCs w:val="17"/>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3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(1)</w:t>
            </w:r>
          </w:p>
        </w:tc>
        <w:tc>
          <w:tcPr>
            <w:tcW w:w="3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 Under the Plans or Programs (1) (2)</w:t>
            </w:r>
          </w:p>
        </w:tc>
        <w:tc>
          <w:tcPr>
            <w:tcW w:w="0" w:type="dxa"/>
            <w:vAlign w:val="bottom"/>
          </w:tcPr>
          <w:p>
            <w:pPr>
              <w:spacing w:after="0"/>
              <w:rPr>
                <w:sz w:val="1"/>
                <w:szCs w:val="1"/>
                <w:color w:val="auto"/>
              </w:rPr>
            </w:pPr>
          </w:p>
        </w:tc>
      </w:tr>
      <w:tr>
        <w:trPr>
          <w:trHeight w:val="228"/>
        </w:trPr>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09/28/24 - 10/25/24</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shd w:val="clear" w:color="auto" w:fill="CCEEFF"/>
          </w:tcPr>
          <w:p>
            <w:pPr>
              <w:spacing w:after="0"/>
              <w:rPr>
                <w:sz w:val="19"/>
                <w:szCs w:val="19"/>
                <w:color w:val="auto"/>
              </w:rPr>
            </w:pP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$1.9 billion</w:t>
            </w:r>
          </w:p>
        </w:tc>
        <w:tc>
          <w:tcPr>
            <w:tcW w:w="0" w:type="dxa"/>
            <w:vAlign w:val="bottom"/>
          </w:tcPr>
          <w:p>
            <w:pPr>
              <w:spacing w:after="0"/>
              <w:rPr>
                <w:sz w:val="1"/>
                <w:szCs w:val="1"/>
                <w:color w:val="auto"/>
              </w:rPr>
            </w:pPr>
          </w:p>
        </w:tc>
      </w:tr>
      <w:tr>
        <w:trPr>
          <w:trHeight w:val="229"/>
        </w:trPr>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10/26/24 - 11/22/24</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428,369</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$89.42</w:t>
            </w: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$1.9 billion</w:t>
            </w:r>
          </w:p>
        </w:tc>
        <w:tc>
          <w:tcPr>
            <w:tcW w:w="0" w:type="dxa"/>
            <w:vAlign w:val="bottom"/>
          </w:tcPr>
          <w:p>
            <w:pPr>
              <w:spacing w:after="0"/>
              <w:rPr>
                <w:sz w:val="1"/>
                <w:szCs w:val="1"/>
                <w:color w:val="auto"/>
              </w:rPr>
            </w:pPr>
          </w:p>
        </w:tc>
      </w:tr>
      <w:tr>
        <w:trPr>
          <w:trHeight w:val="230"/>
        </w:trPr>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11/23/24 - 12/27/24</w:t>
            </w:r>
          </w:p>
        </w:tc>
        <w:tc>
          <w:tcPr>
            <w:tcW w:w="14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shd w:val="clear" w:color="auto" w:fill="CCEEFF"/>
          </w:tcPr>
          <w:p>
            <w:pPr>
              <w:spacing w:after="0"/>
              <w:rPr>
                <w:sz w:val="19"/>
                <w:szCs w:val="19"/>
                <w:color w:val="auto"/>
              </w:rPr>
            </w:pP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7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$1.9 billion</w:t>
            </w:r>
          </w:p>
        </w:tc>
        <w:tc>
          <w:tcPr>
            <w:tcW w:w="0" w:type="dxa"/>
            <w:vAlign w:val="bottom"/>
          </w:tcPr>
          <w:p>
            <w:pPr>
              <w:spacing w:after="0"/>
              <w:rPr>
                <w:sz w:val="1"/>
                <w:szCs w:val="1"/>
                <w:color w:val="auto"/>
              </w:rPr>
            </w:pPr>
          </w:p>
        </w:tc>
      </w:tr>
      <w:tr>
        <w:trPr>
          <w:trHeight w:val="223"/>
        </w:trPr>
        <w:tc>
          <w:tcPr>
            <w:tcW w:w="2000" w:type="dxa"/>
            <w:vAlign w:val="bottom"/>
          </w:tcPr>
          <w:p>
            <w:pPr>
              <w:spacing w:after="0"/>
              <w:rPr>
                <w:sz w:val="19"/>
                <w:szCs w:val="19"/>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428,369</w:t>
            </w:r>
          </w:p>
        </w:tc>
        <w:tc>
          <w:tcPr>
            <w:tcW w:w="3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3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firstLine="8"/>
        <w:spacing w:after="0" w:line="255" w:lineRule="auto"/>
        <w:tabs>
          <w:tab w:leader="none" w:pos="26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 repurchase program approved by the Board of Directors on January 31, 2023 authorized the repurchase of up to $2.0 billion of our common stock from time to time on the open market or in privately negotiated transactions, in compliance with applicable securities laws and other legal requirements, and expired on February 1, 2025. On February 4, 2025, the Board of Directors approved a new $2.0 billion stock repurchase program that expires on February 3, 2027, and succeeds in its entirety the January 31, 2023 stock repurchase program.</w:t>
      </w:r>
    </w:p>
    <w:p>
      <w:pPr>
        <w:spacing w:after="0" w:line="2" w:lineRule="exact"/>
        <w:rPr>
          <w:rFonts w:ascii="Times New Roman" w:cs="Times New Roman" w:eastAsia="Times New Roman" w:hAnsi="Times New Roman"/>
          <w:sz w:val="18"/>
          <w:szCs w:val="18"/>
          <w:color w:val="auto"/>
        </w:rPr>
      </w:pPr>
    </w:p>
    <w:p>
      <w:pPr>
        <w:jc w:val="both"/>
        <w:ind w:firstLine="8"/>
        <w:spacing w:after="0" w:line="250" w:lineRule="auto"/>
        <w:tabs>
          <w:tab w:leader="none" w:pos="28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net share repurchases are subject to a 1% excise tax under the Inflation Reduction Act. Excise tax incurred reduces the amount available under the repurchase program, as applicable, and is included in the cost of shares repurchased in the Consolidated Statement of Stockholders’ Equity.</w:t>
      </w:r>
    </w:p>
    <w:p>
      <w:pPr>
        <w:spacing w:after="0" w:line="1" w:lineRule="exact"/>
        <w:rPr>
          <w:rFonts w:ascii="Times New Roman" w:cs="Times New Roman" w:eastAsia="Times New Roman" w:hAnsi="Times New Roman"/>
          <w:sz w:val="18"/>
          <w:szCs w:val="18"/>
          <w:color w:val="auto"/>
        </w:rPr>
      </w:pPr>
    </w:p>
    <w:p>
      <w:pPr>
        <w:ind w:firstLine="8"/>
        <w:spacing w:after="0" w:line="260" w:lineRule="auto"/>
        <w:tabs>
          <w:tab w:leader="none" w:pos="25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repurchased by us at the fair market value of the common stock as of the applicable purchase date, in connection with the satisfaction of tax withholding obligations under equity award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39" w:lineRule="exact"/>
        <w:rPr>
          <w:sz w:val="20"/>
          <w:szCs w:val="20"/>
          <w:color w:val="auto"/>
        </w:rPr>
      </w:pPr>
    </w:p>
    <w:tbl>
      <w:tblPr>
        <w:tblLayout w:type="fixed"/>
        <w:tblInd w:w="360" w:type="dxa"/>
        <w:tblCellMar>
          <w:top w:w="0" w:type="dxa"/>
          <w:left w:w="0" w:type="dxa"/>
          <w:bottom w:w="0" w:type="dxa"/>
          <w:right w:w="0" w:type="dxa"/>
        </w:tblCellMar>
      </w:tblPr>
      <w:tr>
        <w:trPr>
          <w:trHeight w:val="181"/>
        </w:trPr>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gridSpan w:val="3"/>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Incorporated by Reference</w:t>
            </w: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020" w:type="dxa"/>
            <w:vAlign w:val="bottom"/>
            <w:gridSpan w:val="5"/>
          </w:tcPr>
          <w:p>
            <w:pPr>
              <w:jc w:val="center"/>
              <w:ind w:right="360"/>
              <w:spacing w:after="0" w:line="142" w:lineRule="exact"/>
              <w:rPr>
                <w:sz w:val="20"/>
                <w:szCs w:val="20"/>
                <w:color w:val="auto"/>
              </w:rPr>
            </w:pPr>
            <w:r>
              <w:rPr>
                <w:rFonts w:ascii="Times New Roman" w:cs="Times New Roman" w:eastAsia="Times New Roman" w:hAnsi="Times New Roman"/>
                <w:sz w:val="14"/>
                <w:szCs w:val="14"/>
                <w:b w:val="1"/>
                <w:bCs w:val="1"/>
                <w:color w:val="auto"/>
              </w:rPr>
              <w:t>Number</w:t>
            </w:r>
          </w:p>
        </w:tc>
        <w:tc>
          <w:tcPr>
            <w:tcW w:w="12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Exhibit Description</w:t>
            </w:r>
          </w:p>
        </w:tc>
        <w:tc>
          <w:tcPr>
            <w:tcW w:w="3800" w:type="dxa"/>
            <w:vAlign w:val="bottom"/>
            <w:gridSpan w:val="12"/>
          </w:tcPr>
          <w:p>
            <w:pPr>
              <w:spacing w:after="0"/>
              <w:rPr>
                <w:sz w:val="12"/>
                <w:szCs w:val="12"/>
                <w:color w:val="auto"/>
              </w:rPr>
            </w:pPr>
          </w:p>
        </w:tc>
        <w:tc>
          <w:tcPr>
            <w:tcW w:w="800" w:type="dxa"/>
            <w:vAlign w:val="bottom"/>
            <w:gridSpan w:val="3"/>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Form</w:t>
            </w:r>
          </w:p>
        </w:tc>
        <w:tc>
          <w:tcPr>
            <w:tcW w:w="1320" w:type="dxa"/>
            <w:vAlign w:val="bottom"/>
            <w:gridSpan w:val="3"/>
          </w:tcPr>
          <w:p>
            <w:pPr>
              <w:ind w:left="300"/>
              <w:spacing w:after="0" w:line="142" w:lineRule="exact"/>
              <w:rPr>
                <w:sz w:val="20"/>
                <w:szCs w:val="20"/>
                <w:color w:val="auto"/>
              </w:rPr>
            </w:pPr>
            <w:r>
              <w:rPr>
                <w:rFonts w:ascii="Times New Roman" w:cs="Times New Roman" w:eastAsia="Times New Roman" w:hAnsi="Times New Roman"/>
                <w:sz w:val="14"/>
                <w:szCs w:val="14"/>
                <w:b w:val="1"/>
                <w:bCs w:val="1"/>
                <w:color w:val="auto"/>
              </w:rPr>
              <w:t>File No.</w:t>
            </w:r>
          </w:p>
        </w:tc>
        <w:tc>
          <w:tcPr>
            <w:tcW w:w="68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Exhibit</w:t>
            </w:r>
          </w:p>
        </w:tc>
        <w:tc>
          <w:tcPr>
            <w:tcW w:w="2020" w:type="dxa"/>
            <w:vAlign w:val="bottom"/>
            <w:gridSpan w:val="5"/>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Filing Date   Filed Herewith</w:t>
            </w:r>
          </w:p>
        </w:tc>
        <w:tc>
          <w:tcPr>
            <w:tcW w:w="0" w:type="dxa"/>
            <w:vAlign w:val="bottom"/>
          </w:tcPr>
          <w:p>
            <w:pPr>
              <w:spacing w:after="0"/>
              <w:rPr>
                <w:sz w:val="1"/>
                <w:szCs w:val="1"/>
                <w:color w:val="auto"/>
              </w:rPr>
            </w:pPr>
          </w:p>
        </w:tc>
      </w:tr>
      <w:tr>
        <w:trPr>
          <w:trHeight w:val="27"/>
        </w:trPr>
        <w:tc>
          <w:tcPr>
            <w:tcW w:w="580" w:type="dxa"/>
            <w:vAlign w:val="bottom"/>
            <w:gridSpan w:val="4"/>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Borders>
              <w:right w:val="single" w:sz="8" w:color="auto"/>
            </w:tcBorders>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18"/>
        </w:trPr>
        <w:tc>
          <w:tcPr>
            <w:tcW w:w="58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440" w:type="dxa"/>
            <w:vAlign w:val="bottom"/>
          </w:tcPr>
          <w:p>
            <w:pPr>
              <w:spacing w:after="0"/>
              <w:rPr>
                <w:sz w:val="24"/>
                <w:szCs w:val="24"/>
                <w:color w:val="auto"/>
              </w:rPr>
            </w:pPr>
          </w:p>
        </w:tc>
        <w:tc>
          <w:tcPr>
            <w:tcW w:w="502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Fiscal Year 2025 Executive Incentive Plan</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60" w:type="dxa"/>
            <w:vAlign w:val="bottom"/>
            <w:gridSpan w:val="3"/>
          </w:tcPr>
          <w:p>
            <w:pPr>
              <w:jc w:val="center"/>
              <w:ind w:left="12"/>
              <w:spacing w:after="0"/>
              <w:rPr>
                <w:sz w:val="20"/>
                <w:szCs w:val="20"/>
                <w:color w:val="auto"/>
              </w:rPr>
            </w:pPr>
            <w:r>
              <w:rPr>
                <w:rFonts w:ascii="Times New Roman" w:cs="Times New Roman" w:eastAsia="Times New Roman" w:hAnsi="Times New Roman"/>
                <w:sz w:val="18"/>
                <w:szCs w:val="18"/>
                <w:color w:val="auto"/>
                <w:w w:val="95"/>
              </w:rPr>
              <w:t>31.1</w:t>
            </w: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02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Certification of the Company’s Chief Executive Officer pursuant</w:t>
            </w: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6"/>
        </w:trPr>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680" w:type="dxa"/>
            <w:vAlign w:val="bottom"/>
            <w:tcBorders>
              <w:top w:val="single" w:sz="8" w:color="0000FF"/>
              <w:bottom w:val="single" w:sz="8" w:color="0000FF"/>
            </w:tcBorders>
            <w:gridSpan w:val="7"/>
          </w:tcPr>
          <w:p>
            <w:pPr>
              <w:spacing w:after="0" w:line="156" w:lineRule="exact"/>
              <w:rPr>
                <w:sz w:val="20"/>
                <w:szCs w:val="20"/>
                <w:color w:val="auto"/>
              </w:rPr>
            </w:pPr>
            <w:r>
              <w:rPr>
                <w:rFonts w:ascii="Times New Roman" w:cs="Times New Roman" w:eastAsia="Times New Roman" w:hAnsi="Times New Roman"/>
                <w:sz w:val="18"/>
                <w:szCs w:val="18"/>
                <w:color w:val="0000FF"/>
                <w:w w:val="98"/>
              </w:rPr>
              <w:t>to Securities Exchange Act of 1934, as amended, Rules 13a-14(a)</w:t>
            </w: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tcPr>
          <w:p>
            <w:pPr>
              <w:spacing w:after="0"/>
              <w:rPr>
                <w:sz w:val="13"/>
                <w:szCs w:val="13"/>
                <w:color w:val="auto"/>
              </w:rPr>
            </w:pPr>
          </w:p>
        </w:tc>
        <w:tc>
          <w:tcPr>
            <w:tcW w:w="280" w:type="dxa"/>
            <w:vAlign w:val="bottom"/>
            <w:gridSpan w:val="4"/>
            <w:vMerge w:val="restart"/>
          </w:tcPr>
          <w:p>
            <w:pPr>
              <w:jc w:val="right"/>
              <w:ind w:right="180"/>
              <w:spacing w:after="0"/>
              <w:rPr>
                <w:sz w:val="20"/>
                <w:szCs w:val="20"/>
                <w:color w:val="auto"/>
              </w:rPr>
            </w:pPr>
            <w:r>
              <w:rPr>
                <w:rFonts w:ascii="Times New Roman" w:cs="Times New Roman" w:eastAsia="Times New Roman" w:hAnsi="Times New Roman"/>
                <w:sz w:val="18"/>
                <w:szCs w:val="18"/>
                <w:color w:val="0000FF"/>
              </w:rPr>
              <w:t>-</w:t>
            </w: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740" w:type="dxa"/>
            <w:vAlign w:val="bottom"/>
            <w:gridSpan w:val="9"/>
          </w:tcPr>
          <w:p>
            <w:pPr>
              <w:spacing w:after="0" w:line="169" w:lineRule="exact"/>
              <w:rPr>
                <w:sz w:val="20"/>
                <w:szCs w:val="20"/>
                <w:color w:val="auto"/>
              </w:rPr>
            </w:pPr>
            <w:r>
              <w:rPr>
                <w:rFonts w:ascii="Times New Roman" w:cs="Times New Roman" w:eastAsia="Times New Roman" w:hAnsi="Times New Roman"/>
                <w:sz w:val="18"/>
                <w:szCs w:val="18"/>
                <w:color w:val="0000FF"/>
                <w:w w:val="98"/>
              </w:rPr>
              <w:t>and 15d-14(a), as adopted pursuant to Section 302 of the Sarbanes</w:t>
            </w:r>
          </w:p>
        </w:tc>
        <w:tc>
          <w:tcPr>
            <w:tcW w:w="280" w:type="dxa"/>
            <w:vAlign w:val="bottom"/>
            <w:gridSpan w:val="4"/>
            <w:vMerge w:val="continue"/>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60" w:type="dxa"/>
            <w:vAlign w:val="bottom"/>
            <w:tcBorders>
              <w:top w:val="single" w:sz="8" w:color="0000FF"/>
              <w:bottom w:val="single" w:sz="8" w:color="0000FF"/>
            </w:tcBorders>
            <w:gridSpan w:val="2"/>
          </w:tcPr>
          <w:p>
            <w:pPr>
              <w:spacing w:after="0" w:line="156" w:lineRule="exact"/>
              <w:rPr>
                <w:sz w:val="20"/>
                <w:szCs w:val="20"/>
                <w:color w:val="auto"/>
              </w:rPr>
            </w:pPr>
            <w:r>
              <w:rPr>
                <w:rFonts w:ascii="Times New Roman" w:cs="Times New Roman" w:eastAsia="Times New Roman" w:hAnsi="Times New Roman"/>
                <w:sz w:val="18"/>
                <w:szCs w:val="18"/>
                <w:color w:val="0000FF"/>
                <w:w w:val="99"/>
              </w:rPr>
              <w:t>Oxley Act of 2002</w:t>
            </w:r>
          </w:p>
        </w:tc>
        <w:tc>
          <w:tcPr>
            <w:tcW w:w="3480" w:type="dxa"/>
            <w:vAlign w:val="bottom"/>
            <w:tcBorders>
              <w:top w:val="single" w:sz="8" w:color="0000FF"/>
            </w:tcBorders>
            <w:gridSpan w:val="10"/>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560" w:type="dxa"/>
            <w:vAlign w:val="bottom"/>
            <w:gridSpan w:val="3"/>
          </w:tcPr>
          <w:p>
            <w:pPr>
              <w:jc w:val="center"/>
              <w:ind w:left="12"/>
              <w:spacing w:after="0"/>
              <w:rPr>
                <w:sz w:val="20"/>
                <w:szCs w:val="20"/>
                <w:color w:val="auto"/>
              </w:rPr>
            </w:pPr>
            <w:r>
              <w:rPr>
                <w:rFonts w:ascii="Times New Roman" w:cs="Times New Roman" w:eastAsia="Times New Roman" w:hAnsi="Times New Roman"/>
                <w:sz w:val="18"/>
                <w:szCs w:val="18"/>
                <w:color w:val="auto"/>
                <w:w w:val="95"/>
              </w:rPr>
              <w:t>31.2</w:t>
            </w: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02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Certification of the Company’s Chief Financial Officer pursuant to</w:t>
            </w: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560" w:type="dxa"/>
            <w:vAlign w:val="bottom"/>
            <w:tcBorders>
              <w:top w:val="single" w:sz="8" w:color="0000FF"/>
              <w:bottom w:val="single" w:sz="8" w:color="0000FF"/>
            </w:tcBorders>
            <w:gridSpan w:val="6"/>
          </w:tcPr>
          <w:p>
            <w:pPr>
              <w:spacing w:after="0" w:line="156" w:lineRule="exact"/>
              <w:rPr>
                <w:sz w:val="20"/>
                <w:szCs w:val="20"/>
                <w:color w:val="auto"/>
              </w:rPr>
            </w:pPr>
            <w:r>
              <w:rPr>
                <w:rFonts w:ascii="Times New Roman" w:cs="Times New Roman" w:eastAsia="Times New Roman" w:hAnsi="Times New Roman"/>
                <w:sz w:val="18"/>
                <w:szCs w:val="18"/>
                <w:color w:val="0000FF"/>
                <w:w w:val="99"/>
              </w:rPr>
              <w:t>Securities Exchange Act of 1934, as amended, Rules 13a-14(a)</w:t>
            </w:r>
          </w:p>
        </w:tc>
        <w:tc>
          <w:tcPr>
            <w:tcW w:w="260" w:type="dxa"/>
            <w:vAlign w:val="bottom"/>
            <w:tcBorders>
              <w:top w:val="single" w:sz="8" w:color="0000FF"/>
            </w:tcBorders>
            <w:gridSpan w:val="5"/>
          </w:tcPr>
          <w:p>
            <w:pPr>
              <w:spacing w:after="0"/>
              <w:rPr>
                <w:sz w:val="13"/>
                <w:szCs w:val="13"/>
                <w:color w:val="auto"/>
              </w:rPr>
            </w:pPr>
          </w:p>
        </w:tc>
        <w:tc>
          <w:tcPr>
            <w:tcW w:w="200" w:type="dxa"/>
            <w:vAlign w:val="bottom"/>
            <w:gridSpan w:val="2"/>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20" w:type="dxa"/>
            <w:vAlign w:val="bottom"/>
            <w:gridSpan w:val="13"/>
          </w:tcPr>
          <w:p>
            <w:pPr>
              <w:spacing w:after="0" w:line="169" w:lineRule="exact"/>
              <w:rPr>
                <w:sz w:val="20"/>
                <w:szCs w:val="20"/>
                <w:color w:val="auto"/>
              </w:rPr>
            </w:pPr>
            <w:r>
              <w:rPr>
                <w:rFonts w:ascii="Times New Roman" w:cs="Times New Roman" w:eastAsia="Times New Roman" w:hAnsi="Times New Roman"/>
                <w:sz w:val="18"/>
                <w:szCs w:val="18"/>
                <w:color w:val="0000FF"/>
              </w:rPr>
              <w:t>and 15d-14(a), as adopted pursuant to Section 302 of the Sarbanes-</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60" w:type="dxa"/>
            <w:vAlign w:val="bottom"/>
            <w:tcBorders>
              <w:top w:val="single" w:sz="8" w:color="0000FF"/>
              <w:bottom w:val="single" w:sz="8" w:color="0000FF"/>
            </w:tcBorders>
            <w:gridSpan w:val="2"/>
          </w:tcPr>
          <w:p>
            <w:pPr>
              <w:spacing w:after="0" w:line="156" w:lineRule="exact"/>
              <w:rPr>
                <w:sz w:val="20"/>
                <w:szCs w:val="20"/>
                <w:color w:val="auto"/>
              </w:rPr>
            </w:pPr>
            <w:r>
              <w:rPr>
                <w:rFonts w:ascii="Times New Roman" w:cs="Times New Roman" w:eastAsia="Times New Roman" w:hAnsi="Times New Roman"/>
                <w:sz w:val="18"/>
                <w:szCs w:val="18"/>
                <w:color w:val="0000FF"/>
                <w:w w:val="99"/>
              </w:rPr>
              <w:t>Oxley Act of 2002</w:t>
            </w:r>
          </w:p>
        </w:tc>
        <w:tc>
          <w:tcPr>
            <w:tcW w:w="3480" w:type="dxa"/>
            <w:vAlign w:val="bottom"/>
            <w:tcBorders>
              <w:top w:val="single" w:sz="8" w:color="0000FF"/>
            </w:tcBorders>
            <w:gridSpan w:val="10"/>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560" w:type="dxa"/>
            <w:vAlign w:val="bottom"/>
            <w:gridSpan w:val="3"/>
          </w:tcPr>
          <w:p>
            <w:pPr>
              <w:jc w:val="center"/>
              <w:ind w:left="12"/>
              <w:spacing w:after="0"/>
              <w:rPr>
                <w:sz w:val="20"/>
                <w:szCs w:val="20"/>
                <w:color w:val="auto"/>
              </w:rPr>
            </w:pPr>
            <w:r>
              <w:rPr>
                <w:rFonts w:ascii="Times New Roman" w:cs="Times New Roman" w:eastAsia="Times New Roman" w:hAnsi="Times New Roman"/>
                <w:sz w:val="18"/>
                <w:szCs w:val="18"/>
                <w:color w:val="auto"/>
                <w:w w:val="95"/>
              </w:rPr>
              <w:t>32.1</w:t>
            </w: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02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Certification of the Company’s Chief Executive Officer pursuant</w:t>
            </w: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6"/>
        </w:trPr>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680" w:type="dxa"/>
            <w:vAlign w:val="bottom"/>
            <w:tcBorders>
              <w:top w:val="single" w:sz="8" w:color="0000FF"/>
              <w:bottom w:val="single" w:sz="8" w:color="0000FF"/>
            </w:tcBorders>
            <w:gridSpan w:val="7"/>
          </w:tcPr>
          <w:p>
            <w:pPr>
              <w:spacing w:after="0" w:line="156" w:lineRule="exact"/>
              <w:rPr>
                <w:sz w:val="20"/>
                <w:szCs w:val="20"/>
                <w:color w:val="auto"/>
              </w:rPr>
            </w:pPr>
            <w:r>
              <w:rPr>
                <w:rFonts w:ascii="Times New Roman" w:cs="Times New Roman" w:eastAsia="Times New Roman" w:hAnsi="Times New Roman"/>
                <w:sz w:val="18"/>
                <w:szCs w:val="18"/>
                <w:color w:val="0000FF"/>
                <w:w w:val="99"/>
              </w:rPr>
              <w:t>to 18 U.S.C. Section 1350, as adopted pursuant to Section 906 of</w:t>
            </w:r>
          </w:p>
        </w:tc>
        <w:tc>
          <w:tcPr>
            <w:tcW w:w="20" w:type="dxa"/>
            <w:vAlign w:val="bottom"/>
            <w:tcBorders>
              <w:bottom w:val="single" w:sz="8" w:color="0000FF"/>
            </w:tcBorders>
          </w:tcPr>
          <w:p>
            <w:pPr>
              <w:spacing w:after="0"/>
              <w:rPr>
                <w:sz w:val="13"/>
                <w:szCs w:val="13"/>
                <w:color w:val="auto"/>
              </w:rPr>
            </w:pPr>
          </w:p>
        </w:tc>
        <w:tc>
          <w:tcPr>
            <w:tcW w:w="80" w:type="dxa"/>
            <w:vAlign w:val="bottom"/>
            <w:gridSpan w:val="2"/>
          </w:tcPr>
          <w:p>
            <w:pPr>
              <w:spacing w:after="0"/>
              <w:rPr>
                <w:sz w:val="13"/>
                <w:szCs w:val="13"/>
                <w:color w:val="auto"/>
              </w:rPr>
            </w:pPr>
          </w:p>
        </w:tc>
        <w:tc>
          <w:tcPr>
            <w:tcW w:w="240" w:type="dxa"/>
            <w:vAlign w:val="bottom"/>
            <w:gridSpan w:val="3"/>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700" w:type="dxa"/>
            <w:vAlign w:val="bottom"/>
            <w:gridSpan w:val="8"/>
          </w:tcPr>
          <w:p>
            <w:pPr>
              <w:spacing w:after="0" w:line="169" w:lineRule="exact"/>
              <w:rPr>
                <w:sz w:val="20"/>
                <w:szCs w:val="20"/>
                <w:color w:val="auto"/>
              </w:rPr>
            </w:pPr>
            <w:r>
              <w:rPr>
                <w:rFonts w:ascii="Times New Roman" w:cs="Times New Roman" w:eastAsia="Times New Roman" w:hAnsi="Times New Roman"/>
                <w:sz w:val="18"/>
                <w:szCs w:val="18"/>
                <w:color w:val="0000FF"/>
              </w:rPr>
              <w:t>the Sarbanes-Oxley Act of 2002</w:t>
            </w:r>
          </w:p>
        </w:tc>
        <w:tc>
          <w:tcPr>
            <w:tcW w:w="80" w:type="dxa"/>
            <w:vAlign w:val="bottom"/>
            <w:gridSpan w:val="2"/>
          </w:tcPr>
          <w:p>
            <w:pPr>
              <w:spacing w:after="0"/>
              <w:rPr>
                <w:sz w:val="14"/>
                <w:szCs w:val="14"/>
                <w:color w:val="auto"/>
              </w:rPr>
            </w:pPr>
          </w:p>
        </w:tc>
        <w:tc>
          <w:tcPr>
            <w:tcW w:w="240" w:type="dxa"/>
            <w:vAlign w:val="bottom"/>
            <w:gridSpan w:val="3"/>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6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60" w:type="dxa"/>
            <w:vAlign w:val="bottom"/>
            <w:gridSpan w:val="6"/>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60" w:type="dxa"/>
            <w:vAlign w:val="bottom"/>
            <w:gridSpan w:val="3"/>
          </w:tcPr>
          <w:p>
            <w:pPr>
              <w:jc w:val="center"/>
              <w:ind w:left="12"/>
              <w:spacing w:after="0"/>
              <w:rPr>
                <w:sz w:val="20"/>
                <w:szCs w:val="20"/>
                <w:color w:val="auto"/>
              </w:rPr>
            </w:pPr>
            <w:r>
              <w:rPr>
                <w:rFonts w:ascii="Times New Roman" w:cs="Times New Roman" w:eastAsia="Times New Roman" w:hAnsi="Times New Roman"/>
                <w:sz w:val="18"/>
                <w:szCs w:val="18"/>
                <w:color w:val="auto"/>
                <w:w w:val="95"/>
              </w:rPr>
              <w:t>32.2</w:t>
            </w: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02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Certification of the Company’s Chief Financial Officer pursuant to</w:t>
            </w: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6"/>
        </w:trPr>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20" w:type="dxa"/>
            <w:vAlign w:val="bottom"/>
            <w:tcBorders>
              <w:top w:val="single" w:sz="8" w:color="0000FF"/>
            </w:tcBorders>
            <w:gridSpan w:val="11"/>
          </w:tcPr>
          <w:p>
            <w:pPr>
              <w:spacing w:after="0" w:line="156" w:lineRule="exact"/>
              <w:rPr>
                <w:sz w:val="20"/>
                <w:szCs w:val="20"/>
                <w:color w:val="auto"/>
              </w:rPr>
            </w:pPr>
            <w:r>
              <w:rPr>
                <w:rFonts w:ascii="Times New Roman" w:cs="Times New Roman" w:eastAsia="Times New Roman" w:hAnsi="Times New Roman"/>
                <w:sz w:val="18"/>
                <w:szCs w:val="18"/>
                <w:color w:val="0000FF"/>
              </w:rPr>
              <w:t>18 U.S.C. Section 1350, as adopted pursuant to Section 906 of the</w:t>
            </w:r>
          </w:p>
        </w:tc>
        <w:tc>
          <w:tcPr>
            <w:tcW w:w="200" w:type="dxa"/>
            <w:vAlign w:val="bottom"/>
            <w:gridSpan w:val="2"/>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780" w:type="dxa"/>
            <w:vAlign w:val="bottom"/>
            <w:tcBorders>
              <w:top w:val="single" w:sz="8" w:color="0000FF"/>
            </w:tcBorders>
            <w:gridSpan w:val="10"/>
          </w:tcPr>
          <w:p>
            <w:pPr>
              <w:spacing w:after="0" w:line="169" w:lineRule="exact"/>
              <w:rPr>
                <w:sz w:val="20"/>
                <w:szCs w:val="20"/>
                <w:color w:val="auto"/>
              </w:rPr>
            </w:pPr>
            <w:r>
              <w:rPr>
                <w:rFonts w:ascii="Times New Roman" w:cs="Times New Roman" w:eastAsia="Times New Roman" w:hAnsi="Times New Roman"/>
                <w:sz w:val="18"/>
                <w:szCs w:val="18"/>
                <w:color w:val="0000FF"/>
              </w:rPr>
              <w:t>Sarbanes-Oxley Act of 2002</w:t>
            </w:r>
          </w:p>
        </w:tc>
        <w:tc>
          <w:tcPr>
            <w:tcW w:w="240" w:type="dxa"/>
            <w:vAlign w:val="bottom"/>
            <w:gridSpan w:val="3"/>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gridSpan w:val="5"/>
          </w:tcPr>
          <w:p>
            <w:pPr>
              <w:spacing w:after="0" w:line="20" w:lineRule="exact"/>
              <w:rPr>
                <w:sz w:val="1"/>
                <w:szCs w:val="1"/>
                <w:color w:val="auto"/>
              </w:rPr>
            </w:pPr>
          </w:p>
        </w:tc>
        <w:tc>
          <w:tcPr>
            <w:tcW w:w="2060" w:type="dxa"/>
            <w:vAlign w:val="bottom"/>
            <w:gridSpan w:val="3"/>
            <w:shd w:val="clear" w:color="auto" w:fill="0000FF"/>
          </w:tcPr>
          <w:p>
            <w:pPr>
              <w:spacing w:after="0" w:line="20" w:lineRule="exact"/>
              <w:rPr>
                <w:sz w:val="1"/>
                <w:szCs w:val="1"/>
                <w:color w:val="auto"/>
              </w:rPr>
            </w:pPr>
          </w:p>
        </w:tc>
        <w:tc>
          <w:tcPr>
            <w:tcW w:w="2960" w:type="dxa"/>
            <w:vAlign w:val="bottom"/>
            <w:gridSpan w:val="1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2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color w:val="auto"/>
              </w:rPr>
              <w:t>101.INS</w:t>
            </w:r>
          </w:p>
        </w:tc>
        <w:tc>
          <w:tcPr>
            <w:tcW w:w="50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w:t>
            </w: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020" w:type="dxa"/>
            <w:vAlign w:val="bottom"/>
            <w:gridSpan w:val="13"/>
          </w:tcPr>
          <w:p>
            <w:pPr>
              <w:spacing w:after="0" w:line="184" w:lineRule="exact"/>
              <w:rPr>
                <w:sz w:val="20"/>
                <w:szCs w:val="20"/>
                <w:color w:val="auto"/>
              </w:rPr>
            </w:pPr>
            <w:r>
              <w:rPr>
                <w:rFonts w:ascii="Times New Roman" w:cs="Times New Roman" w:eastAsia="Times New Roman" w:hAnsi="Times New Roman"/>
                <w:sz w:val="18"/>
                <w:szCs w:val="18"/>
                <w:color w:val="auto"/>
              </w:rPr>
              <w:t>appear in the Interactive Data File because its XBRL tags are</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0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102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color w:val="auto"/>
                <w:w w:val="99"/>
              </w:rPr>
              <w:t>101.SCH</w:t>
            </w:r>
          </w:p>
        </w:tc>
        <w:tc>
          <w:tcPr>
            <w:tcW w:w="50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29"/>
        </w:trPr>
        <w:tc>
          <w:tcPr>
            <w:tcW w:w="102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color w:val="auto"/>
                <w:w w:val="97"/>
              </w:rPr>
              <w:t>101.CAL</w:t>
            </w:r>
          </w:p>
        </w:tc>
        <w:tc>
          <w:tcPr>
            <w:tcW w:w="50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0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Document</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2"/>
        </w:trPr>
        <w:tc>
          <w:tcPr>
            <w:tcW w:w="102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color w:val="auto"/>
              </w:rPr>
              <w:t>101.DEF</w:t>
            </w:r>
          </w:p>
        </w:tc>
        <w:tc>
          <w:tcPr>
            <w:tcW w:w="50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83"/>
        </w:trPr>
        <w:tc>
          <w:tcPr>
            <w:tcW w:w="102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color w:val="auto"/>
                <w:w w:val="97"/>
              </w:rPr>
              <w:t>101.LAB</w:t>
            </w:r>
          </w:p>
        </w:tc>
        <w:tc>
          <w:tcPr>
            <w:tcW w:w="50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29"/>
        </w:trPr>
        <w:tc>
          <w:tcPr>
            <w:tcW w:w="102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color w:val="auto"/>
              </w:rPr>
              <w:t>101.PRE</w:t>
            </w:r>
          </w:p>
        </w:tc>
        <w:tc>
          <w:tcPr>
            <w:tcW w:w="50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0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Document</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jc w:val="both"/>
        <w:ind w:left="1380" w:right="5120" w:hanging="825"/>
        <w:spacing w:after="0" w:line="231" w:lineRule="auto"/>
        <w:tabs>
          <w:tab w:leader="none" w:pos="13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 contained in Exhibits 101)</w:t>
      </w:r>
    </w:p>
    <w:p>
      <w:pPr>
        <w:spacing w:after="0" w:line="320"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Indicates a management contract or compensatory plan or arrangement.</w:t>
      </w:r>
    </w:p>
    <w:p>
      <w:pPr>
        <w:spacing w:after="0" w:line="27" w:lineRule="exact"/>
        <w:rPr>
          <w:sz w:val="20"/>
          <w:szCs w:val="20"/>
          <w:color w:val="auto"/>
        </w:rPr>
      </w:pPr>
    </w:p>
    <w:p>
      <w:pPr>
        <w:ind w:right="200" w:firstLine="8"/>
        <w:spacing w:after="0" w:line="260" w:lineRule="auto"/>
        <w:tabs>
          <w:tab w:leader="none" w:pos="12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have been omitted because such information is not material and is the type of information that the Registrant treats as private or confidential.</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67" w:lineRule="exact"/>
        <w:rPr>
          <w:sz w:val="20"/>
          <w:szCs w:val="20"/>
          <w:color w:val="auto"/>
        </w:rPr>
      </w:pPr>
    </w:p>
    <w:tbl>
      <w:tblPr>
        <w:tblLayout w:type="fixed"/>
        <w:tblInd w:w="180" w:type="dxa"/>
        <w:tblCellMar>
          <w:top w:w="0" w:type="dxa"/>
          <w:left w:w="0" w:type="dxa"/>
          <w:bottom w:w="0" w:type="dxa"/>
          <w:right w:w="0" w:type="dxa"/>
        </w:tblCellMar>
      </w:tblPr>
      <w:tr>
        <w:trPr>
          <w:trHeight w:val="207"/>
        </w:trPr>
        <w:tc>
          <w:tcPr>
            <w:tcW w:w="4700" w:type="dxa"/>
            <w:vAlign w:val="bottom"/>
          </w:tcPr>
          <w:p>
            <w:pPr>
              <w:spacing w:after="0"/>
              <w:rPr>
                <w:sz w:val="17"/>
                <w:szCs w:val="17"/>
                <w:color w:val="auto"/>
              </w:rPr>
            </w:pPr>
          </w:p>
        </w:tc>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SKYWORKS SOLUTIONS, INC.</w:t>
            </w:r>
          </w:p>
        </w:tc>
      </w:tr>
      <w:tr>
        <w:trPr>
          <w:trHeight w:val="520"/>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5, 2025</w:t>
            </w:r>
          </w:p>
        </w:tc>
        <w:tc>
          <w:tcPr>
            <w:tcW w:w="4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By:</w:t>
            </w:r>
          </w:p>
        </w:tc>
        <w:tc>
          <w:tcPr>
            <w:tcW w:w="206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Liam K. Griffin</w:t>
            </w:r>
          </w:p>
        </w:tc>
        <w:tc>
          <w:tcPr>
            <w:tcW w:w="3100" w:type="dxa"/>
            <w:vAlign w:val="bottom"/>
            <w:tcBorders>
              <w:bottom w:val="single" w:sz="8" w:color="auto"/>
            </w:tcBorders>
          </w:tcPr>
          <w:p>
            <w:pPr>
              <w:spacing w:after="0"/>
              <w:rPr>
                <w:sz w:val="24"/>
                <w:szCs w:val="24"/>
                <w:color w:val="auto"/>
              </w:rPr>
            </w:pPr>
          </w:p>
        </w:tc>
      </w:tr>
      <w:tr>
        <w:trPr>
          <w:trHeight w:val="218"/>
        </w:trPr>
        <w:tc>
          <w:tcPr>
            <w:tcW w:w="4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Liam K. Griffin</w:t>
            </w:r>
          </w:p>
        </w:tc>
      </w:tr>
      <w:tr>
        <w:trPr>
          <w:trHeight w:val="229"/>
        </w:trPr>
        <w:tc>
          <w:tcPr>
            <w:tcW w:w="4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4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99"/>
        </w:trPr>
        <w:tc>
          <w:tcPr>
            <w:tcW w:w="4700" w:type="dxa"/>
            <w:vAlign w:val="bottom"/>
          </w:tcPr>
          <w:p>
            <w:pPr>
              <w:spacing w:after="0"/>
              <w:rPr>
                <w:sz w:val="24"/>
                <w:szCs w:val="24"/>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1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/s/ Kris Sennesael</w:t>
            </w:r>
          </w:p>
        </w:tc>
      </w:tr>
      <w:tr>
        <w:trPr>
          <w:trHeight w:val="218"/>
        </w:trPr>
        <w:tc>
          <w:tcPr>
            <w:tcW w:w="4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Kris Sennesael</w:t>
            </w:r>
          </w:p>
        </w:tc>
      </w:tr>
      <w:tr>
        <w:trPr>
          <w:trHeight w:val="230"/>
        </w:trPr>
        <w:tc>
          <w:tcPr>
            <w:tcW w:w="4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r>
        <w:trPr>
          <w:trHeight w:val="234"/>
        </w:trPr>
        <w:tc>
          <w:tcPr>
            <w:tcW w:w="4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(Principal Accounting and Financial Officer)</w:t>
            </w:r>
          </w:p>
        </w:tc>
      </w:tr>
      <w:tr>
        <w:trPr>
          <w:trHeight w:val="918"/>
        </w:trPr>
        <w:tc>
          <w:tcPr>
            <w:tcW w:w="4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26</w:t>
            </w:r>
          </w:p>
        </w:tc>
        <w:tc>
          <w:tcPr>
            <w:tcW w:w="3100" w:type="dxa"/>
            <w:vAlign w:val="bottom"/>
          </w:tcPr>
          <w:p>
            <w:pPr>
              <w:spacing w:after="0"/>
              <w:rPr>
                <w:sz w:val="24"/>
                <w:szCs w:val="24"/>
                <w:color w:val="auto"/>
              </w:rPr>
            </w:pPr>
          </w:p>
        </w:tc>
      </w:tr>
    </w:tbl>
    <w:p>
      <w:pPr>
        <w:sectPr>
          <w:pgSz w:w="11900" w:h="16838" w:orient="portrait"/>
          <w:cols w:equalWidth="0" w:num="1">
            <w:col w:w="11240"/>
          </w:cols>
          <w:pgMar w:left="320" w:top="126" w:right="339" w:bottom="1440" w:gutter="0" w:footer="0" w:header="0"/>
        </w:sectPr>
      </w:pPr>
    </w:p>
    <w:bookmarkStart w:id="27" w:name="page28"/>
    <w:bookmarkEnd w:id="27"/>
    <w:p>
      <w:pPr>
        <w:spacing w:after="0" w:line="307" w:lineRule="auto"/>
        <w:rPr>
          <w:sz w:val="20"/>
          <w:szCs w:val="20"/>
          <w:color w:val="auto"/>
        </w:rPr>
      </w:pPr>
      <w:r>
        <w:rPr>
          <w:rFonts w:ascii="Times New Roman" w:cs="Times New Roman" w:eastAsia="Times New Roman" w:hAnsi="Times New Roman"/>
          <w:sz w:val="18"/>
          <w:szCs w:val="18"/>
          <w:b w:val="1"/>
          <w:bCs w:val="1"/>
          <w:color w:val="auto"/>
        </w:rPr>
        <w:t>Certain identified information has been excluded from the exhibit because (i) it is not material and (ii) is the type of information that the Company treats as private or confidential. Bracketed asterisks denote omissions</w:t>
      </w:r>
      <w:r>
        <w:rPr>
          <w:rFonts w:ascii="Arial" w:cs="Arial" w:eastAsia="Arial" w:hAnsi="Arial"/>
          <w:sz w:val="19"/>
          <w:szCs w:val="19"/>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2756535</wp:posOffset>
            </wp:positionH>
            <wp:positionV relativeFrom="paragraph">
              <wp:posOffset>19685</wp:posOffset>
            </wp:positionV>
            <wp:extent cx="1628775" cy="5403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628775"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FY25 Executive Incentive Plan</w:t>
      </w:r>
    </w:p>
    <w:p>
      <w:pPr>
        <w:spacing w:after="0" w:line="273" w:lineRule="exact"/>
        <w:rPr>
          <w:sz w:val="20"/>
          <w:szCs w:val="20"/>
          <w:color w:val="auto"/>
        </w:rPr>
      </w:pPr>
    </w:p>
    <w:p>
      <w:pPr>
        <w:ind w:left="660" w:hanging="652"/>
        <w:spacing w:after="0" w:line="288" w:lineRule="auto"/>
        <w:tabs>
          <w:tab w:leader="none" w:pos="649" w:val="left"/>
        </w:tabs>
        <w:numPr>
          <w:ilvl w:val="0"/>
          <w:numId w:val="15"/>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Purpose: </w:t>
      </w:r>
      <w:r>
        <w:rPr>
          <w:rFonts w:ascii="Arial" w:cs="Arial" w:eastAsia="Arial" w:hAnsi="Arial"/>
          <w:sz w:val="20"/>
          <w:szCs w:val="20"/>
          <w:color w:val="auto"/>
        </w:rPr>
        <w:t>The FY25 Executive Incentive Plan (the “FY25 Plan”) is designed to reward key management for achieving</w:t>
      </w:r>
      <w:r>
        <w:rPr>
          <w:rFonts w:ascii="Arial" w:cs="Arial" w:eastAsia="Arial" w:hAnsi="Arial"/>
          <w:sz w:val="20"/>
          <w:szCs w:val="20"/>
          <w:b w:val="1"/>
          <w:bCs w:val="1"/>
          <w:color w:val="auto"/>
        </w:rPr>
        <w:t xml:space="preserve"> </w:t>
      </w:r>
      <w:r>
        <w:rPr>
          <w:rFonts w:ascii="Arial" w:cs="Arial" w:eastAsia="Arial" w:hAnsi="Arial"/>
          <w:sz w:val="20"/>
          <w:szCs w:val="20"/>
          <w:color w:val="auto"/>
        </w:rPr>
        <w:t>certain financial and business objectives.</w:t>
      </w:r>
    </w:p>
    <w:p>
      <w:pPr>
        <w:spacing w:after="0" w:line="200" w:lineRule="exact"/>
        <w:rPr>
          <w:rFonts w:ascii="Arial" w:cs="Arial" w:eastAsia="Arial" w:hAnsi="Arial"/>
          <w:sz w:val="20"/>
          <w:szCs w:val="20"/>
          <w:b w:val="1"/>
          <w:bCs w:val="1"/>
          <w:color w:val="auto"/>
        </w:rPr>
      </w:pPr>
    </w:p>
    <w:p>
      <w:pPr>
        <w:spacing w:after="0" w:line="206" w:lineRule="exact"/>
        <w:rPr>
          <w:rFonts w:ascii="Arial" w:cs="Arial" w:eastAsia="Arial" w:hAnsi="Arial"/>
          <w:sz w:val="20"/>
          <w:szCs w:val="20"/>
          <w:b w:val="1"/>
          <w:bCs w:val="1"/>
          <w:color w:val="auto"/>
        </w:rPr>
      </w:pPr>
    </w:p>
    <w:p>
      <w:pPr>
        <w:ind w:left="660" w:hanging="652"/>
        <w:spacing w:after="0" w:line="288" w:lineRule="auto"/>
        <w:tabs>
          <w:tab w:leader="none" w:pos="649" w:val="left"/>
        </w:tabs>
        <w:numPr>
          <w:ilvl w:val="0"/>
          <w:numId w:val="15"/>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Plan Period: </w:t>
      </w:r>
      <w:r>
        <w:rPr>
          <w:rFonts w:ascii="Arial" w:cs="Arial" w:eastAsia="Arial" w:hAnsi="Arial"/>
          <w:sz w:val="20"/>
          <w:szCs w:val="20"/>
          <w:color w:val="auto"/>
        </w:rPr>
        <w:t>The FY25 Plan covers the Company’s fiscal year 2025 (i.e., September 28, 2024, through October 3,</w:t>
      </w:r>
      <w:r>
        <w:rPr>
          <w:rFonts w:ascii="Arial" w:cs="Arial" w:eastAsia="Arial" w:hAnsi="Arial"/>
          <w:sz w:val="20"/>
          <w:szCs w:val="20"/>
          <w:b w:val="1"/>
          <w:bCs w:val="1"/>
          <w:color w:val="auto"/>
        </w:rPr>
        <w:t xml:space="preserve"> </w:t>
      </w:r>
      <w:r>
        <w:rPr>
          <w:rFonts w:ascii="Arial" w:cs="Arial" w:eastAsia="Arial" w:hAnsi="Arial"/>
          <w:sz w:val="20"/>
          <w:szCs w:val="20"/>
          <w:color w:val="auto"/>
        </w:rPr>
        <w:t>2025).</w:t>
      </w:r>
    </w:p>
    <w:p>
      <w:pPr>
        <w:spacing w:after="0" w:line="200" w:lineRule="exact"/>
        <w:rPr>
          <w:rFonts w:ascii="Arial" w:cs="Arial" w:eastAsia="Arial" w:hAnsi="Arial"/>
          <w:sz w:val="20"/>
          <w:szCs w:val="20"/>
          <w:b w:val="1"/>
          <w:bCs w:val="1"/>
          <w:color w:val="auto"/>
        </w:rPr>
      </w:pPr>
    </w:p>
    <w:p>
      <w:pPr>
        <w:spacing w:after="0" w:line="206" w:lineRule="exact"/>
        <w:rPr>
          <w:rFonts w:ascii="Arial" w:cs="Arial" w:eastAsia="Arial" w:hAnsi="Arial"/>
          <w:sz w:val="20"/>
          <w:szCs w:val="20"/>
          <w:b w:val="1"/>
          <w:bCs w:val="1"/>
          <w:color w:val="auto"/>
        </w:rPr>
      </w:pPr>
    </w:p>
    <w:p>
      <w:pPr>
        <w:jc w:val="both"/>
        <w:ind w:left="660" w:hanging="652"/>
        <w:spacing w:after="0" w:line="260" w:lineRule="auto"/>
        <w:tabs>
          <w:tab w:leader="none" w:pos="649" w:val="left"/>
        </w:tabs>
        <w:numPr>
          <w:ilvl w:val="0"/>
          <w:numId w:val="15"/>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Eligibility: </w:t>
      </w:r>
      <w:r>
        <w:rPr>
          <w:rFonts w:ascii="Arial" w:cs="Arial" w:eastAsia="Arial" w:hAnsi="Arial"/>
          <w:sz w:val="20"/>
          <w:szCs w:val="20"/>
          <w:color w:val="auto"/>
        </w:rPr>
        <w:t>This program applies to the Chief Executive Officer and his direct reporting senior executives. Other key</w:t>
      </w:r>
      <w:r>
        <w:rPr>
          <w:rFonts w:ascii="Arial" w:cs="Arial" w:eastAsia="Arial" w:hAnsi="Arial"/>
          <w:sz w:val="20"/>
          <w:szCs w:val="20"/>
          <w:b w:val="1"/>
          <w:bCs w:val="1"/>
          <w:color w:val="auto"/>
        </w:rPr>
        <w:t xml:space="preserve"> </w:t>
      </w:r>
      <w:r>
        <w:rPr>
          <w:rFonts w:ascii="Arial" w:cs="Arial" w:eastAsia="Arial" w:hAnsi="Arial"/>
          <w:sz w:val="20"/>
          <w:szCs w:val="20"/>
          <w:color w:val="auto"/>
        </w:rPr>
        <w:t>employees may be added based upon the recommendation of the Chief Executive Officer and subsequent approval of the Compensation Committee. Those employees not covered by this FY25 Plan may be eligible for other programs established by Skyworks.</w:t>
      </w:r>
    </w:p>
    <w:p>
      <w:pPr>
        <w:spacing w:after="0" w:line="200" w:lineRule="exact"/>
        <w:rPr>
          <w:rFonts w:ascii="Arial" w:cs="Arial" w:eastAsia="Arial" w:hAnsi="Arial"/>
          <w:sz w:val="20"/>
          <w:szCs w:val="20"/>
          <w:b w:val="1"/>
          <w:bCs w:val="1"/>
          <w:color w:val="auto"/>
        </w:rPr>
      </w:pPr>
    </w:p>
    <w:p>
      <w:pPr>
        <w:spacing w:after="0" w:line="247" w:lineRule="exact"/>
        <w:rPr>
          <w:rFonts w:ascii="Arial" w:cs="Arial" w:eastAsia="Arial" w:hAnsi="Arial"/>
          <w:sz w:val="20"/>
          <w:szCs w:val="20"/>
          <w:b w:val="1"/>
          <w:bCs w:val="1"/>
          <w:color w:val="auto"/>
        </w:rPr>
      </w:pPr>
    </w:p>
    <w:p>
      <w:pPr>
        <w:jc w:val="both"/>
        <w:ind w:left="660" w:hanging="652"/>
        <w:spacing w:after="0" w:line="263" w:lineRule="auto"/>
        <w:tabs>
          <w:tab w:leader="none" w:pos="649" w:val="left"/>
        </w:tabs>
        <w:numPr>
          <w:ilvl w:val="0"/>
          <w:numId w:val="15"/>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Incentive Targets: </w:t>
      </w:r>
      <w:r>
        <w:rPr>
          <w:rFonts w:ascii="Arial" w:cs="Arial" w:eastAsia="Arial" w:hAnsi="Arial"/>
          <w:sz w:val="20"/>
          <w:szCs w:val="20"/>
          <w:color w:val="auto"/>
        </w:rPr>
        <w:t>Participants are eligible to earn an incentive bonus equal to a percentage of their base salary based</w:t>
      </w:r>
      <w:r>
        <w:rPr>
          <w:rFonts w:ascii="Arial" w:cs="Arial" w:eastAsia="Arial" w:hAnsi="Arial"/>
          <w:sz w:val="20"/>
          <w:szCs w:val="20"/>
          <w:b w:val="1"/>
          <w:bCs w:val="1"/>
          <w:color w:val="auto"/>
        </w:rPr>
        <w:t xml:space="preserve"> </w:t>
      </w:r>
      <w:r>
        <w:rPr>
          <w:rFonts w:ascii="Arial" w:cs="Arial" w:eastAsia="Arial" w:hAnsi="Arial"/>
          <w:sz w:val="20"/>
          <w:szCs w:val="20"/>
          <w:color w:val="auto"/>
        </w:rPr>
        <w:t>on the Company’s achievement of certain performance metrics as set forth below. Nominal, target and stretch incentive awards have been established as follows (shown as a percentage of the participant’s base salary):</w:t>
      </w:r>
    </w:p>
    <w:p>
      <w:pPr>
        <w:spacing w:after="0" w:line="240" w:lineRule="exact"/>
        <w:rPr>
          <w:sz w:val="20"/>
          <w:szCs w:val="20"/>
          <w:color w:val="auto"/>
        </w:rPr>
      </w:pPr>
    </w:p>
    <w:tbl>
      <w:tblPr>
        <w:tblLayout w:type="fixed"/>
        <w:tblInd w:w="1590" w:type="dxa"/>
        <w:tblCellMar>
          <w:top w:w="0" w:type="dxa"/>
          <w:left w:w="0" w:type="dxa"/>
          <w:bottom w:w="0" w:type="dxa"/>
          <w:right w:w="0" w:type="dxa"/>
        </w:tblCellMar>
      </w:tblPr>
      <w:tr>
        <w:trPr>
          <w:trHeight w:val="166"/>
        </w:trPr>
        <w:tc>
          <w:tcPr>
            <w:tcW w:w="2100" w:type="dxa"/>
            <w:vAlign w:val="bottom"/>
            <w:tcBorders>
              <w:left w:val="single" w:sz="8" w:color="auto"/>
              <w:right w:val="single" w:sz="8" w:color="auto"/>
            </w:tcBorders>
            <w:shd w:val="clear" w:color="auto" w:fill="000000"/>
          </w:tcPr>
          <w:p>
            <w:pPr>
              <w:spacing w:after="0"/>
              <w:rPr>
                <w:sz w:val="14"/>
                <w:szCs w:val="14"/>
                <w:color w:val="auto"/>
              </w:rPr>
            </w:pPr>
          </w:p>
        </w:tc>
        <w:tc>
          <w:tcPr>
            <w:tcW w:w="152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14"/>
                <w:szCs w:val="14"/>
                <w:color w:val="FFFFFF"/>
              </w:rPr>
              <w:t>Incentive</w:t>
            </w:r>
          </w:p>
        </w:tc>
        <w:tc>
          <w:tcPr>
            <w:tcW w:w="1340" w:type="dxa"/>
            <w:vAlign w:val="bottom"/>
            <w:tcBorders>
              <w:right w:val="single" w:sz="8" w:color="auto"/>
            </w:tcBorders>
            <w:shd w:val="clear" w:color="auto" w:fill="000000"/>
          </w:tcPr>
          <w:p>
            <w:pPr>
              <w:ind w:left="360"/>
              <w:spacing w:after="0"/>
              <w:rPr>
                <w:sz w:val="20"/>
                <w:szCs w:val="20"/>
                <w:color w:val="auto"/>
              </w:rPr>
            </w:pPr>
            <w:r>
              <w:rPr>
                <w:rFonts w:ascii="Arial" w:cs="Arial" w:eastAsia="Arial" w:hAnsi="Arial"/>
                <w:sz w:val="14"/>
                <w:szCs w:val="14"/>
                <w:color w:val="FFFFFF"/>
              </w:rPr>
              <w:t>Incentive</w:t>
            </w:r>
          </w:p>
        </w:tc>
        <w:tc>
          <w:tcPr>
            <w:tcW w:w="134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14"/>
                <w:szCs w:val="14"/>
                <w:color w:val="FFFFFF"/>
              </w:rPr>
              <w:t>Incentive</w:t>
            </w:r>
          </w:p>
        </w:tc>
        <w:tc>
          <w:tcPr>
            <w:tcW w:w="0" w:type="dxa"/>
            <w:vAlign w:val="bottom"/>
          </w:tcPr>
          <w:p>
            <w:pPr>
              <w:spacing w:after="0"/>
              <w:rPr>
                <w:sz w:val="1"/>
                <w:szCs w:val="1"/>
                <w:color w:val="auto"/>
              </w:rPr>
            </w:pPr>
          </w:p>
        </w:tc>
      </w:tr>
      <w:tr>
        <w:trPr>
          <w:trHeight w:val="190"/>
        </w:trPr>
        <w:tc>
          <w:tcPr>
            <w:tcW w:w="2100" w:type="dxa"/>
            <w:vAlign w:val="bottom"/>
            <w:tcBorders>
              <w:left w:val="single" w:sz="8" w:color="auto"/>
              <w:right w:val="single" w:sz="8" w:color="auto"/>
            </w:tcBorders>
            <w:vMerge w:val="restart"/>
            <w:shd w:val="clear" w:color="auto" w:fill="000000"/>
          </w:tcPr>
          <w:p>
            <w:pPr>
              <w:ind w:left="100"/>
              <w:spacing w:after="0"/>
              <w:rPr>
                <w:sz w:val="20"/>
                <w:szCs w:val="20"/>
                <w:color w:val="auto"/>
              </w:rPr>
            </w:pPr>
            <w:r>
              <w:rPr>
                <w:rFonts w:ascii="Arial" w:cs="Arial" w:eastAsia="Arial" w:hAnsi="Arial"/>
                <w:sz w:val="14"/>
                <w:szCs w:val="14"/>
                <w:color w:val="FFFFFF"/>
              </w:rPr>
              <w:t>Name</w:t>
            </w:r>
          </w:p>
        </w:tc>
        <w:tc>
          <w:tcPr>
            <w:tcW w:w="152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14"/>
                <w:szCs w:val="14"/>
                <w:color w:val="FFFFFF"/>
              </w:rPr>
              <w:t>At Nominal</w:t>
            </w:r>
          </w:p>
        </w:tc>
        <w:tc>
          <w:tcPr>
            <w:tcW w:w="1340" w:type="dxa"/>
            <w:vAlign w:val="bottom"/>
            <w:tcBorders>
              <w:right w:val="single" w:sz="8" w:color="auto"/>
            </w:tcBorders>
            <w:shd w:val="clear" w:color="auto" w:fill="000000"/>
          </w:tcPr>
          <w:p>
            <w:pPr>
              <w:ind w:left="360"/>
              <w:spacing w:after="0"/>
              <w:rPr>
                <w:sz w:val="20"/>
                <w:szCs w:val="20"/>
                <w:color w:val="auto"/>
              </w:rPr>
            </w:pPr>
            <w:r>
              <w:rPr>
                <w:rFonts w:ascii="Arial" w:cs="Arial" w:eastAsia="Arial" w:hAnsi="Arial"/>
                <w:sz w:val="14"/>
                <w:szCs w:val="14"/>
                <w:color w:val="FFFFFF"/>
              </w:rPr>
              <w:t>At Target</w:t>
            </w:r>
          </w:p>
        </w:tc>
        <w:tc>
          <w:tcPr>
            <w:tcW w:w="134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14"/>
                <w:szCs w:val="14"/>
                <w:color w:val="FFFFFF"/>
              </w:rPr>
              <w:t>At Stretch</w:t>
            </w:r>
          </w:p>
        </w:tc>
        <w:tc>
          <w:tcPr>
            <w:tcW w:w="0" w:type="dxa"/>
            <w:vAlign w:val="bottom"/>
          </w:tcPr>
          <w:p>
            <w:pPr>
              <w:spacing w:after="0"/>
              <w:rPr>
                <w:sz w:val="1"/>
                <w:szCs w:val="1"/>
                <w:color w:val="auto"/>
              </w:rPr>
            </w:pPr>
          </w:p>
        </w:tc>
      </w:tr>
      <w:tr>
        <w:trPr>
          <w:trHeight w:val="123"/>
        </w:trPr>
        <w:tc>
          <w:tcPr>
            <w:tcW w:w="2100" w:type="dxa"/>
            <w:vAlign w:val="bottom"/>
            <w:tcBorders>
              <w:left w:val="single" w:sz="8" w:color="auto"/>
              <w:bottom w:val="single" w:sz="8" w:color="auto"/>
              <w:right w:val="single" w:sz="8" w:color="auto"/>
            </w:tcBorders>
            <w:vMerge w:val="continue"/>
            <w:shd w:val="clear" w:color="auto" w:fill="000000"/>
          </w:tcPr>
          <w:p>
            <w:pPr>
              <w:spacing w:after="0"/>
              <w:rPr>
                <w:sz w:val="10"/>
                <w:szCs w:val="10"/>
                <w:color w:val="auto"/>
              </w:rPr>
            </w:pPr>
          </w:p>
        </w:tc>
        <w:tc>
          <w:tcPr>
            <w:tcW w:w="1520" w:type="dxa"/>
            <w:vAlign w:val="bottom"/>
            <w:tcBorders>
              <w:bottom w:val="single" w:sz="8" w:color="auto"/>
              <w:right w:val="single" w:sz="8" w:color="auto"/>
            </w:tcBorders>
            <w:shd w:val="clear" w:color="auto" w:fill="000000"/>
          </w:tcPr>
          <w:p>
            <w:pPr>
              <w:spacing w:after="0"/>
              <w:rPr>
                <w:sz w:val="10"/>
                <w:szCs w:val="10"/>
                <w:color w:val="auto"/>
              </w:rPr>
            </w:pPr>
          </w:p>
        </w:tc>
        <w:tc>
          <w:tcPr>
            <w:tcW w:w="1340" w:type="dxa"/>
            <w:vAlign w:val="bottom"/>
            <w:tcBorders>
              <w:bottom w:val="single" w:sz="8" w:color="auto"/>
              <w:right w:val="single" w:sz="8" w:color="auto"/>
            </w:tcBorders>
            <w:shd w:val="clear" w:color="auto" w:fill="000000"/>
          </w:tcPr>
          <w:p>
            <w:pPr>
              <w:spacing w:after="0"/>
              <w:rPr>
                <w:sz w:val="10"/>
                <w:szCs w:val="10"/>
                <w:color w:val="auto"/>
              </w:rPr>
            </w:pPr>
          </w:p>
        </w:tc>
        <w:tc>
          <w:tcPr>
            <w:tcW w:w="1340" w:type="dxa"/>
            <w:vAlign w:val="bottom"/>
            <w:tcBorders>
              <w:bottom w:val="single" w:sz="8" w:color="auto"/>
              <w:right w:val="single" w:sz="8" w:color="auto"/>
            </w:tcBorders>
            <w:shd w:val="clear" w:color="auto" w:fill="000000"/>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21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CEO</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80%</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160%</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320%</w:t>
            </w:r>
          </w:p>
        </w:tc>
        <w:tc>
          <w:tcPr>
            <w:tcW w:w="0" w:type="dxa"/>
            <w:vAlign w:val="bottom"/>
          </w:tcPr>
          <w:p>
            <w:pPr>
              <w:spacing w:after="0"/>
              <w:rPr>
                <w:sz w:val="1"/>
                <w:szCs w:val="1"/>
                <w:color w:val="auto"/>
              </w:rPr>
            </w:pPr>
          </w:p>
        </w:tc>
      </w:tr>
      <w:tr>
        <w:trPr>
          <w:trHeight w:val="196"/>
        </w:trPr>
        <w:tc>
          <w:tcPr>
            <w:tcW w:w="21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CFO</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50%</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100%</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196"/>
        </w:trPr>
        <w:tc>
          <w:tcPr>
            <w:tcW w:w="21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Other CEO Direct Reports</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40%</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80%</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160%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7" w:lineRule="exact"/>
        <w:rPr>
          <w:sz w:val="20"/>
          <w:szCs w:val="20"/>
          <w:color w:val="auto"/>
        </w:rPr>
      </w:pPr>
    </w:p>
    <w:p>
      <w:pPr>
        <w:ind w:left="640" w:hanging="632"/>
        <w:spacing w:after="0"/>
        <w:tabs>
          <w:tab w:leader="none" w:pos="640" w:val="left"/>
        </w:tabs>
        <w:numPr>
          <w:ilvl w:val="0"/>
          <w:numId w:val="16"/>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Metrics: </w:t>
      </w:r>
      <w:r>
        <w:rPr>
          <w:rFonts w:ascii="Arial" w:cs="Arial" w:eastAsia="Arial" w:hAnsi="Arial"/>
          <w:sz w:val="20"/>
          <w:szCs w:val="20"/>
          <w:color w:val="auto"/>
        </w:rPr>
        <w:t>The performance metrics for FY25 are as follows:</w:t>
      </w:r>
    </w:p>
    <w:p>
      <w:pPr>
        <w:spacing w:after="0" w:line="307" w:lineRule="exact"/>
        <w:rPr>
          <w:sz w:val="20"/>
          <w:szCs w:val="20"/>
          <w:color w:val="auto"/>
        </w:rPr>
      </w:pPr>
    </w:p>
    <w:tbl>
      <w:tblPr>
        <w:tblLayout w:type="fixed"/>
        <w:tblInd w:w="930" w:type="dxa"/>
        <w:tblCellMar>
          <w:top w:w="0" w:type="dxa"/>
          <w:left w:w="0" w:type="dxa"/>
          <w:bottom w:w="0" w:type="dxa"/>
          <w:right w:w="0" w:type="dxa"/>
        </w:tblCellMar>
      </w:tblPr>
      <w:tr>
        <w:trPr>
          <w:trHeight w:val="230"/>
        </w:trPr>
        <w:tc>
          <w:tcPr>
            <w:tcW w:w="3160" w:type="dxa"/>
            <w:vAlign w:val="bottom"/>
            <w:tcBorders>
              <w:left w:val="single" w:sz="8" w:color="auto"/>
              <w:right w:val="single" w:sz="8" w:color="auto"/>
            </w:tcBorders>
            <w:shd w:val="clear" w:color="auto" w:fill="000000"/>
          </w:tcPr>
          <w:p>
            <w:pPr>
              <w:ind w:left="60"/>
              <w:spacing w:after="0"/>
              <w:rPr>
                <w:sz w:val="20"/>
                <w:szCs w:val="20"/>
                <w:color w:val="auto"/>
              </w:rPr>
            </w:pPr>
            <w:r>
              <w:rPr>
                <w:rFonts w:ascii="Arial" w:cs="Arial" w:eastAsia="Arial" w:hAnsi="Arial"/>
                <w:sz w:val="14"/>
                <w:szCs w:val="14"/>
                <w:b w:val="1"/>
                <w:bCs w:val="1"/>
                <w:color w:val="FFFFFF"/>
              </w:rPr>
              <w:t>Metric ($M)</w:t>
            </w:r>
          </w:p>
        </w:tc>
        <w:tc>
          <w:tcPr>
            <w:tcW w:w="164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14"/>
                <w:szCs w:val="14"/>
                <w:b w:val="1"/>
                <w:bCs w:val="1"/>
                <w:color w:val="FFFFFF"/>
              </w:rPr>
              <w:t>Nominal</w:t>
            </w:r>
          </w:p>
        </w:tc>
        <w:tc>
          <w:tcPr>
            <w:tcW w:w="174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14"/>
                <w:szCs w:val="14"/>
                <w:b w:val="1"/>
                <w:bCs w:val="1"/>
                <w:color w:val="FFFFFF"/>
              </w:rPr>
              <w:t>Target</w:t>
            </w:r>
          </w:p>
        </w:tc>
        <w:tc>
          <w:tcPr>
            <w:tcW w:w="1740" w:type="dxa"/>
            <w:vAlign w:val="bottom"/>
            <w:tcBorders>
              <w:right w:val="single" w:sz="8" w:color="auto"/>
            </w:tcBorders>
            <w:shd w:val="clear" w:color="auto" w:fill="000000"/>
          </w:tcPr>
          <w:p>
            <w:pPr>
              <w:jc w:val="center"/>
              <w:ind w:right="8"/>
              <w:spacing w:after="0"/>
              <w:rPr>
                <w:sz w:val="20"/>
                <w:szCs w:val="20"/>
                <w:color w:val="auto"/>
              </w:rPr>
            </w:pPr>
            <w:r>
              <w:rPr>
                <w:rFonts w:ascii="Arial" w:cs="Arial" w:eastAsia="Arial" w:hAnsi="Arial"/>
                <w:sz w:val="14"/>
                <w:szCs w:val="14"/>
                <w:b w:val="1"/>
                <w:bCs w:val="1"/>
                <w:color w:val="FFFFFF"/>
              </w:rPr>
              <w:t>Stretch</w:t>
            </w:r>
          </w:p>
        </w:tc>
      </w:tr>
      <w:tr>
        <w:trPr>
          <w:trHeight w:val="229"/>
        </w:trPr>
        <w:tc>
          <w:tcPr>
            <w:tcW w:w="316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Corporate Operating Income Dollars</w:t>
            </w:r>
            <w:r>
              <w:rPr>
                <w:rFonts w:ascii="Arial" w:cs="Arial" w:eastAsia="Arial" w:hAnsi="Arial"/>
                <w:sz w:val="18"/>
                <w:szCs w:val="18"/>
                <w:color w:val="auto"/>
                <w:vertAlign w:val="superscript"/>
              </w:rPr>
              <w:t>1</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FF0000"/>
              </w:rPr>
              <w:t>[**]</w:t>
            </w:r>
          </w:p>
        </w:tc>
        <w:tc>
          <w:tcPr>
            <w:tcW w:w="1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FF0000"/>
              </w:rPr>
              <w:t>[**]</w:t>
            </w:r>
          </w:p>
        </w:tc>
        <w:tc>
          <w:tcPr>
            <w:tcW w:w="1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FF0000"/>
              </w:rPr>
              <w:t>[**]</w:t>
            </w:r>
          </w:p>
        </w:tc>
      </w:tr>
      <w:tr>
        <w:trPr>
          <w:trHeight w:val="192"/>
        </w:trPr>
        <w:tc>
          <w:tcPr>
            <w:tcW w:w="316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Corporate Revenue</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FF0000"/>
              </w:rPr>
              <w:t>[**]</w:t>
            </w:r>
          </w:p>
        </w:tc>
        <w:tc>
          <w:tcPr>
            <w:tcW w:w="1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FF0000"/>
              </w:rPr>
              <w:t>[**]</w:t>
            </w:r>
          </w:p>
        </w:tc>
        <w:tc>
          <w:tcPr>
            <w:tcW w:w="1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FF0000"/>
              </w:rPr>
              <w:t>[**]</w:t>
            </w:r>
          </w:p>
        </w:tc>
      </w:tr>
    </w:tbl>
    <w:p>
      <w:pPr>
        <w:spacing w:after="0" w:line="72" w:lineRule="exact"/>
        <w:rPr>
          <w:sz w:val="20"/>
          <w:szCs w:val="20"/>
          <w:color w:val="auto"/>
        </w:rPr>
      </w:pPr>
    </w:p>
    <w:p>
      <w:pPr>
        <w:ind w:left="740" w:hanging="84"/>
        <w:spacing w:after="0"/>
        <w:tabs>
          <w:tab w:leader="none" w:pos="740" w:val="left"/>
        </w:tabs>
        <w:numPr>
          <w:ilvl w:val="0"/>
          <w:numId w:val="17"/>
        </w:numPr>
        <w:rPr>
          <w:rFonts w:ascii="Arial" w:cs="Arial" w:eastAsia="Arial" w:hAnsi="Arial"/>
          <w:sz w:val="9"/>
          <w:szCs w:val="9"/>
          <w:color w:val="auto"/>
        </w:rPr>
      </w:pPr>
      <w:r>
        <w:rPr>
          <w:rFonts w:ascii="Arial" w:cs="Arial" w:eastAsia="Arial" w:hAnsi="Arial"/>
          <w:sz w:val="14"/>
          <w:szCs w:val="14"/>
          <w:color w:val="auto"/>
        </w:rPr>
        <w:t>Non-GAAP operating income</w:t>
      </w:r>
    </w:p>
    <w:p>
      <w:pPr>
        <w:spacing w:after="0" w:line="29" w:lineRule="exact"/>
        <w:rPr>
          <w:sz w:val="20"/>
          <w:szCs w:val="20"/>
          <w:color w:val="auto"/>
        </w:rPr>
      </w:pPr>
    </w:p>
    <w:p>
      <w:pPr>
        <w:ind w:left="660"/>
        <w:spacing w:after="0"/>
        <w:rPr>
          <w:sz w:val="20"/>
          <w:szCs w:val="20"/>
          <w:color w:val="auto"/>
        </w:rPr>
      </w:pPr>
      <w:r>
        <w:rPr>
          <w:rFonts w:ascii="Arial" w:cs="Arial" w:eastAsia="Arial" w:hAnsi="Arial"/>
          <w:sz w:val="14"/>
          <w:szCs w:val="14"/>
          <w:color w:val="auto"/>
        </w:rPr>
        <w:t>Note: Minimum FY25 annual operating level of performance = FY25 nominal non-GAAP operating income metric above</w:t>
      </w:r>
    </w:p>
    <w:p>
      <w:pPr>
        <w:spacing w:after="0" w:line="200" w:lineRule="exact"/>
        <w:rPr>
          <w:sz w:val="20"/>
          <w:szCs w:val="20"/>
          <w:color w:val="auto"/>
        </w:rPr>
      </w:pPr>
    </w:p>
    <w:p>
      <w:pPr>
        <w:spacing w:after="0" w:line="274" w:lineRule="exact"/>
        <w:rPr>
          <w:sz w:val="20"/>
          <w:szCs w:val="20"/>
          <w:color w:val="auto"/>
        </w:rPr>
      </w:pPr>
    </w:p>
    <w:p>
      <w:pPr>
        <w:jc w:val="both"/>
        <w:ind w:left="660"/>
        <w:spacing w:after="0" w:line="259" w:lineRule="auto"/>
        <w:rPr>
          <w:sz w:val="20"/>
          <w:szCs w:val="20"/>
          <w:color w:val="auto"/>
        </w:rPr>
      </w:pPr>
      <w:r>
        <w:rPr>
          <w:rFonts w:ascii="Arial" w:cs="Arial" w:eastAsia="Arial" w:hAnsi="Arial"/>
          <w:sz w:val="20"/>
          <w:szCs w:val="20"/>
          <w:color w:val="auto"/>
        </w:rPr>
        <w:t>Each performance metric above anticipates normal operations. Any changes or adjustments to the performance metrics (or metric weightings) to take account of extraordinary, unusual, or special items (e.g., restructurings, acquisitions and/or dispositions), or such other items as the Compensation Committee may determine in its sole discretion, will be made in the sole discretion of the Compensation Committee.</w:t>
      </w:r>
    </w:p>
    <w:p>
      <w:pPr>
        <w:sectPr>
          <w:pgSz w:w="11900" w:h="16838" w:orient="portrait"/>
          <w:cols w:equalWidth="0" w:num="1">
            <w:col w:w="11240"/>
          </w:cols>
          <w:pgMar w:left="320" w:top="60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240"/>
          </w:cols>
          <w:pgMar w:left="320" w:top="603" w:right="339" w:bottom="1440" w:gutter="0" w:footer="0" w:header="0"/>
          <w:type w:val="continuous"/>
        </w:sectPr>
      </w:pPr>
    </w:p>
    <w:bookmarkStart w:id="28" w:name="page29"/>
    <w:bookmarkEnd w:id="28"/>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60"/>
        <w:spacing w:after="0" w:line="286" w:lineRule="auto"/>
        <w:rPr>
          <w:sz w:val="20"/>
          <w:szCs w:val="20"/>
          <w:color w:val="auto"/>
        </w:rPr>
      </w:pPr>
      <w:r>
        <w:rPr>
          <w:rFonts w:ascii="Arial" w:cs="Arial" w:eastAsia="Arial" w:hAnsi="Arial"/>
          <w:sz w:val="20"/>
          <w:szCs w:val="20"/>
          <w:color w:val="auto"/>
        </w:rPr>
        <w:t>Payments to be made with respect to the metrics will be weighted based on performance as follows, with percentages representing percentages of the participant’s target award:</w:t>
      </w:r>
    </w:p>
    <w:p>
      <w:pPr>
        <w:spacing w:after="0" w:line="229" w:lineRule="exact"/>
        <w:rPr>
          <w:sz w:val="20"/>
          <w:szCs w:val="20"/>
          <w:color w:val="auto"/>
        </w:rPr>
      </w:pPr>
    </w:p>
    <w:tbl>
      <w:tblPr>
        <w:tblLayout w:type="fixed"/>
        <w:tblInd w:w="2790" w:type="dxa"/>
        <w:tblCellMar>
          <w:top w:w="0" w:type="dxa"/>
          <w:left w:w="0" w:type="dxa"/>
          <w:bottom w:w="0" w:type="dxa"/>
          <w:right w:w="0" w:type="dxa"/>
        </w:tblCellMar>
      </w:tblPr>
      <w:tr>
        <w:trPr>
          <w:trHeight w:val="162"/>
        </w:trPr>
        <w:tc>
          <w:tcPr>
            <w:tcW w:w="1360" w:type="dxa"/>
            <w:vAlign w:val="bottom"/>
            <w:tcBorders>
              <w:left w:val="single" w:sz="8" w:color="auto"/>
              <w:right w:val="single" w:sz="8" w:color="auto"/>
            </w:tcBorders>
            <w:shd w:val="clear" w:color="auto" w:fill="000000"/>
          </w:tcPr>
          <w:p>
            <w:pPr>
              <w:spacing w:after="0"/>
              <w:rPr>
                <w:sz w:val="14"/>
                <w:szCs w:val="14"/>
                <w:color w:val="auto"/>
              </w:rPr>
            </w:pPr>
          </w:p>
        </w:tc>
        <w:tc>
          <w:tcPr>
            <w:tcW w:w="900" w:type="dxa"/>
            <w:vAlign w:val="bottom"/>
            <w:tcBorders>
              <w:right w:val="single" w:sz="8" w:color="auto"/>
            </w:tcBorders>
            <w:shd w:val="clear" w:color="auto" w:fill="000000"/>
          </w:tcPr>
          <w:p>
            <w:pPr>
              <w:jc w:val="center"/>
              <w:spacing w:after="0"/>
              <w:rPr>
                <w:sz w:val="20"/>
                <w:szCs w:val="20"/>
                <w:color w:val="auto"/>
              </w:rPr>
            </w:pPr>
            <w:r>
              <w:rPr>
                <w:rFonts w:ascii="Arial" w:cs="Arial" w:eastAsia="Arial" w:hAnsi="Arial"/>
                <w:sz w:val="14"/>
                <w:szCs w:val="14"/>
                <w:color w:val="FFFFFF"/>
              </w:rPr>
              <w:t>FY25</w:t>
            </w:r>
          </w:p>
        </w:tc>
        <w:tc>
          <w:tcPr>
            <w:tcW w:w="980" w:type="dxa"/>
            <w:vAlign w:val="bottom"/>
            <w:tcBorders>
              <w:right w:val="single" w:sz="8" w:color="auto"/>
            </w:tcBorders>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1360" w:type="dxa"/>
            <w:vAlign w:val="bottom"/>
            <w:tcBorders>
              <w:left w:val="single" w:sz="8" w:color="auto"/>
              <w:right w:val="single" w:sz="8" w:color="auto"/>
            </w:tcBorders>
            <w:shd w:val="clear" w:color="auto" w:fill="000000"/>
          </w:tcPr>
          <w:p>
            <w:pPr>
              <w:spacing w:after="0"/>
              <w:rPr>
                <w:sz w:val="12"/>
                <w:szCs w:val="12"/>
                <w:color w:val="auto"/>
              </w:rPr>
            </w:pPr>
          </w:p>
        </w:tc>
        <w:tc>
          <w:tcPr>
            <w:tcW w:w="900" w:type="dxa"/>
            <w:vAlign w:val="bottom"/>
            <w:tcBorders>
              <w:right w:val="single" w:sz="8" w:color="auto"/>
            </w:tcBorders>
            <w:shd w:val="clear" w:color="auto" w:fill="000000"/>
          </w:tcPr>
          <w:p>
            <w:pPr>
              <w:ind w:left="120"/>
              <w:spacing w:after="0" w:line="139" w:lineRule="exact"/>
              <w:rPr>
                <w:sz w:val="20"/>
                <w:szCs w:val="20"/>
                <w:color w:val="auto"/>
              </w:rPr>
            </w:pPr>
            <w:r>
              <w:rPr>
                <w:rFonts w:ascii="Arial" w:cs="Arial" w:eastAsia="Arial" w:hAnsi="Arial"/>
                <w:sz w:val="14"/>
                <w:szCs w:val="14"/>
                <w:color w:val="FFFFFF"/>
              </w:rPr>
              <w:t>Operating</w:t>
            </w:r>
          </w:p>
        </w:tc>
        <w:tc>
          <w:tcPr>
            <w:tcW w:w="980" w:type="dxa"/>
            <w:vAlign w:val="bottom"/>
            <w:tcBorders>
              <w:right w:val="single" w:sz="8" w:color="auto"/>
            </w:tcBorders>
            <w:vMerge w:val="restart"/>
            <w:shd w:val="clear" w:color="auto" w:fill="000000"/>
          </w:tcPr>
          <w:p>
            <w:pPr>
              <w:jc w:val="center"/>
              <w:spacing w:after="0"/>
              <w:rPr>
                <w:sz w:val="20"/>
                <w:szCs w:val="20"/>
                <w:color w:val="auto"/>
              </w:rPr>
            </w:pPr>
            <w:r>
              <w:rPr>
                <w:rFonts w:ascii="Arial" w:cs="Arial" w:eastAsia="Arial" w:hAnsi="Arial"/>
                <w:sz w:val="14"/>
                <w:szCs w:val="14"/>
                <w:color w:val="FFFFFF"/>
              </w:rPr>
              <w:t>FY25</w:t>
            </w:r>
          </w:p>
        </w:tc>
        <w:tc>
          <w:tcPr>
            <w:tcW w:w="0" w:type="dxa"/>
            <w:vAlign w:val="bottom"/>
          </w:tcPr>
          <w:p>
            <w:pPr>
              <w:spacing w:after="0"/>
              <w:rPr>
                <w:sz w:val="1"/>
                <w:szCs w:val="1"/>
                <w:color w:val="auto"/>
              </w:rPr>
            </w:pPr>
          </w:p>
        </w:tc>
      </w:tr>
      <w:tr>
        <w:trPr>
          <w:trHeight w:val="144"/>
        </w:trPr>
        <w:tc>
          <w:tcPr>
            <w:tcW w:w="1360" w:type="dxa"/>
            <w:vAlign w:val="bottom"/>
            <w:tcBorders>
              <w:left w:val="single" w:sz="8" w:color="auto"/>
              <w:right w:val="single" w:sz="8" w:color="auto"/>
            </w:tcBorders>
            <w:shd w:val="clear" w:color="auto" w:fill="000000"/>
          </w:tcPr>
          <w:p>
            <w:pPr>
              <w:spacing w:after="0"/>
              <w:rPr>
                <w:sz w:val="12"/>
                <w:szCs w:val="12"/>
                <w:color w:val="auto"/>
              </w:rPr>
            </w:pPr>
          </w:p>
        </w:tc>
        <w:tc>
          <w:tcPr>
            <w:tcW w:w="900" w:type="dxa"/>
            <w:vAlign w:val="bottom"/>
            <w:tcBorders>
              <w:right w:val="single" w:sz="8" w:color="auto"/>
            </w:tcBorders>
            <w:shd w:val="clear" w:color="auto" w:fill="000000"/>
          </w:tcPr>
          <w:p>
            <w:pPr>
              <w:ind w:left="140"/>
              <w:spacing w:after="0" w:line="145" w:lineRule="exact"/>
              <w:rPr>
                <w:sz w:val="20"/>
                <w:szCs w:val="20"/>
                <w:color w:val="auto"/>
              </w:rPr>
            </w:pPr>
            <w:r>
              <w:rPr>
                <w:rFonts w:ascii="Arial" w:cs="Arial" w:eastAsia="Arial" w:hAnsi="Arial"/>
                <w:sz w:val="14"/>
                <w:szCs w:val="14"/>
                <w:color w:val="FFFFFF"/>
              </w:rPr>
              <w:t>Income $</w:t>
            </w:r>
          </w:p>
        </w:tc>
        <w:tc>
          <w:tcPr>
            <w:tcW w:w="980" w:type="dxa"/>
            <w:vAlign w:val="bottom"/>
            <w:tcBorders>
              <w:right w:val="single" w:sz="8" w:color="auto"/>
            </w:tcBorders>
            <w:vMerge w:val="continue"/>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360" w:type="dxa"/>
            <w:vAlign w:val="bottom"/>
            <w:tcBorders>
              <w:left w:val="single" w:sz="8" w:color="auto"/>
              <w:bottom w:val="single" w:sz="8" w:color="auto"/>
              <w:right w:val="single" w:sz="8" w:color="auto"/>
            </w:tcBorders>
            <w:shd w:val="clear" w:color="auto" w:fill="000000"/>
          </w:tcPr>
          <w:p>
            <w:pPr>
              <w:spacing w:after="0"/>
              <w:rPr>
                <w:sz w:val="18"/>
                <w:szCs w:val="18"/>
                <w:color w:val="auto"/>
              </w:rPr>
            </w:pPr>
          </w:p>
        </w:tc>
        <w:tc>
          <w:tcPr>
            <w:tcW w:w="900" w:type="dxa"/>
            <w:vAlign w:val="bottom"/>
            <w:tcBorders>
              <w:bottom w:val="single" w:sz="8" w:color="auto"/>
              <w:right w:val="single" w:sz="8" w:color="auto"/>
            </w:tcBorders>
            <w:shd w:val="clear" w:color="auto" w:fill="000000"/>
          </w:tcPr>
          <w:p>
            <w:pPr>
              <w:spacing w:after="0"/>
              <w:rPr>
                <w:sz w:val="18"/>
                <w:szCs w:val="18"/>
                <w:color w:val="auto"/>
              </w:rPr>
            </w:pPr>
          </w:p>
        </w:tc>
        <w:tc>
          <w:tcPr>
            <w:tcW w:w="980" w:type="dxa"/>
            <w:vAlign w:val="bottom"/>
            <w:tcBorders>
              <w:bottom w:val="single" w:sz="8" w:color="auto"/>
              <w:right w:val="single" w:sz="8" w:color="auto"/>
            </w:tcBorders>
            <w:shd w:val="clear" w:color="auto" w:fill="000000"/>
          </w:tcPr>
          <w:p>
            <w:pPr>
              <w:ind w:left="200"/>
              <w:spacing w:after="0"/>
              <w:rPr>
                <w:sz w:val="20"/>
                <w:szCs w:val="20"/>
                <w:color w:val="auto"/>
              </w:rPr>
            </w:pPr>
            <w:r>
              <w:rPr>
                <w:rFonts w:ascii="Arial" w:cs="Arial" w:eastAsia="Arial" w:hAnsi="Arial"/>
                <w:sz w:val="14"/>
                <w:szCs w:val="14"/>
                <w:color w:val="FFFFFF"/>
              </w:rPr>
              <w:t>Revenue</w:t>
            </w:r>
          </w:p>
        </w:tc>
        <w:tc>
          <w:tcPr>
            <w:tcW w:w="0" w:type="dxa"/>
            <w:vAlign w:val="bottom"/>
          </w:tcPr>
          <w:p>
            <w:pPr>
              <w:spacing w:after="0"/>
              <w:rPr>
                <w:sz w:val="1"/>
                <w:szCs w:val="1"/>
                <w:color w:val="auto"/>
              </w:rPr>
            </w:pPr>
          </w:p>
        </w:tc>
      </w:tr>
      <w:tr>
        <w:trPr>
          <w:trHeight w:val="198"/>
        </w:trPr>
        <w:tc>
          <w:tcPr>
            <w:tcW w:w="13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4"/>
                <w:szCs w:val="14"/>
                <w:color w:val="auto"/>
              </w:rPr>
              <w:t>All Participants</w:t>
            </w:r>
          </w:p>
        </w:tc>
        <w:tc>
          <w:tcPr>
            <w:tcW w:w="900" w:type="dxa"/>
            <w:vAlign w:val="bottom"/>
            <w:tcBorders>
              <w:bottom w:val="single" w:sz="8" w:color="auto"/>
              <w:right w:val="single" w:sz="8" w:color="auto"/>
            </w:tcBorders>
          </w:tcPr>
          <w:p>
            <w:pPr>
              <w:jc w:val="right"/>
              <w:ind w:right="248"/>
              <w:spacing w:after="0"/>
              <w:rPr>
                <w:sz w:val="20"/>
                <w:szCs w:val="20"/>
                <w:color w:val="auto"/>
              </w:rPr>
            </w:pPr>
            <w:r>
              <w:rPr>
                <w:rFonts w:ascii="Arial" w:cs="Arial" w:eastAsia="Arial" w:hAnsi="Arial"/>
                <w:sz w:val="14"/>
                <w:szCs w:val="14"/>
                <w:color w:val="auto"/>
              </w:rPr>
              <w:t>50%</w:t>
            </w:r>
          </w:p>
        </w:tc>
        <w:tc>
          <w:tcPr>
            <w:tcW w:w="980" w:type="dxa"/>
            <w:vAlign w:val="bottom"/>
            <w:tcBorders>
              <w:bottom w:val="single" w:sz="8" w:color="auto"/>
              <w:right w:val="single" w:sz="8" w:color="auto"/>
            </w:tcBorders>
          </w:tcPr>
          <w:p>
            <w:pPr>
              <w:jc w:val="right"/>
              <w:ind w:right="288"/>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0" w:lineRule="exact"/>
        <w:rPr>
          <w:sz w:val="20"/>
          <w:szCs w:val="20"/>
          <w:color w:val="auto"/>
        </w:rPr>
      </w:pPr>
    </w:p>
    <w:p>
      <w:pPr>
        <w:jc w:val="both"/>
        <w:ind w:left="660" w:hanging="652"/>
        <w:spacing w:after="0" w:line="243" w:lineRule="auto"/>
        <w:tabs>
          <w:tab w:leader="none" w:pos="649" w:val="left"/>
        </w:tabs>
        <w:numPr>
          <w:ilvl w:val="0"/>
          <w:numId w:val="18"/>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How the Plan Works: </w:t>
      </w:r>
      <w:r>
        <w:rPr>
          <w:rFonts w:ascii="Arial" w:cs="Arial" w:eastAsia="Arial" w:hAnsi="Arial"/>
          <w:sz w:val="20"/>
          <w:szCs w:val="20"/>
          <w:color w:val="auto"/>
        </w:rPr>
        <w:t>Upon completion of the applicable performance period, the Chief Executive Officer will provide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Compensation Committee with recommendations for incentive award payments to all named participants of the plan except himself. The Chief Executive Officer may recommend awards below a participant’s nominal incentive award or above a participant’s stretch incentive award. The Chief Executive Officer may also recommend modifications to incentive payments (including, but not limited to, the delivery of equity awards in lieu of cash) to ensure an equitable distribution of incentives. The Committee will review the recommendations and approve the actual amount (and form) of the payment to be made to each participant, including the Chief Executive Officer. All incentive award payments under the FY25 Plan, if earned, will be paid by March 15</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of the calendar year following the end of the calendar year in which the performance period ends.</w:t>
      </w:r>
    </w:p>
    <w:p>
      <w:pPr>
        <w:spacing w:after="0" w:line="200" w:lineRule="exact"/>
        <w:rPr>
          <w:rFonts w:ascii="Arial" w:cs="Arial" w:eastAsia="Arial" w:hAnsi="Arial"/>
          <w:sz w:val="20"/>
          <w:szCs w:val="20"/>
          <w:b w:val="1"/>
          <w:bCs w:val="1"/>
          <w:color w:val="auto"/>
        </w:rPr>
      </w:pPr>
    </w:p>
    <w:p>
      <w:pPr>
        <w:spacing w:after="0" w:line="265" w:lineRule="exact"/>
        <w:rPr>
          <w:rFonts w:ascii="Arial" w:cs="Arial" w:eastAsia="Arial" w:hAnsi="Arial"/>
          <w:sz w:val="20"/>
          <w:szCs w:val="20"/>
          <w:b w:val="1"/>
          <w:bCs w:val="1"/>
          <w:color w:val="auto"/>
        </w:rPr>
      </w:pPr>
    </w:p>
    <w:p>
      <w:pPr>
        <w:jc w:val="both"/>
        <w:ind w:left="660" w:hanging="652"/>
        <w:spacing w:after="0" w:line="263" w:lineRule="auto"/>
        <w:tabs>
          <w:tab w:leader="none" w:pos="649" w:val="left"/>
        </w:tabs>
        <w:numPr>
          <w:ilvl w:val="0"/>
          <w:numId w:val="18"/>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Administration: </w:t>
      </w:r>
      <w:r>
        <w:rPr>
          <w:rFonts w:ascii="Arial" w:cs="Arial" w:eastAsia="Arial" w:hAnsi="Arial"/>
          <w:sz w:val="20"/>
          <w:szCs w:val="20"/>
          <w:color w:val="auto"/>
        </w:rPr>
        <w:t>If actual performance achieved for the applicable performance period falls between the applicable</w:t>
      </w:r>
      <w:r>
        <w:rPr>
          <w:rFonts w:ascii="Arial" w:cs="Arial" w:eastAsia="Arial" w:hAnsi="Arial"/>
          <w:sz w:val="20"/>
          <w:szCs w:val="20"/>
          <w:b w:val="1"/>
          <w:bCs w:val="1"/>
          <w:color w:val="auto"/>
        </w:rPr>
        <w:t xml:space="preserve"> </w:t>
      </w:r>
      <w:r>
        <w:rPr>
          <w:rFonts w:ascii="Arial" w:cs="Arial" w:eastAsia="Arial" w:hAnsi="Arial"/>
          <w:sz w:val="20"/>
          <w:szCs w:val="20"/>
          <w:color w:val="auto"/>
        </w:rPr>
        <w:t>Nominal and Target levels, or between the Target and Stretch levels, the achievement with respect to such metric shall be calculated based on a straight-line, mathematical interpolation between the applicable vesting percentages.</w:t>
      </w:r>
    </w:p>
    <w:p>
      <w:pPr>
        <w:spacing w:after="0" w:line="204" w:lineRule="exact"/>
        <w:rPr>
          <w:rFonts w:ascii="Arial" w:cs="Arial" w:eastAsia="Arial" w:hAnsi="Arial"/>
          <w:sz w:val="20"/>
          <w:szCs w:val="20"/>
          <w:b w:val="1"/>
          <w:bCs w:val="1"/>
          <w:color w:val="auto"/>
        </w:rPr>
      </w:pPr>
    </w:p>
    <w:p>
      <w:pPr>
        <w:ind w:left="660"/>
        <w:spacing w:after="0"/>
        <w:rPr>
          <w:rFonts w:ascii="Arial" w:cs="Arial" w:eastAsia="Arial" w:hAnsi="Arial"/>
          <w:sz w:val="20"/>
          <w:szCs w:val="20"/>
          <w:b w:val="1"/>
          <w:bCs w:val="1"/>
          <w:color w:val="auto"/>
        </w:rPr>
      </w:pPr>
      <w:r>
        <w:rPr>
          <w:rFonts w:ascii="Arial" w:cs="Arial" w:eastAsia="Arial" w:hAnsi="Arial"/>
          <w:sz w:val="20"/>
          <w:szCs w:val="20"/>
          <w:color w:val="auto"/>
        </w:rPr>
        <w:t>In order to fund the incentive plans and ensure the Company’s overall financial performance, the following terms apply:</w:t>
      </w:r>
    </w:p>
    <w:p>
      <w:pPr>
        <w:spacing w:after="0" w:line="242" w:lineRule="exact"/>
        <w:rPr>
          <w:rFonts w:ascii="Arial" w:cs="Arial" w:eastAsia="Arial" w:hAnsi="Arial"/>
          <w:sz w:val="20"/>
          <w:szCs w:val="20"/>
          <w:b w:val="1"/>
          <w:bCs w:val="1"/>
          <w:color w:val="auto"/>
        </w:rPr>
      </w:pPr>
    </w:p>
    <w:p>
      <w:pPr>
        <w:jc w:val="both"/>
        <w:ind w:left="980" w:hanging="324"/>
        <w:spacing w:after="0" w:line="262" w:lineRule="auto"/>
        <w:tabs>
          <w:tab w:leader="none" w:pos="968" w:val="left"/>
        </w:tabs>
        <w:numPr>
          <w:ilvl w:val="1"/>
          <w:numId w:val="18"/>
        </w:numPr>
        <w:rPr>
          <w:rFonts w:ascii="Times New Roman" w:cs="Times New Roman" w:eastAsia="Times New Roman" w:hAnsi="Times New Roman"/>
          <w:sz w:val="20"/>
          <w:szCs w:val="20"/>
          <w:color w:val="auto"/>
        </w:rPr>
      </w:pPr>
      <w:r>
        <w:rPr>
          <w:rFonts w:ascii="Arial" w:cs="Arial" w:eastAsia="Arial" w:hAnsi="Arial"/>
          <w:sz w:val="20"/>
          <w:szCs w:val="20"/>
          <w:color w:val="auto"/>
        </w:rPr>
        <w:t>No incentive payments will be made with respect to the metrics unless the Company meets its minimum operating income goal (in dollars) after accounting for any incentive award payments (“Minimum Operating Level of Performance”).</w:t>
      </w:r>
    </w:p>
    <w:p>
      <w:pPr>
        <w:spacing w:after="0" w:line="204" w:lineRule="exact"/>
        <w:rPr>
          <w:rFonts w:ascii="Times New Roman" w:cs="Times New Roman" w:eastAsia="Times New Roman" w:hAnsi="Times New Roman"/>
          <w:sz w:val="20"/>
          <w:szCs w:val="20"/>
          <w:color w:val="auto"/>
        </w:rPr>
      </w:pPr>
    </w:p>
    <w:p>
      <w:pPr>
        <w:jc w:val="both"/>
        <w:ind w:left="980" w:hanging="324"/>
        <w:spacing w:after="0" w:line="259" w:lineRule="auto"/>
        <w:tabs>
          <w:tab w:leader="none" w:pos="968" w:val="left"/>
        </w:tabs>
        <w:numPr>
          <w:ilvl w:val="1"/>
          <w:numId w:val="18"/>
        </w:numPr>
        <w:rPr>
          <w:rFonts w:ascii="Times New Roman" w:cs="Times New Roman" w:eastAsia="Times New Roman" w:hAnsi="Times New Roman"/>
          <w:sz w:val="20"/>
          <w:szCs w:val="20"/>
          <w:color w:val="auto"/>
        </w:rPr>
      </w:pPr>
      <w:r>
        <w:rPr>
          <w:rFonts w:ascii="Arial" w:cs="Arial" w:eastAsia="Arial" w:hAnsi="Arial"/>
          <w:sz w:val="20"/>
          <w:szCs w:val="20"/>
          <w:color w:val="auto"/>
        </w:rPr>
        <w:t>Any payment shall be conditioned upon the Participant’s employment by the Company on the date of payment; provided, however, that the Compensation Committee may make exceptions to this requirement, in its sole discretion, including, without limitation, in the case of a participant’s termination of employment, retirement, death or disability.</w:t>
      </w:r>
    </w:p>
    <w:p>
      <w:pPr>
        <w:spacing w:after="0" w:line="194" w:lineRule="exact"/>
        <w:rPr>
          <w:rFonts w:ascii="Times New Roman" w:cs="Times New Roman" w:eastAsia="Times New Roman" w:hAnsi="Times New Roman"/>
          <w:sz w:val="20"/>
          <w:szCs w:val="20"/>
          <w:color w:val="auto"/>
        </w:rPr>
      </w:pPr>
    </w:p>
    <w:p>
      <w:pPr>
        <w:ind w:left="980" w:hanging="324"/>
        <w:spacing w:after="0" w:line="285" w:lineRule="auto"/>
        <w:tabs>
          <w:tab w:leader="none" w:pos="968" w:val="left"/>
        </w:tabs>
        <w:numPr>
          <w:ilvl w:val="1"/>
          <w:numId w:val="18"/>
        </w:numPr>
        <w:rPr>
          <w:rFonts w:ascii="Times New Roman" w:cs="Times New Roman" w:eastAsia="Times New Roman" w:hAnsi="Times New Roman"/>
          <w:sz w:val="20"/>
          <w:szCs w:val="20"/>
          <w:color w:val="auto"/>
        </w:rPr>
      </w:pPr>
      <w:r>
        <w:rPr>
          <w:rFonts w:ascii="Arial" w:cs="Arial" w:eastAsia="Arial" w:hAnsi="Arial"/>
          <w:sz w:val="20"/>
          <w:szCs w:val="20"/>
          <w:color w:val="auto"/>
        </w:rPr>
        <w:t>Any payments made under this FY25 Plan will be subject to the provisions of any compensation clawback or recoupment policy that Skyworks has in effect or may adopt in the future.</w:t>
      </w:r>
    </w:p>
    <w:p>
      <w:pPr>
        <w:spacing w:after="0" w:line="200" w:lineRule="exact"/>
        <w:rPr>
          <w:rFonts w:ascii="Times New Roman" w:cs="Times New Roman" w:eastAsia="Times New Roman" w:hAnsi="Times New Roman"/>
          <w:sz w:val="20"/>
          <w:szCs w:val="20"/>
          <w:color w:val="auto"/>
        </w:rPr>
      </w:pPr>
    </w:p>
    <w:p>
      <w:pPr>
        <w:spacing w:after="0" w:line="222" w:lineRule="exact"/>
        <w:rPr>
          <w:rFonts w:ascii="Times New Roman" w:cs="Times New Roman" w:eastAsia="Times New Roman" w:hAnsi="Times New Roman"/>
          <w:sz w:val="20"/>
          <w:szCs w:val="20"/>
          <w:color w:val="auto"/>
        </w:rPr>
      </w:pPr>
    </w:p>
    <w:p>
      <w:pPr>
        <w:jc w:val="both"/>
        <w:ind w:left="660" w:hanging="652"/>
        <w:spacing w:after="0" w:line="263" w:lineRule="auto"/>
        <w:tabs>
          <w:tab w:leader="none" w:pos="649" w:val="left"/>
        </w:tabs>
        <w:numPr>
          <w:ilvl w:val="0"/>
          <w:numId w:val="18"/>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Taxes: </w:t>
      </w:r>
      <w:r>
        <w:rPr>
          <w:rFonts w:ascii="Arial" w:cs="Arial" w:eastAsia="Arial" w:hAnsi="Arial"/>
          <w:sz w:val="20"/>
          <w:szCs w:val="20"/>
          <w:color w:val="auto"/>
        </w:rPr>
        <w:t>All awards are subject to applicable taxes, including federal, state, local, and social security taxes. Payments</w:t>
      </w:r>
      <w:r>
        <w:rPr>
          <w:rFonts w:ascii="Arial" w:cs="Arial" w:eastAsia="Arial" w:hAnsi="Arial"/>
          <w:sz w:val="20"/>
          <w:szCs w:val="20"/>
          <w:b w:val="1"/>
          <w:bCs w:val="1"/>
          <w:color w:val="auto"/>
        </w:rPr>
        <w:t xml:space="preserve"> </w:t>
      </w:r>
      <w:r>
        <w:rPr>
          <w:rFonts w:ascii="Arial" w:cs="Arial" w:eastAsia="Arial" w:hAnsi="Arial"/>
          <w:sz w:val="20"/>
          <w:szCs w:val="20"/>
          <w:color w:val="auto"/>
        </w:rPr>
        <w:t>under this FY25 Plan will not affect the participant’s base salary, which is used as the basis for Skyworks’ benefits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40"/>
          </w:cols>
          <w:pgMar w:left="320" w:top="1440" w:right="339" w:bottom="1440" w:gutter="0" w:footer="0" w:header="0"/>
        </w:sectPr>
      </w:pPr>
    </w:p>
    <w:bookmarkStart w:id="29" w:name="page30"/>
    <w:bookmarkEnd w:id="29"/>
    <w:p>
      <w:pPr>
        <w:ind w:left="101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68" w:lineRule="exact"/>
        <w:rPr>
          <w:sz w:val="20"/>
          <w:szCs w:val="20"/>
          <w:color w:val="auto"/>
        </w:rPr>
      </w:pPr>
    </w:p>
    <w:p>
      <w:pPr>
        <w:ind w:left="340" w:right="20"/>
        <w:spacing w:after="0" w:line="282" w:lineRule="auto"/>
        <w:rPr>
          <w:sz w:val="20"/>
          <w:szCs w:val="20"/>
          <w:color w:val="auto"/>
        </w:rPr>
      </w:pPr>
      <w:r>
        <w:rPr>
          <w:rFonts w:ascii="Times New Roman" w:cs="Times New Roman" w:eastAsia="Times New Roman" w:hAnsi="Times New Roman"/>
          <w:sz w:val="18"/>
          <w:szCs w:val="18"/>
          <w:color w:val="auto"/>
        </w:rPr>
        <w:t>CERTIFICATION OF THE CEO PURSUANT TO SECURITIES EXCHANGE ACT RULES 13a-14(a) AND 15d-14(a) AS ADOPTED PURSUANT TO SECTION 302 OF THE SARBANES-OXLEY ACT OF 2002</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Liam K. Griffin, certify that:</w:t>
      </w:r>
    </w:p>
    <w:p>
      <w:pPr>
        <w:spacing w:after="0" w:line="117"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Skyworks Solutions, Inc.;</w:t>
      </w:r>
    </w:p>
    <w:p>
      <w:pPr>
        <w:spacing w:after="0" w:line="117"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3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300" w:right="220" w:hanging="320"/>
        <w:spacing w:after="0" w:line="312" w:lineRule="auto"/>
        <w:tabs>
          <w:tab w:leader="none" w:pos="1290"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300" w:right="240" w:hanging="320"/>
        <w:spacing w:after="0" w:line="266" w:lineRule="auto"/>
        <w:tabs>
          <w:tab w:leader="none" w:pos="13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520" w:hanging="320"/>
        <w:spacing w:after="0" w:line="282" w:lineRule="auto"/>
        <w:tabs>
          <w:tab w:leader="none" w:pos="129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200" w:hanging="320"/>
        <w:spacing w:after="0" w:line="282" w:lineRule="auto"/>
        <w:tabs>
          <w:tab w:leader="none" w:pos="13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5" w:lineRule="exact"/>
        <w:rPr>
          <w:sz w:val="20"/>
          <w:szCs w:val="20"/>
          <w:color w:val="auto"/>
        </w:rPr>
      </w:pPr>
    </w:p>
    <w:p>
      <w:pPr>
        <w:ind w:left="20"/>
        <w:spacing w:after="0"/>
        <w:tabs>
          <w:tab w:leader="none" w:pos="560" w:val="left"/>
        </w:tabs>
        <w:rPr>
          <w:sz w:val="20"/>
          <w:szCs w:val="20"/>
          <w:color w:val="auto"/>
        </w:rPr>
      </w:pPr>
      <w:r>
        <w:rPr>
          <w:rFonts w:ascii="Times New Roman" w:cs="Times New Roman" w:eastAsia="Times New Roman" w:hAnsi="Times New Roman"/>
          <w:sz w:val="18"/>
          <w:szCs w:val="18"/>
          <w:color w:val="auto"/>
        </w:rPr>
        <w:t>Date:</w:t>
        <w:tab/>
        <w:t>February 5, 2025</w:t>
      </w:r>
    </w:p>
    <w:p>
      <w:pPr>
        <w:spacing w:after="0" w:line="2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/s/ Liam K. Griffin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17145</wp:posOffset>
            </wp:positionV>
            <wp:extent cx="228854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4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Liam K. Griffin</w:t>
      </w:r>
    </w:p>
    <w:p>
      <w:pPr>
        <w:spacing w:after="0" w:line="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40"/>
          </w:cols>
          <w:pgMar w:left="320" w:top="887" w:right="339" w:bottom="1440" w:gutter="0" w:footer="0" w:header="0"/>
        </w:sectPr>
      </w:pPr>
    </w:p>
    <w:bookmarkStart w:id="30" w:name="page31"/>
    <w:bookmarkEnd w:id="30"/>
    <w:p>
      <w:pPr>
        <w:ind w:left="101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68" w:lineRule="exact"/>
        <w:rPr>
          <w:sz w:val="20"/>
          <w:szCs w:val="20"/>
          <w:color w:val="auto"/>
        </w:rPr>
      </w:pPr>
    </w:p>
    <w:p>
      <w:pPr>
        <w:ind w:left="340" w:right="40"/>
        <w:spacing w:after="0" w:line="282" w:lineRule="auto"/>
        <w:rPr>
          <w:sz w:val="20"/>
          <w:szCs w:val="20"/>
          <w:color w:val="auto"/>
        </w:rPr>
      </w:pPr>
      <w:r>
        <w:rPr>
          <w:rFonts w:ascii="Times New Roman" w:cs="Times New Roman" w:eastAsia="Times New Roman" w:hAnsi="Times New Roman"/>
          <w:sz w:val="18"/>
          <w:szCs w:val="18"/>
          <w:color w:val="auto"/>
        </w:rPr>
        <w:t>CERTIFICATION OF THE CFO PURSUANT TO SECURITIES EXCHANGE ACT RULES 13a-14(a) AND 15d-14(a) AS ADOPTED PURSUANT TO SECTION 302 OF THE SARBANES-OXLEY ACT OF 2002</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Kris Sennesael, certify that:</w:t>
      </w:r>
    </w:p>
    <w:p>
      <w:pPr>
        <w:spacing w:after="0" w:line="117"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Skyworks Solutions, Inc.;</w:t>
      </w:r>
    </w:p>
    <w:p>
      <w:pPr>
        <w:spacing w:after="0" w:line="117"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3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300" w:right="220" w:hanging="320"/>
        <w:spacing w:after="0" w:line="312" w:lineRule="auto"/>
        <w:tabs>
          <w:tab w:leader="none" w:pos="1290"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300" w:right="240" w:hanging="320"/>
        <w:spacing w:after="0" w:line="266" w:lineRule="auto"/>
        <w:tabs>
          <w:tab w:leader="none" w:pos="13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520" w:hanging="320"/>
        <w:spacing w:after="0" w:line="282" w:lineRule="auto"/>
        <w:tabs>
          <w:tab w:leader="none" w:pos="129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200" w:hanging="320"/>
        <w:spacing w:after="0" w:line="282" w:lineRule="auto"/>
        <w:tabs>
          <w:tab w:leader="none" w:pos="13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6" w:lineRule="exact"/>
        <w:rPr>
          <w:sz w:val="20"/>
          <w:szCs w:val="20"/>
          <w:color w:val="auto"/>
        </w:rPr>
      </w:pPr>
    </w:p>
    <w:p>
      <w:pPr>
        <w:ind w:left="20"/>
        <w:spacing w:after="0"/>
        <w:tabs>
          <w:tab w:leader="none" w:pos="580" w:val="left"/>
        </w:tabs>
        <w:rPr>
          <w:sz w:val="20"/>
          <w:szCs w:val="20"/>
          <w:color w:val="auto"/>
        </w:rPr>
      </w:pPr>
      <w:r>
        <w:rPr>
          <w:rFonts w:ascii="Times New Roman" w:cs="Times New Roman" w:eastAsia="Times New Roman" w:hAnsi="Times New Roman"/>
          <w:sz w:val="18"/>
          <w:szCs w:val="18"/>
          <w:color w:val="auto"/>
        </w:rPr>
        <w:t>Date:</w:t>
        <w:tab/>
        <w:t>February 5, 2025</w:t>
      </w:r>
    </w:p>
    <w:p>
      <w:pPr>
        <w:spacing w:after="0" w:line="2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 Kris Sennesael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17145</wp:posOffset>
            </wp:positionV>
            <wp:extent cx="242570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4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Kris Sennesael</w:t>
      </w:r>
    </w:p>
    <w:p>
      <w:pPr>
        <w:spacing w:after="0" w:line="6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ectPr>
          <w:pgSz w:w="11900" w:h="16838" w:orient="portrait"/>
          <w:cols w:equalWidth="0" w:num="1">
            <w:col w:w="11240"/>
          </w:cols>
          <w:pgMar w:left="320" w:top="887" w:right="339" w:bottom="1440" w:gutter="0" w:footer="0" w:header="0"/>
        </w:sectPr>
      </w:pPr>
    </w:p>
    <w:bookmarkStart w:id="31" w:name="page32"/>
    <w:bookmarkEnd w:id="31"/>
    <w:p>
      <w:pPr>
        <w:ind w:left="1012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68"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CERTIFICATION PURSUANT TO 18 U.S.C. SECTION 1350, AS ADOPTED PURSUANT TO SECTION 906 OF THE SARBANES-OXLEY ACT OF 2002</w:t>
      </w:r>
    </w:p>
    <w:p>
      <w:pPr>
        <w:spacing w:after="0" w:line="5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Skyworks Solutions, Inc. (the “Company”) on Form 10-Q for the period ended December 27, 2024 as filed with the Securities and Exchange Commission on the date hereof (the “Report”), I, Liam K. Griffin, President and Chief Executive Officer of the Company, certify, pursuant to 18 U.S.C. Section 1350, as adopted pursuant to Section 906 of the Sarbanes-Oxley Act of 2002, that:</w:t>
      </w:r>
    </w:p>
    <w:p>
      <w:pPr>
        <w:spacing w:after="0" w:line="203" w:lineRule="exact"/>
        <w:rPr>
          <w:sz w:val="20"/>
          <w:szCs w:val="20"/>
          <w:color w:val="auto"/>
        </w:rPr>
      </w:pPr>
    </w:p>
    <w:p>
      <w:pPr>
        <w:ind w:left="640" w:hanging="308"/>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9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/s/ Liam K. Griffin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Liam K. Griffin</w:t>
      </w: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February 5, 2025</w:t>
      </w:r>
    </w:p>
    <w:p>
      <w:pPr>
        <w:sectPr>
          <w:pgSz w:w="11900" w:h="16838" w:orient="portrait"/>
          <w:cols w:equalWidth="0" w:num="1">
            <w:col w:w="11240"/>
          </w:cols>
          <w:pgMar w:left="320" w:top="887" w:right="339" w:bottom="1440" w:gutter="0" w:footer="0" w:header="0"/>
        </w:sectPr>
      </w:pPr>
    </w:p>
    <w:bookmarkStart w:id="32" w:name="page33"/>
    <w:bookmarkEnd w:id="32"/>
    <w:p>
      <w:pPr>
        <w:ind w:left="10120"/>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68"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CERTIFICATION PURSUANT TO 18 U.S.C. SECTION 1350, AS ADOPTED PURSUANT TO SECTION 906 OF THE SARBANES-OXLEY ACT OF 2002</w:t>
      </w:r>
    </w:p>
    <w:p>
      <w:pPr>
        <w:spacing w:after="0" w:line="54"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Skyworks Solutions, Inc. (the “Company”) on Form 10-Q for the period ended December 27, 2024 as filed with the Securities and Exchange Commission on the date hereof (the “Report”), I, Kris Sennesael, Chief Financial Officer of the Company, certify, pursuant to 18 U.S.C. Section 1350, as adopted pursuant to Section 906 of the Sarbanes-Oxley Act of 2002, that:</w:t>
      </w:r>
    </w:p>
    <w:p>
      <w:pPr>
        <w:spacing w:after="0" w:line="203" w:lineRule="exact"/>
        <w:rPr>
          <w:sz w:val="20"/>
          <w:szCs w:val="20"/>
          <w:color w:val="auto"/>
        </w:rPr>
      </w:pPr>
    </w:p>
    <w:p>
      <w:pPr>
        <w:ind w:left="640" w:hanging="308"/>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9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/s/ Kris Sennesael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Kris Sennesael</w:t>
      </w:r>
    </w:p>
    <w:p>
      <w:pPr>
        <w:ind w:left="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February 5, 2025</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1)"/>
      <w:numFmt w:val="decimal"/>
      <w:start w:val="1"/>
    </w:lvl>
  </w:abstractNum>
  <w:abstractNum w:abstractNumId="5">
    <w:nsid w:val="DED7263"/>
    <w:multiLevelType w:val="hybridMultilevel"/>
    <w:lvl w:ilvl="0">
      <w:lvlJc w:val="left"/>
      <w:lvlText w:val="%1."/>
      <w:numFmt w:val="decimal"/>
      <w:start w:val="10"/>
    </w:lvl>
  </w:abstractNum>
  <w:abstractNum w:abstractNumId="6">
    <w:nsid w:val="7FDCC233"/>
    <w:multiLevelType w:val="hybridMultilevel"/>
    <w:lvl w:ilvl="0">
      <w:lvlJc w:val="left"/>
      <w:lvlText w:val="%1."/>
      <w:numFmt w:val="decimal"/>
      <w:start w:val="11"/>
    </w:lvl>
  </w:abstractNum>
  <w:abstractNum w:abstractNumId="7">
    <w:nsid w:val="1BEFD79F"/>
    <w:multiLevelType w:val="hybridMultilevel"/>
    <w:lvl w:ilvl="0">
      <w:lvlJc w:val="left"/>
      <w:lvlText w:val="%1."/>
      <w:numFmt w:val="decimal"/>
      <w:start w:val="13"/>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1)"/>
      <w:numFmt w:val="decimal"/>
      <w:start w:val="1"/>
    </w:lvl>
  </w:abstractNum>
  <w:abstractNum w:abstractNumId="12">
    <w:nsid w:val="519B500D"/>
    <w:multiLevelType w:val="hybridMultilevel"/>
    <w:lvl w:ilvl="0">
      <w:lvlJc w:val="left"/>
      <w:lvlText w:val="*"/>
      <w:numFmt w:val="bullet"/>
      <w:start w:val="1"/>
    </w:lvl>
    <w:lvl w:ilvl="1">
      <w:lvlJc w:val="left"/>
      <w:lvlText w:val="%2"/>
      <w:numFmt w:val="decimal"/>
      <w:start w:val="104"/>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1."/>
      <w:numFmt w:val="decimal"/>
      <w:start w:val="1"/>
    </w:lvl>
  </w:abstractNum>
  <w:abstractNum w:abstractNumId="15">
    <w:nsid w:val="7C83E458"/>
    <w:multiLevelType w:val="hybridMultilevel"/>
    <w:lvl w:ilvl="0">
      <w:lvlJc w:val="left"/>
      <w:lvlText w:val="%1."/>
      <w:numFmt w:val="decimal"/>
      <w:start w:val="5"/>
    </w:lvl>
  </w:abstractNum>
  <w:abstractNum w:abstractNumId="16">
    <w:nsid w:val="257130A3"/>
    <w:multiLevelType w:val="hybridMultilevel"/>
    <w:lvl w:ilvl="0">
      <w:lvlJc w:val="left"/>
      <w:lvlText w:val="1"/>
      <w:numFmt w:val="bullet"/>
      <w:start w:val="1"/>
    </w:lvl>
  </w:abstractNum>
  <w:abstractNum w:abstractNumId="17">
    <w:nsid w:val="62BBD95A"/>
    <w:multiLevelType w:val="hybridMultilevel"/>
    <w:lvl w:ilvl="0">
      <w:lvlJc w:val="left"/>
      <w:lvlText w:val="%1."/>
      <w:numFmt w:val="decimal"/>
      <w:start w:val="6"/>
    </w:lvl>
    <w:lvl w:ilvl="1">
      <w:lvlJc w:val="left"/>
      <w:lvlText w:val="•"/>
      <w:numFmt w:val="bullet"/>
      <w:start w:val="1"/>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2025-02-05T15:42:29Z</dcterms:created>
  <dcterms:modified xsi:type="dcterms:W3CDTF">2025-02-05T15:42:29Z</dcterms:modified>
</cp:coreProperties>
</file>