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BRUGGEWORTH ROBERT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5260 CALIFORNIA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SKYWORKS SOLUTIONS, INC.</w:t>
              </w:r>
            </w:hyperlink>
            <w:r>
              <w:rPr/>
              <w:t xml:space="preserve"> [ </w:t>
            </w:r>
            <w:r>
              <w:rPr>
                <w:rFonts w:ascii="Times;serif" w:hAnsi="Times;serif"/>
                <w:color w:val="0000FF"/>
                <w:sz w:val="24"/>
                <w:shd w:fill="FFFFFF" w:val="clear"/>
              </w:rPr>
              <w:t>SWKS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Ashran Jen, as Attorney-In-Fact for Robert A. Bruggeworth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b/>
        </w:rPr>
      </w:pPr>
      <w:bookmarkStart w:id="2" w:name="swks-ex24.htm"/>
      <w:bookmarkStart w:id="3" w:name="ksswksex24"/>
      <w:bookmarkEnd w:id="2"/>
      <w:bookmarkEnd w:id="3"/>
      <w:r>
        <w:rPr>
          <w:b/>
        </w:rPr>
        <w:t xml:space="preserve">Power of Attorney </w:t>
      </w:r>
      <w:r>
        <w:br w:type="page"/>
      </w:r>
    </w:p>
    <w:p>
      <w:pPr>
        <w:pStyle w:val="TextBody"/>
        <w:bidi w:val="0"/>
        <w:spacing w:before="0" w:after="0"/>
        <w:jc w:val="center"/>
        <w:rPr/>
      </w:pPr>
      <w:r>
        <w:rPr/>
        <w:t xml:space="preserve">  </w:t>
      </w:r>
    </w:p>
    <w:p>
      <w:pPr>
        <w:pStyle w:val="TextBody"/>
        <w:bidi w:val="0"/>
        <w:spacing w:before="0" w:after="240"/>
        <w:ind w:left="0" w:right="0" w:firstLine="720"/>
        <w:jc w:val="both"/>
        <w:rPr/>
      </w:pPr>
      <w:r>
        <w:rPr/>
        <w:t xml:space="preserve">Know all by these presents, that the undersigned hereby makes, constitutes and appoints each of Philip G. Brace, Philip Carter, Jason K. Givens, Jason T. Gray, Ashran Jen, Bradley T. Kamlet and Blake Toten, with full power of substitution and re-substitution, acting individually, as the undersigned’s true and lawful attorney-in-fact, with full power and authority as hereinafter described on behalf of and in the name, place and stead of the undersigned to: </w:t>
      </w:r>
    </w:p>
    <w:p>
      <w:pPr>
        <w:pStyle w:val="TextBody"/>
        <w:bidi w:val="0"/>
        <w:spacing w:before="0" w:after="240"/>
        <w:ind w:left="0" w:right="0" w:hanging="720"/>
        <w:jc w:val="both"/>
        <w:rPr/>
      </w:pPr>
      <w:r>
        <w:rPr/>
        <w:t>obtain credentials (including codes or passwords) to enable the undersigned to submit and file documents, forms and information required by Section 16(a) of the Securities Exchange Act of 1934, as amended (the “</w:t>
      </w:r>
      <w:r>
        <w:rPr>
          <w:u w:val="single"/>
        </w:rPr>
        <w:t>Exchange Act</w:t>
      </w:r>
      <w:r>
        <w:rPr/>
        <w:t>”), or any rule or regulation of the U.S. Securities and Exchange Commission (“</w:t>
      </w:r>
      <w:r>
        <w:rPr>
          <w:u w:val="single"/>
        </w:rPr>
        <w:t>SEC</w:t>
      </w:r>
      <w:r>
        <w:rPr/>
        <w:t>”) via the Electronic Data Gathering and Retrieval (“</w:t>
      </w:r>
      <w:r>
        <w:rPr>
          <w:u w:val="single"/>
        </w:rPr>
        <w:t>EDGAR</w:t>
      </w:r>
      <w:r>
        <w:rPr/>
        <w:t xml:space="preserve">”)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(1)</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(2)</w:t>
                      </w:r>
                      <w:r>
                        <w:rPr/>
                        <w:t xml:space="preserve"> </w:t>
                      </w:r>
                    </w:p>
                  </w:txbxContent>
                </v:textbox>
                <w10:wrap type="square" side="right"/>
              </v:rect>
            </w:pict>
          </mc:Fallback>
        </mc:AlternateContent>
      </w:r>
    </w:p>
    <w:p>
      <w:pPr>
        <w:pStyle w:val="TextBody"/>
        <w:bidi w:val="0"/>
        <w:spacing w:before="0" w:after="240"/>
        <w:ind w:left="0" w:right="0" w:hanging="720"/>
        <w:jc w:val="both"/>
        <w:rPr/>
      </w:pPr>
      <w:r>
        <w:rPr/>
        <w:t>execute for, and on behalf of, the undersigned, in the undersigned’s capacity as an officer and/or director of Skyworks Solutions, Inc. (the “</w:t>
      </w:r>
      <w:r>
        <w:rPr>
          <w:u w:val="single"/>
        </w:rPr>
        <w:t>Company</w:t>
      </w:r>
      <w:r>
        <w:rPr/>
        <w:t>”), Form 3, 4 or 5 relating to the Company in accordance with Section 16(a) of the Exchange Act and the rules and regulations promulgated thereunder and Form 144 in accordance with Rule 144 under the Securities Act of 1933, as amended (the “</w:t>
      </w:r>
      <w:r>
        <w:rPr>
          <w:u w:val="single"/>
        </w:rPr>
        <w:t>Securities Act</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(3)</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(4)</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(5)</w:t>
                      </w:r>
                      <w:r>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 xml:space="preserve">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 (iv) 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 </w:t>
      </w:r>
    </w:p>
    <w:p>
      <w:pPr>
        <w:pStyle w:val="TextBody"/>
        <w:bidi w:val="0"/>
        <w:spacing w:before="0" w:after="240"/>
        <w:ind w:left="0" w:right="0" w:firstLine="720"/>
        <w:jc w:val="both"/>
        <w:rPr/>
      </w:pPr>
      <w:r>
        <w:rPr/>
        <w:t xml:space="preserve">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 This Power of Attorney revokes all previous powers of attorney with respect to the subject matter of this Power of Attorney.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jc w:val="center"/>
        <w:rPr/>
      </w:pPr>
      <w:r>
        <w:rPr/>
        <w:t>[</w:t>
      </w:r>
      <w:r>
        <w:rPr>
          <w:i/>
        </w:rPr>
        <w:t>Signature Page Follows</w:t>
      </w: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2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pPr>
      <w:r>
        <w:rPr/>
        <w:t xml:space="preserve">IN WITNESS WHEREOF, the undersigned has caused this Power of Attorney to be executed as of this 5th day of October, 2026. </w:t>
      </w:r>
    </w:p>
    <w:p>
      <w:pPr>
        <w:pStyle w:val="TextBody"/>
        <w:bidi w:val="0"/>
        <w:spacing w:before="0" w:after="0"/>
        <w:ind w:left="4320" w:right="0" w:hanging="0"/>
        <w:jc w:val="both"/>
        <w:rPr/>
      </w:pPr>
      <w:r>
        <w:rPr/>
        <w:t xml:space="preserve">  </w:t>
      </w:r>
    </w:p>
    <w:p>
      <w:pPr>
        <w:pStyle w:val="TextBody"/>
        <w:bidi w:val="0"/>
        <w:spacing w:before="0" w:after="0"/>
        <w:ind w:left="4320" w:right="0" w:hanging="0"/>
        <w:jc w:val="both"/>
        <w:rPr/>
      </w:pPr>
      <w:r>
        <w:rPr/>
        <w:t xml:space="preserve">  </w:t>
      </w:r>
    </w:p>
    <w:p>
      <w:pPr>
        <w:pStyle w:val="TextBody"/>
        <w:bidi w:val="0"/>
        <w:spacing w:before="0" w:after="0"/>
        <w:ind w:left="4320" w:right="0" w:hanging="0"/>
        <w:jc w:val="both"/>
        <w:rPr/>
      </w:pPr>
      <w:r>
        <w:rPr/>
        <w:t xml:space="preserve">  </w:t>
      </w:r>
    </w:p>
    <w:tbl>
      <w:tblPr>
        <w:tblW w:w="3849" w:type="dxa"/>
        <w:jc w:val="left"/>
        <w:tblInd w:w="0" w:type="dxa"/>
        <w:tblLayout w:type="fixed"/>
        <w:tblCellMar>
          <w:top w:w="0" w:type="dxa"/>
          <w:left w:w="0" w:type="dxa"/>
          <w:bottom w:w="0" w:type="dxa"/>
          <w:right w:w="0" w:type="dxa"/>
        </w:tblCellMar>
      </w:tblPr>
      <w:tblGrid>
        <w:gridCol w:w="161"/>
        <w:gridCol w:w="796"/>
        <w:gridCol w:w="2701"/>
        <w:gridCol w:w="191"/>
      </w:tblGrid>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left"/>
              <w:rPr/>
            </w:pPr>
            <w:r>
              <w:rPr/>
              <w:t xml:space="preserve">By: </w:t>
            </w:r>
          </w:p>
        </w:tc>
        <w:tc>
          <w:tcPr>
            <w:tcW w:w="2701" w:type="dxa"/>
            <w:tcBorders>
              <w:bottom w:val="single" w:sz="8" w:space="0" w:color="000000"/>
            </w:tcBorders>
            <w:tcMar>
              <w:bottom w:w="28" w:type="dxa"/>
            </w:tcMar>
            <w:vAlign w:val="center"/>
          </w:tcPr>
          <w:p>
            <w:pPr>
              <w:pStyle w:val="TableContents"/>
              <w:bidi w:val="0"/>
              <w:spacing w:before="0" w:after="0"/>
              <w:jc w:val="left"/>
              <w:rPr/>
            </w:pPr>
            <w:r>
              <w:rPr/>
              <w:t xml:space="preserve">/s/ Robert A. Bruggeworth </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left"/>
              <w:rPr/>
            </w:pPr>
            <w:r>
              <w:rPr/>
              <w:t xml:space="preserve">Name: </w:t>
            </w:r>
          </w:p>
        </w:tc>
        <w:tc>
          <w:tcPr>
            <w:tcW w:w="2701" w:type="dxa"/>
            <w:tcBorders>
              <w:top w:val="single" w:sz="8" w:space="0" w:color="000000"/>
            </w:tcBorders>
            <w:tcMar>
              <w:top w:w="28" w:type="dxa"/>
            </w:tcMar>
            <w:vAlign w:val="center"/>
          </w:tcPr>
          <w:p>
            <w:pPr>
              <w:pStyle w:val="TableContents"/>
              <w:bidi w:val="0"/>
              <w:spacing w:before="0" w:after="0"/>
              <w:jc w:val="left"/>
              <w:rPr/>
            </w:pPr>
            <w:r>
              <w:rPr/>
              <w:t xml:space="preserve">Robert A. Bruggeworth </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120" w:after="283"/>
        <w:jc w:val="center"/>
        <w:rPr>
          <w:sz w:val="12"/>
        </w:rPr>
      </w:pPr>
      <w:r>
        <w:rPr>
          <w:color w:val="000000"/>
          <w:sz w:val="24"/>
        </w:rPr>
        <w:t>[Signature Page to Power of Attorney]</w:t>
      </w:r>
      <w:r>
        <w:rPr>
          <w:sz w:val="1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40842" TargetMode="External"/><Relationship Id="rId3" Type="http://schemas.openxmlformats.org/officeDocument/2006/relationships/hyperlink" Target="http://www.sec.gov/cgi-bin/browse-edgar?action=getcompany&amp;CIK=00000041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1211</Words>
  <Characters>6605</Characters>
  <CharactersWithSpaces>7795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