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13769d1_8k.htm"/>
      <w:bookmarkStart w:id="1" w:name="kstm2613769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E_edei--DocumentType_c20260611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June 11, 2026</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0"/>
        </w:rPr>
      </w:pPr>
      <w:bookmarkStart w:id="4" w:name="xdx_90B_edei--EntityRegistrantName_c2026"/>
      <w:bookmarkEnd w:id="4"/>
      <w:r>
        <w:rPr>
          <w:rFonts w:ascii="Times New Roman;Times;Serif" w:hAnsi="Times New Roman;Times;Serif"/>
          <w:b/>
          <w:i w:val="false"/>
          <w:caps w:val="false"/>
          <w:smallCaps w:val="false"/>
          <w:sz w:val="30"/>
        </w:rPr>
        <w:t>Skyworks 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tbl>
      <w:tblPr>
        <w:tblW w:w="8700" w:type="dxa"/>
        <w:jc w:val="left"/>
        <w:tblInd w:w="0" w:type="dxa"/>
        <w:tblLayout w:type="fixed"/>
        <w:tblCellMar>
          <w:top w:w="0" w:type="dxa"/>
          <w:left w:w="0" w:type="dxa"/>
          <w:bottom w:w="28" w:type="dxa"/>
          <w:right w:w="0" w:type="dxa"/>
        </w:tblCellMar>
      </w:tblPr>
      <w:tblGrid>
        <w:gridCol w:w="3590"/>
        <w:gridCol w:w="60"/>
        <w:gridCol w:w="2210"/>
        <w:gridCol w:w="60"/>
        <w:gridCol w:w="2780"/>
      </w:tblGrid>
      <w:tr>
        <w:trPr/>
        <w:tc>
          <w:tcPr>
            <w:tcW w:w="3590" w:type="dxa"/>
            <w:tcBorders>
              <w:bottom w:val="single" w:sz="8" w:space="0" w:color="000000"/>
            </w:tcBorders>
            <w:vAlign w:val="center"/>
          </w:tcPr>
          <w:p>
            <w:pPr>
              <w:pStyle w:val="TableContents"/>
              <w:bidi w:val="0"/>
              <w:spacing w:before="0" w:after="283"/>
              <w:jc w:val="center"/>
              <w:rPr>
                <w:b/>
              </w:rPr>
            </w:pPr>
            <w:bookmarkStart w:id="5" w:name="xdx_90E_edei--EntityIncorporationStateCo"/>
            <w:bookmarkEnd w:id="5"/>
            <w:r>
              <w:rPr>
                <w:b/>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b/>
              </w:rPr>
            </w:pPr>
            <w:bookmarkStart w:id="6" w:name="xdx_909_edei--EntityFileNumber_c20260611"/>
            <w:bookmarkEnd w:id="6"/>
            <w:r>
              <w:rPr>
                <w:b/>
              </w:rPr>
              <w:t>001-05560</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b/>
              </w:rPr>
            </w:pPr>
            <w:bookmarkStart w:id="7" w:name="xdx_90C_edei--EntityTaxIdentificationNum"/>
            <w:bookmarkEnd w:id="7"/>
            <w:r>
              <w:rPr>
                <w:b/>
              </w:rPr>
              <w:t>04-2302115</w:t>
            </w:r>
          </w:p>
        </w:tc>
      </w:tr>
      <w:tr>
        <w:trPr/>
        <w:tc>
          <w:tcPr>
            <w:tcW w:w="3590" w:type="dxa"/>
            <w:tcBorders/>
            <w:tcMar>
              <w:bottom w:w="0" w:type="dxa"/>
            </w:tcMar>
            <w:vAlign w:val="center"/>
          </w:tcPr>
          <w:p>
            <w:pPr>
              <w:pStyle w:val="TableContents"/>
              <w:bidi w:val="0"/>
              <w:spacing w:before="0" w:after="283"/>
              <w:jc w:val="center"/>
              <w:rPr>
                <w:sz w:val="20"/>
              </w:rPr>
            </w:pPr>
            <w:r>
              <w:rPr>
                <w:sz w:val="20"/>
              </w:rPr>
              <w:t>(State or other jurisdiction 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5260 California Avenue</w:t>
        <w:br/>
      </w:r>
      <w:bookmarkStart w:id="9" w:name="xdx_907_edei--EntityAddressCityOrTown_c2"/>
      <w:bookmarkEnd w:id="9"/>
      <w:r>
        <w:rPr>
          <w:rFonts w:ascii="Times New Roman;Times;Serif" w:hAnsi="Times New Roman;Times;Serif"/>
          <w:b/>
          <w:i w:val="false"/>
          <w:caps w:val="false"/>
          <w:smallCaps w:val="false"/>
          <w:sz w:val="20"/>
        </w:rPr>
        <w:t xml:space="preserve">Irvine, </w:t>
      </w:r>
      <w:bookmarkStart w:id="10" w:name="xdx_90A_edei--EntityAddressStateOrProvin"/>
      <w:bookmarkEnd w:id="10"/>
      <w:r>
        <w:rPr>
          <w:rFonts w:ascii="Times New Roman;Times;Serif" w:hAnsi="Times New Roman;Times;Serif"/>
          <w:b/>
          <w:i w:val="false"/>
          <w:caps w:val="false"/>
          <w:smallCaps w:val="false"/>
          <w:sz w:val="20"/>
        </w:rPr>
        <w:t>CA</w:t>
      </w:r>
      <w:r>
        <w:rPr>
          <w:rFonts w:ascii="Times New Roman;Times;Serif" w:hAnsi="Times New Roman;Times;Serif"/>
          <w:b w:val="false"/>
          <w:i w:val="false"/>
          <w:caps w:val="false"/>
          <w:smallCaps w:val="false"/>
          <w:sz w:val="20"/>
        </w:rPr>
        <w:t xml:space="preserve"> </w:t>
      </w:r>
      <w:bookmarkStart w:id="11" w:name="xdx_901_edei--EntityAddressPostalZipCode"/>
      <w:bookmarkEnd w:id="11"/>
      <w:r>
        <w:rPr>
          <w:rFonts w:ascii="Times New Roman;Times;Serif" w:hAnsi="Times New Roman;Times;Serif"/>
          <w:b/>
          <w:i w:val="false"/>
          <w:caps w:val="false"/>
          <w:smallCaps w:val="false"/>
          <w:sz w:val="20"/>
        </w:rPr>
        <w:t>92617</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4_edei--CityAreaCode_c20260611__20"/>
      <w:bookmarkEnd w:id="12"/>
      <w:r>
        <w:rPr>
          <w:rFonts w:ascii="Times New Roman;Times;Serif" w:hAnsi="Times New Roman;Times;Serif"/>
          <w:b/>
          <w:i w:val="false"/>
          <w:caps w:val="false"/>
          <w:smallCaps w:val="false"/>
          <w:sz w:val="20"/>
        </w:rPr>
        <w:t xml:space="preserve">949) </w:t>
      </w:r>
      <w:bookmarkStart w:id="13" w:name="xdx_904_edei--LocalPhoneNumber_c20260611"/>
      <w:bookmarkEnd w:id="13"/>
      <w:r>
        <w:rPr>
          <w:rFonts w:ascii="Times New Roman;Times;Serif" w:hAnsi="Times New Roman;Times;Serif"/>
          <w:b/>
          <w:i w:val="false"/>
          <w:caps w:val="false"/>
          <w:smallCaps w:val="false"/>
          <w:sz w:val="20"/>
        </w:rPr>
        <w:t>231-3000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(Former name or former address, if changed since last report) </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4" w:name="xdx_90C_edei--WrittenCommunications_c202"/>
      <w:bookmarkEnd w:id="14"/>
      <w:r>
        <w:rPr>
          <w:rFonts w:ascii="Wingdings" w:hAnsi="Wingdings"/>
          <w:b w:val="false"/>
          <w:i w:val="false"/>
          <w:caps w:val="false"/>
          <w:smallCaps w:val="false"/>
          <w:sz w:val="20"/>
        </w:rPr>
        <w:t>x</w:t>
      </w:r>
      <w:r>
        <w:rPr>
          <w:rFonts w:ascii="Times New Roman;Times;Serif" w:hAnsi="Times New Roman;Times;Serif"/>
          <w:b w:val="false"/>
          <w:i w:val="false"/>
          <w:caps w:val="false"/>
          <w:smallCaps w:val="false"/>
          <w:sz w:val="20"/>
        </w:rPr>
        <w:t>       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 w:name="xdx_902_edei--SolicitingMaterial_c202606"/>
      <w:bookmarkEnd w:id="15"/>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6" w:name="xdx_90C_edei--PreCommencementTenderOffer"/>
      <w:bookmarkEnd w:id="16"/>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7" w:name="xdx_905_edei--PreCommencementIssuerTende"/>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28" w:type="dxa"/>
          <w:right w:w="0" w:type="dxa"/>
        </w:tblCellMar>
      </w:tblPr>
      <w:tblGrid>
        <w:gridCol w:w="4100"/>
        <w:gridCol w:w="60"/>
        <w:gridCol w:w="1025"/>
        <w:gridCol w:w="60"/>
        <w:gridCol w:w="2825"/>
      </w:tblGrid>
      <w:tr>
        <w:trPr/>
        <w:tc>
          <w:tcPr>
            <w:tcW w:w="4100"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b/>
              </w:rPr>
            </w:pPr>
            <w:r>
              <w:rPr>
                <w:b/>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2825" w:type="dxa"/>
            <w:tcBorders>
              <w:bottom w:val="single" w:sz="8" w:space="0" w:color="000000"/>
            </w:tcBorders>
            <w:vAlign w:val="center"/>
          </w:tcPr>
          <w:p>
            <w:pPr>
              <w:pStyle w:val="TableContents"/>
              <w:bidi w:val="0"/>
              <w:spacing w:before="0" w:after="283"/>
              <w:jc w:val="center"/>
              <w:rPr>
                <w:b/>
              </w:rPr>
            </w:pPr>
            <w:r>
              <w:rPr>
                <w:b/>
              </w:rPr>
              <w:t xml:space="preserve">Name of each exchange </w:t>
              <w:br/>
              <w:t>on which registered</w:t>
            </w:r>
          </w:p>
        </w:tc>
      </w:tr>
      <w:tr>
        <w:trPr/>
        <w:tc>
          <w:tcPr>
            <w:tcW w:w="4100" w:type="dxa"/>
            <w:tcBorders/>
            <w:tcMar>
              <w:bottom w:w="0" w:type="dxa"/>
            </w:tcMar>
            <w:vAlign w:val="center"/>
          </w:tcPr>
          <w:p>
            <w:pPr>
              <w:pStyle w:val="TableContents"/>
              <w:bidi w:val="0"/>
              <w:spacing w:before="0" w:after="283"/>
              <w:jc w:val="center"/>
              <w:rPr/>
            </w:pPr>
            <w:bookmarkStart w:id="18" w:name="xdx_907_edei--Security12bTitle_c20260611"/>
            <w:bookmarkEnd w:id="18"/>
            <w:r>
              <w:rPr/>
              <w:t>Common Stock, Par Value $0.25 per share</w:t>
            </w:r>
          </w:p>
        </w:tc>
        <w:tc>
          <w:tcPr>
            <w:tcW w:w="6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center"/>
              <w:rPr/>
            </w:pPr>
            <w:bookmarkStart w:id="19" w:name="xdx_90C_edei--TradingSymbol_c20260611__2"/>
            <w:bookmarkEnd w:id="19"/>
            <w:r>
              <w:rPr/>
              <w:t>SWKS</w:t>
            </w:r>
          </w:p>
        </w:tc>
        <w:tc>
          <w:tcPr>
            <w:tcW w:w="6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center"/>
              <w:rPr/>
            </w:pPr>
            <w:bookmarkStart w:id="20" w:name="xdx_90C_edei--SecurityExchangeName_c2026"/>
            <w:bookmarkEnd w:id="20"/>
            <w:r>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5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8.01</w:t>
            </w:r>
          </w:p>
        </w:tc>
        <w:tc>
          <w:tcPr>
            <w:tcW w:w="11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Exchange Offers and Consent Solicitations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Current Report on Form 8-K filed by Skyworks Solutions, Inc. (“Skyworks”) with the Securities and Exchange Commission on May 20, 2026 (the “Prior 8-K”), Skyworks announced the commencement of the offers to exchange any and all of the outstanding 4.375% Senior Notes due 2029 (the “2029 Qorvo Notes”) issued by Qorvo, Inc. (“Qorvo”) and any and all of the outstanding 3.375% Senior Notes due 2031 (together with the 2029 Qorvo Notes, the “Qorvo Notes”) issued by Qorvo, and the related consent solicitations for proposed amendments to the applicable indenture governing each series of Qorvo Notes, each as more fully described in the Prior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11, 2026, Skyworks issued a press release (the “Press Release”) announcing the results of early participation in the Exchange Offers and Consent Solicitations (as defined in the Press Release). A copy of the Press Release is attached hereto as Exhibit 99.1 and is incorporated into this Item 8.01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does not constitute, or form a part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includes “forward-looking statements.” Forward-looking statements relate to future events, including, but not limited to, the Exchange Offers, the Consent Solicitations and the Mergers (each, as defined in the Prior 8-K), as applicable. These forward-looking statements include information relating to future events, prospects, expectations and results of Skyworks (e.g., certain projections and business trends, including with respect to future sales and revenue, as well as plans for dividend payments). Forward-looking statements can often be identified by words such as “anticipates,” “estimates,” “expects,” “forecasts,” “intends,” “believes,” “plans,” “may,” “will” or “continue,” and similar expressions and variations or negatives of these words. All such statements are subject to certain risks, uncertainties and other important factors that could cause actual results to differ materially and adversely from those projected and may affect Skyworks’ future operating results, financial position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uncertainties and other important factors include: the risks of doing business internationally, including from trade war or trade protection measures (e.g., tariffs, retaliatory tariffs and other countermeasures or taxes), increased import/export restrictions and controls (e.g., Skyworks’ ability to obtain foreign-sourced raw materials, including from Chinese-based sources, as well as Skyworks’ ability to sell products to certain specified foreign entities only pursuant to a limited export license from the U.S. Department of Commerce), the susceptibility of the semiconductor industry and the markets addressed by Skyworks’, and Skyworks’ customers’, products to economic cycles or changes in economic conditions, including inflation and recession that could result from trade war or trade protection measures; Skyworks’ reliance on a small number of key customers for a large percentage of Skyworks’ sales; decreased gross margins and loss of market share as a result of increased competition; Skyworks’ ability to obtain design wins from customers; Skyworks’ ability to convert design wins into revenue; market acceptance of Skyworks’ products and Skyworks’ customers’ products, including market acceptance of new, emerging technologies such as AI; the mix and volume of phone models sold by Skyworks’ largest customer; the potential impacts on Skyworks’ business, reputation, relationships, results of operations, cash flows and financial condition as a result of the proposed merger transactions with Qorvo; the possibility that expected benefits related to such transactions with Qorvo may not materialize as expected; such transactions with Qorvo being timely completed, if completed at all; regulatory approvals required for the transaction not being timely obtained, if obtained at all, or being obtained subject to conditions; Skyworks or Qorvo’s business experiencing disruptions as a result of the acquisition or due to transaction-related uncertainty or other factors making it more difficult to maintain relationships with employees, customers, other business partners or governmental entities; Skyworks and Qorvo being unable to successfully implement integration strategies or to achieve expected synergies and operating efficiencies within the expected time-frames or at all; the costs, fees, expenses and other charges related to the Mergers, including with respect to any related litigation; reduced flexibility in operating Skyworks’ business as a result of the indebtedness incurred in connection with the transaction with Silicon Laboratories Inc. and the substantial amount of additional indebtedness Skyworks expects to incur in connection with the Qorvo transactions; delays in the deployment of commercial 5G networks or in consumer adoption of 5G-enabled devices; the volatility of Skyworks’ stock price; changes in laws, regulations and/or policies that could adversely affect Skyworks’ operations and financial results, the economy and Skyworks’ customers’ demand for Skyworks’ products, or the financial markets and Skyworks’ ability to raise capital; fluctuations in Skyworks’ manufacturing yields due to Skyworks’ complex and specialized manufacturing processes; Skyworks’ ability to develop, manufacture and market innovative products, avoid product obsolescence, reduce costs in a timely manner, transition Skyworks’ products to smaller geometry process technologies and achieve higher levels of design integration; the quality of Skyworks’ products and any defect remediation costs; Skyworks’ products’ ability to perform under stringent operating conditions; the availability and pricing of third-party semiconductor foundry, assembly and test capacity, raw materials, including rare earth and similar minerals, supplier components, equipment and shipping and logistics services, including limits on Skyworks’ customers’ ability to obtain such services and materials; risks that Skyworks may not be able to optimize Skyworks’ manufacturing footprint and achieve any financial and operational benefits from such efforts, including reducing fixed costs or improving utilization rates, disruptions to Skyworks’ manufacturing processes, including relating to any relocation of Skyworks’ key facilities; Skyworks’ ability to successfully manage Skyworks’ senior management transitions; Skyworks’ ability to retain, recruit and hire key executives or the departure of any such executives, technical personnel and other employees in the positions and numbers, with the experience and capabilities, and at the compensation levels needed to implement Skyworks’ business and product plans; the timing, rescheduling or cancellation of significant customer orders and Skyworks’ ability, as well as the ability of Skyworks’ customers, to manage inventory; other economic, social, military and geopolitical conditions in the countries in which Skyworks, Skyworks’ customers or Skyworks’ suppliers operate, including the conflicts in Ukraine, Iran and other regions in the Middle East, possible disruptions in transportation networks, and fluctuations in foreign currency exchange rates; the effects of global health crises on business conditions in Skyworks’ industry, including the risk of significant disruptions to Skyworks’ business operations, as well as negative impacts to Skyworks’ financial condition; Skyworks’ ability to prevent theft of Skyworks’ intellectual property, disclosure of confidential information or breaches of Skyworks’ information technology systems; uncertainties of litigation, including potential disputes over intellectual property infringement and rights, as well as payments related to the licensing and/or sale of such rights; Skyworks’ ability to continue to grow and maintain an intellectual property portfolio and obtain needed licenses from third parties; Skyworks’ ability to make certain investments and acquisitions, integrate companies Skyworks acquires and/or enter into strategic alliances; and other risks and uncertainties, including those detailed from time to time in Skyworks’ filings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communication are made only as of the date hereof, and Skyworks undertakes no obligation to update or revise the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About the Mergers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Mergers, Skyworks has filed with the SEC a registration statement on Form S-4, which includes a proxy statement of Qorvo that also constitutes a prospectus for the shares of Skyworks common stock to be offered in the Mergers (collectively, the “Mergers Registration Statement and Proxy Statement/Prospectus”). Each of Skyworks and Qorvo may also file other relevant documents with the SEC regarding the Mergers. This communication is not a substitute for the proxy statement/prospectus or registration statement or any other document that Skyworks or Qorvo may file with the SEC. INVESTORS AND SECURITY HOLDERS ARE URGED TO READ THE MERGERS REGISTRATION STATEMENT AND PROXY STATEMENT/PROSPECTUS AND ANY OTHER RELEVANT DOCUMENTS THAT MAY BE FILED WITH THE SEC, AS WELL AS ANY AMENDMENTS OR SUPPLEMENTS TO THESE DOCUMENTS, CAREFULLY AND IN THEIR ENTIRETY WHEN THEY BECOME AVAILABLE BECAUSE THEY CONTAIN OR WILL CONTAIN IMPORTANT INFORMATION ABOUT SKYWORKS, QORVO, THE MERGERS AND RELATED MATTERS. Investors and security holders can obtain free copies of the registration statement and proxy statement/prospectus and other documents containing important information about Skyworks, Qorvo and the Mergers filed with the SEC through the website maintained by the SEC at www.sec.gov. The documents filed by Skyworks with the SEC also may be obtained free of charge at Skyworks’ website at https://www.skyworksinc.com/investors or upon written request to Skyworks at investor.relations@skyworksinc.com. The documents filed by Qorvo with the SEC also may be obtained free of charge at Qorvo’s website at https://ir.qorvo.com/ or upon written request to Qorvo at investor-relations@qorvo.com.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830"/>
        <w:gridCol w:w="291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tm2613769d1_ex99-1.htm">
              <w:r>
                <w:rPr>
                  <w:rStyle w:val="InternetLink"/>
                  <w:rFonts w:ascii="Times New Roman;Times;Serif" w:hAnsi="Times New Roman;Times;Serif"/>
                  <w:b/>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13769d1_ex99-1.htm">
              <w:r>
                <w:rPr>
                  <w:rStyle w:val="InternetLink"/>
                  <w:rFonts w:ascii="Times New Roman;Times;Serif" w:hAnsi="Times New Roman;Times;Serif"/>
                  <w:sz w:val="20"/>
                </w:rPr>
                <w:t>Registrant’s Press Release, dated June 11, 2026</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104</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 with applicable taxonomy extension information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11, 2026</w:t>
      </w:r>
    </w:p>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75"/>
        <w:gridCol w:w="290"/>
        <w:gridCol w:w="4610"/>
      </w:tblGrid>
      <w:tr>
        <w:trPr/>
        <w:tc>
          <w:tcPr>
            <w:tcW w:w="75" w:type="dxa"/>
            <w:tcBorders/>
            <w:vAlign w:val="center"/>
          </w:tcPr>
          <w:p>
            <w:pPr>
              <w:pStyle w:val="TableContents"/>
              <w:bidi w:val="0"/>
              <w:spacing w:before="0" w:after="283"/>
              <w:jc w:val="left"/>
              <w:rPr/>
            </w:pPr>
            <w:r>
              <w:rPr/>
              <w:t> </w:t>
            </w:r>
          </w:p>
        </w:tc>
        <w:tc>
          <w:tcPr>
            <w:tcW w:w="49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Skyworks Solutions, Inc.</w:t>
            </w:r>
          </w:p>
        </w:tc>
      </w:tr>
      <w:tr>
        <w:trPr/>
        <w:tc>
          <w:tcPr>
            <w:tcW w:w="75" w:type="dxa"/>
            <w:tcBorders/>
            <w:vAlign w:val="center"/>
          </w:tcPr>
          <w:p>
            <w:pPr>
              <w:pStyle w:val="TableContents"/>
              <w:bidi w:val="0"/>
              <w:spacing w:before="0" w:after="283"/>
              <w:jc w:val="both"/>
              <w:rPr/>
            </w:pPr>
            <w:r>
              <w:rPr/>
              <w:t> </w:t>
            </w:r>
          </w:p>
        </w:tc>
        <w:tc>
          <w:tcPr>
            <w:tcW w:w="49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By:</w:t>
            </w:r>
          </w:p>
        </w:tc>
        <w:tc>
          <w:tcPr>
            <w:tcW w:w="46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Philip Carter</w:t>
            </w:r>
          </w:p>
        </w:tc>
      </w:tr>
      <w:tr>
        <w:trPr/>
        <w:tc>
          <w:tcPr>
            <w:tcW w:w="75"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Name: Philip Carter</w:t>
            </w:r>
          </w:p>
        </w:tc>
      </w:tr>
      <w:tr>
        <w:trPr/>
        <w:tc>
          <w:tcPr>
            <w:tcW w:w="75"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Title: 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13769d1_ex99-1.htm"/>
      <w:bookmarkStart w:id="23" w:name="kstm2613769d1_ex991"/>
      <w:bookmarkEnd w:id="22"/>
      <w:bookmarkEnd w:id="2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1106170" cy="4203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06170" cy="42037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3200"/>
        <w:gridCol w:w="2330"/>
      </w:tblGrid>
      <w:tr>
        <w:trPr/>
        <w:tc>
          <w:tcPr>
            <w:tcW w:w="320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Relations: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Constance Griffiths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 230-4867</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Constance.Griffiths@skyworksinc.com</w:t>
            </w:r>
          </w:p>
        </w:tc>
        <w:tc>
          <w:tcPr>
            <w:tcW w:w="2330" w:type="dxa"/>
            <w:tcBorders/>
            <w:vAlign w:val="center"/>
          </w:tcPr>
          <w:p>
            <w:pPr>
              <w:pStyle w:val="TableContents"/>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Raji Gill</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 508-0973</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Raji.Gill@skyworksinc.com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Skyworks Announces Results of Early Participation in Exchange Offers and Consent Solicitations for Qorvo’s Senior Notes due 2029 and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IRVINE, Calif., June 11, 2026 </w:t>
      </w:r>
      <w:r>
        <w:rPr>
          <w:rFonts w:ascii="Times New Roman;Times;Serif" w:hAnsi="Times New Roman;Times;Serif"/>
          <w:b w:val="false"/>
          <w:i w:val="false"/>
          <w:caps w:val="false"/>
          <w:smallCaps w:val="false"/>
          <w:sz w:val="20"/>
        </w:rPr>
        <w:t>– Skyworks Solutions, Inc. (Nasdaq: SWKS) (“Skyworks”), a leading developer, manufacturer and provider of analog and mixed-signal semiconductors and solutions for numerous applications, today announced that, in connection with its previously announced offers to holders of Qorvo Notes (as defined herein) to exchange (the “Exchange Offers”) any and all outstanding 4.375% Senior Notes due 2029 (the “2029 Qorvo Notes”) and any and all outstanding 3.375% Senior Notes due 2031 (the “2031 Qorvo Notes” and, together with the 2029 Qorvo Notes, the “Qorvo Notes”) issued by Qorvo, Inc. (“Qorvo”) as set forth in the table below for, (1) with respect to the 2029 Qorvo Notes, up to $850,000,000 aggregate principal amount of new 4.375% Senior Notes due 2029 (the “New 2029 Skyworks Notes”) issued by Skyworks and (2) with respect to the 2031 Qorvo Notes, up to $700,000,000 aggregate principal amount of new 3.375% Senior Notes due 2031 (together with the New 2029 Skyworks Notes, the “New Skyworks Notes”) issued by Skyworks, and related consent solicitations by Skyworks, on behalf of Qorvo (the “Consent Solicitations”), to adopt certain proposed amendments to each indenture governing the applicable series of Qorvo Notes to, among other things, eliminate substantially all of the restrictive covenants, certain affirmative covenants and certain events of default (the “Proposed Amendments”), in exchange for the applicable Consent Payment (as defined herein), as of 5:00 p.m., New York City time, on June 11, 2026 (the “Early Participation Date” and the “Consent Revocation Deadline”), according to Global Bondholder Services Corporation, the information agent for the Exchange Offers and Consent Solicitations, the following respective principal amounts of each series of Qorvo Notes have been validly tendered and not validly withdrawn (and consents thereby validly given and not validly revoked):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539" w:type="dxa"/>
        <w:jc w:val="left"/>
        <w:tblInd w:w="0" w:type="dxa"/>
        <w:tblLayout w:type="fixed"/>
        <w:tblCellMar>
          <w:top w:w="0" w:type="dxa"/>
          <w:left w:w="0" w:type="dxa"/>
          <w:bottom w:w="0" w:type="dxa"/>
          <w:right w:w="0" w:type="dxa"/>
        </w:tblCellMar>
      </w:tblPr>
      <w:tblGrid>
        <w:gridCol w:w="2555"/>
        <w:gridCol w:w="60"/>
        <w:gridCol w:w="162"/>
        <w:gridCol w:w="1372"/>
        <w:gridCol w:w="60"/>
        <w:gridCol w:w="60"/>
        <w:gridCol w:w="202"/>
        <w:gridCol w:w="1709"/>
        <w:gridCol w:w="97"/>
        <w:gridCol w:w="97"/>
        <w:gridCol w:w="106"/>
        <w:gridCol w:w="859"/>
        <w:gridCol w:w="200"/>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Notes Tendered at the Early</w:t>
              <w:br/>
              <w:t xml:space="preserve">Participation Date and Consent </w:t>
              <w:br/>
              <w:t>Revocation Deadline   </w:t>
            </w:r>
          </w:p>
        </w:tc>
        <w:tc>
          <w:tcPr>
            <w:tcW w:w="200" w:type="dxa"/>
            <w:tcBorders/>
            <w:vAlign w:val="center"/>
          </w:tcPr>
          <w:p>
            <w:pPr>
              <w:pStyle w:val="TableContents"/>
              <w:bidi w:val="0"/>
              <w:spacing w:before="0" w:after="283"/>
              <w:jc w:val="left"/>
              <w:rPr/>
            </w:pPr>
            <w:r>
              <w:rPr/>
              <w:t> </w:t>
            </w:r>
          </w:p>
        </w:tc>
      </w:tr>
      <w:tr>
        <w:trPr/>
        <w:tc>
          <w:tcPr>
            <w:tcW w:w="25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Title of Qorvo Notes / </w:t>
              <w:br/>
              <w:t>CUSIP / ISIN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w:t>
              <w:br/>
              <w:t>Outstanding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1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4.375% Senior Notes due 2029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760,095,000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89.42</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70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70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74736KAH4/</w:t>
              <w:br/>
              <w:t>US74736KAH41</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70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70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144A: </w:t>
              <w:br/>
              <w:t xml:space="preserve">74736KAG6 / </w:t>
              <w:br/>
              <w:t>US74736KAG67</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70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70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Regulation S: </w:t>
              <w:br/>
              <w:t xml:space="preserve">U7471QAF1 / </w:t>
              <w:br/>
              <w:t>USU7471QAF10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3.375% Senior Notes due 2031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651,334,000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144A: </w:t>
              <w:br/>
              <w:t xml:space="preserve">74736KAJ0 / </w:t>
              <w:br/>
              <w:t>US74736KAJ07</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70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70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Regulation S: </w:t>
              <w:br/>
              <w:t xml:space="preserve">U7471QAJ3 / </w:t>
              <w:br/>
              <w:t>USU7471QAJ32</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70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Consent Revocation Deadline, Skyworks, on behalf of Qorvo, has received the requisite consents to adopt the Proposed Amendments to each series of Qorvo Notes. On June 11, 2026, Qorvo entered into two supplemental indentures, one with respect to each series of Qorvo Notes, with the subsidiary guarantors party thereto and the trustee for the Qorvo Notes (the “Supplemental Indentures”) to effect the Proposed Amendments, which, among other changes, eliminate substantially all of the restrictive covenants, certain affirmative covenants and certain events of default. Upon their respective executions, each Supplemental Indenture became effective and constitutes a binding agreement between Qorvo, the subsidiary guarantors party thereto and the trustee for the Qorvo Notes. However, the Proposed Amendments with respect to each series of Qorvo Notes will not become operative until (i) immediately prior to the closing of the transactions pursuant to which Qorvo will merge with and into a subsidiary of Skyworks (the “Mergers”), with such subsidiary continuing as the surviving entity and a wholly-owned subsidiary of Skyworks or (ii) immediately upon the settlement of the Exchange Offer and Consent Solicitation with respect to such series, depending on the specific amendment, and will cease to be operative if the Mergers are not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consents validly tendered and not validly withdrawn by the Consent Revocation Deadline, the consent payment for the 2029 Qorvo Notes will be approximately $2.80 per $1,000 in principal amount of such notes validly tendered and not validly withdrawn at or prior to the Consent Revocation Deadline. As a result of the consents validly tendered and not validly withdrawn by the Consent Revocation Deadline, the consent payment for the 2031 Qorvo Notes will be approximately $2.69 per $1,000 in principal amount of such notes validly tendered and not validly withdrawn at or prior to the Consent Revocation Deadline (the foregoing, with respect to each series, the applicable “Consent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Revocation rights for the Consent Solicitations expired at 5:00 p.m., New York City time, on the Consent Revocation Deadline. Withdrawal rights for the Exchange Offers expire as of the Expiration Date (as defined herein). Holders of either series of Qorvo Notes who did not validly tender (or who validly tendered but withdrew) such Qorvo Notes at or prior to the 5:00 p.m., New York City time, deadline on the Consent Revocation Deadline will not be eligible to receive the applicable Consent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$1,000 principal amount of the applicable series of Qorvo Notes validly tendered and not validly withdrawn at or prior to the Early Participation Date and accepted for exchange, holders of such series of Qorvo Notes will be eligible to receive, in addition to $950.00 principal amount of the corresponding series of New Skyworks Notes (the “Exchange Consideration”), an early participation premium, payable in principal amount of the applicable series of New Skyworks Notes, equal to $50.00 (the “Early Participation Premium”); provided that such Qorvo Notes held by the applicable holder have been validly tendered and not validly withdrawn at or prior to the applicable Early Participation Date and either (A) such holder has not validly withdrawn such Qorvo Notes at or prior to the applicable Expiration Date or (B) if such Qorvo Notes held by such holder have been validly withdrawn at or prior to the applicable Expiration Date, such holder, prior to such Expiration Date shall have (i) validly re-tendered, and not validly withdrawn, such Qorvo Notes and (ii) submitted the Early Participation VOI Number (as defined in the Prospectus (as defined herein)) with respect to such tendered Qorvo Notes. Otherwise, for each $1,000 principal amount of the applicable series of Qorvo Notes validly tendered and not validly withdrawn after the Early Participation Date and at or prior to the applicable Expiration Date, holders of such series of Qorvo Notes will be eligible to receive only the Exchange Consideration (and not the Early Participation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Offers will expire at 5:00 p.m., New York City time, on September 1, 2026, unless extended (as it may be extended, the “Expiration Date”). The settlement date (the “Settlement Date”) will be promptly after the Expiration Date and is expected to occur no earlier than the second business day after the closing date of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Exchange Offers and Consent Solicitations are being made pursuant to the terms and subject to the conditions set forth in Skyworks’ registration statement on Form S-4, which was declared effective on May 29, 2026, and the related final prospectus filed with the U.S. Securities and Exchange Commission (the “SEC”) on May 29, 2026 (as it may be amended or supplemented from time to time, the “Prospectus”). Each Exchange Offer and Consent Solicitation is conditioned upon the closing of the Mergers, which condition may not be waived by Skyworks. </w:t>
      </w:r>
      <w:r>
        <w:rPr>
          <w:rFonts w:ascii="Times New Roman;Times;Serif" w:hAnsi="Times New Roman;Times;Serif"/>
          <w:b/>
          <w:i w:val="false"/>
          <w:caps w:val="false"/>
          <w:smallCaps w:val="false"/>
          <w:sz w:val="20"/>
        </w:rPr>
        <w:t>The closing of the Mergers is not conditioned upon the results of the Exchange Offers and Consent Solicitations.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in its sole discretion, may modify or terminate either Exchange Offer and may extend the Expiration Date and/or the Settlement Date with respect to either Exchange Offer, subject to applicable law. Any such modification, termination or extension by Skyworks with respect to an Exchange Offer will not automatically modify, terminate or extend the other Exchange Offer. The Exchange Offer and Consent Solicitation with respect to a series of Qorvo Notes is not conditioned upon the consummation of the Exchange Offer or Consent Solicitation with respect to the other series of Qorvo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complete terms and conditions of the Exchange Offers and Consent Solicitations are described in the Prospectus, a copy of which may be obtained by contacting Global Bondholder Services Corporation, the exchange agent and information agent in connection with the Exchange Offers and Consent Solicitations, at (855) 654-2015 (U.S. toll-free) or (212) 430-3774 (banks and brokers) or contact@gbsc-usa.com. Questions regarding the terms and conditions of the Exchange Offers and Consent Solicitations should be directed to the dealer manager, Goldman Sachs &amp; Co. LLC, 200 West Street, New York, New York 10282, Collect: (212) 357-1452, Toll-Free: (800) 828-3182.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an offer to sell or purchase, or a solicitation of an offer to purchase or sell, or the solicitation of tenders or consents with respect to, any security. No offer, solicitation, purchase or sale will be made in any jurisdiction in which such an offer, solicitation, or sale would be unlawful. The Exchange Offers and Consent Solicitations are being made solely pursuant to the Prospectus and only to such persons and in such jurisdictions as is permitted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Skyworks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 is empowering the wireless networking revolution. Skyworks is a leading developer, manufacturer and provider of analog and mixed-signal semiconductors and solutions for numerous applications, including aerospace, automotive, broadband, cellular infrastructure, connected home, defense, entertainment and gaming, industrial, medical, smartphone, tablet and wearables.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is a global company with engineering, marketing, operations, sales and support facilities located throughout Asia, Europe and North America and is a member of the S&amp;P 500® market index (Nasdaq: SWKS).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Forward-looking statements relate to future events, including, but not limited to, the Exchange Offers, the Consent Solicitations and the Mergers, as applicable. These forward-looking statements include information relating to future events, prospects, expectations and results of Skyworks (e.g., certain projections and business trends, including with respect to future sales and revenue, as well as plans for dividend payments). Forward-looking statements can often be identified by words such as “anticipates,” “estimates,” “expects,” “forecasts,” “intends,” “believes,” “plans,” “may,” “will” or “continue,” and similar expressions and variations or negatives of these words. All such statements are subject to certain risks, uncertainties and other important factors that could cause actual results to differ materially and adversely from those projected and may affect Skyworks’ future operating results, financial position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uncertainties and other important factors include: the risks of doing business internationally, including from trade war or trade protection measures (e.g., tariffs, retaliatory tariffs and other countermeasures or taxes), increased import/export restrictions and controls (e.g., Skyworks’ ability to obtain foreign-sourced raw materials, including from Chinese-based sources, as well as Skyworks’ ability to sell products to certain specified foreign entities only pursuant to a limited export license from the U.S. Department of Commerce), the susceptibility of the semiconductor industry and the markets addressed by Skyworks’, and Skyworks’ customers’, products to economic cycles or changes in economic conditions, including inflation and recession that could result from trade war or trade protection measures; Skyworks’ reliance on a small number of key customers for a large percentage of Skyworks’ sales; decreased gross margins and loss of market share as a result of increased competition; Skyworks’ ability to obtain design wins from customers; Skyworks’ ability to convert design wins into revenue; market acceptance of Skyworks’ products and Skyworks’ customers’ products, including market acceptance of new, emerging technologies such as AI; the mix and volume of phone models sold by Skyworks’ largest customer; the potential impacts on Skyworks’ business, reputation, relationships, results of operations, cash flows and financial condition as a result of the Mergers and related transactions with Qorvo; the possibility that expected benefits related to such transactions with Qorvo may not materialize as expected; such transactions with Qorvo being timely completed, if completed at all; regulatory approvals required for the Mergers and related transactions not being timely obtained, if obtained at all, or being obtained subject to conditions; Skyworks or Qorvo’s business experiencing disruptions as a result of the Mergers and related transactions or due to transaction-related uncertainty or other factors making it more difficult to maintain relationships with employees, customers, other business partners or governmental entities; Skyworks and Qorvo being unable to successfully implement integration strategies or to achieve expected synergies and operating efficiencies within the expected time-frames or at all; the costs, fees, expenses and other charges related to the Mergers and related transactions with Qorvo, including with respect to any related litigation; reduced flexibility in operating Skyworks’ business as a result of the substantial amount of additional indebtedness Skyworks expects to incur in connection with the Mergers and related transactions; delays in the deployment of commercial 5G networks or in consumer adoption of 5G-enabled devices; the volatility of Skyworks’ stock price; changes in laws, regulations and/or policies that could adversely affect Skyworks’ operations and financial results, the economy and Skyworks’ customers’ demand for Skyworks’ products, or the financial markets and Skyworks’ ability to raise capital; fluctuations in Skyworks’ manufacturing yields due to Skyworks’ complex and specialized manufacturing processes; Skyworks’ ability to develop, manufacture and market innovative products, avoid product obsolescence, reduce costs in a timely manner, transition Skyworks’ products to smaller geometry process technologies and achieve higher levels of design integration; the quality of Skyworks’ products and any defect remediation costs; Skyworks’ products’ ability to perform under stringent operating conditions; the availability and pricing of third-party semiconductor foundry, assembly and test capacity, raw materials, including rare earth and similar minerals, supplier components, equipment and shipping and logistics services, including limits on Skyworks’ customers’ ability to obtain such services and materials; risks that Skyworks may not be able to optimize Skyworks’ manufacturing footprint and achieve any financial and operational benefits from such efforts, including reducing fixed costs or improving utilization rates, disruptions to Skyworks’ manufacturing processes, including relating to any relocation of Skyworks’ key facilities; Skyworks’ ability to successfully manage Skyworks’ senior management transitions; Skyworks’ ability to retain, recruit and hire key executives or the departure of any such executives, technical personnel and other employees in the positions and numbers, with the experience and capabilities, and at the compensation levels needed to implement Skyworks’ business and product plans; the timing, rescheduling or cancellation of significant customer orders and Skyworks’ ability, as well as the ability of Skyworks’ customers, to manage inventory; other economic, social, military and geopolitical conditions in the countries in which Skyworks, Skyworks’ customers or Skyworks’ suppliers operate, including the conflicts in Ukraine, Iran and other regions in the Middle East, possible disruptions in transportation networks, and fluctuations in foreign currency exchange rates; the effects of global health crises on business conditions in Skyworks’ industry, including the risk of significant disruptions to Skyworks’ business operations, as well as negative impacts to Skyworks’ financial condition; Skyworks’ ability to prevent theft of Skyworks’ intellectual property, disclosure of confidential information or breaches of Skyworks’ information technology systems; uncertainties of litigation, including Skyworks’ ongoing securities litigation, potential disputes over intellectual property infringement and rights, as well as payments related to the licensing and/or sale of such rights; Skyworks’ ability to continue to grow and maintain an intellectual property portfolio and obtain needed licenses from third parties; Skyworks’ ability to make certain investments and acquisitions, integrate companies Skyworks acquires and/or enter into strategic alliances; and other risks and uncertainties, including those detailed from time to time in Skyworks’ filings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press release are made only as of the date hereof, and Skyworks undertakes no obligation to update or revise the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to Editors: Skyworks and the Skyworks symbol are trademarks or registered trademarks of Skyworks Solutions, Inc., or its subsidiaries in the United States and other countries. Third-party brands and names are for identification purposes only and are the property of their respective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about the Mergers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Mergers, Skyworks has filed with the SEC a registration statement on Form S-4, which includes a proxy statement of Qorvo that also constitutes a prospectus for the shares of Skyworks common stock to be offered in the Mergers (collectively, the “Mergers Registration Statement and Proxy Statement/Prospectus”). Each of Skyworks and Qorvo may also file other relevant documents with the SEC regarding the Mergers. This communication is not a substitute for the proxy statement/prospectus or registration statement or any other document that Skyworks or Qorvo may file with the SEC. INVESTORS AND SECURITY HOLDERS ARE URGED TO READ THE MERGERS REGISTRATION STATEMENT AND PROXY STATEMENT/PROSPECTUS AND ANY OTHER RELEVANT DOCUMENTS THAT MAY BE FILED WITH THE SEC, AS WELL AS ANY AMENDMENTS OR SUPPLEMENTS TO THESE DOCUMENTS, CAREFULLY AND IN THEIR ENTIRETY WHEN THEY BECOME AVAILABLE BECAUSE THEY CONTAIN OR WILL CONTAIN IMPORTANT INFORMATION ABOUT SKYWORKS, QORVO, THE MERGERS AND RELATED MATTERS. Investors and security holders can obtain free copies of the Mergers Registration Statement and Proxy Statement/Prospectus and other documents containing important information about Skyworks, Qorvo and the Mergers filed with the SEC through the website maintained by the SEC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The documents filed by Skyworks with the SEC also may be obtained free of charge at Skyworks’ website at https://www.skyworksinc.com/investors or upon written request to Skyworks at investor.relations@skyworksinc.com. The documents filed by Qorvo with the SEC also may be obtained free of charge at Qorvo’s website at https://ir.qorvo.com/ or upon written request to Qorvo at investor-relations@qorvo.com.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Raji Gill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 508-0973</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Raji.Gill@skyworksinc.com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4849</Words>
  <Characters>28533</Characters>
  <CharactersWithSpaces>33619</CharactersWithSpaces>
  <Paragraphs>447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