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10-K/A</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10" w:lineRule="exact"/>
        <w:rPr>
          <w:sz w:val="24"/>
          <w:szCs w:val="24"/>
          <w:color w:val="auto"/>
        </w:rPr>
      </w:pPr>
    </w:p>
    <w:p>
      <w:pPr>
        <w:ind w:left="1380" w:right="2720" w:hanging="1372"/>
        <w:spacing w:after="0" w:line="281" w:lineRule="auto"/>
        <w:tabs>
          <w:tab w:leader="none" w:pos="732"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2011</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ind w:left="1420" w:right="2360" w:hanging="1412"/>
        <w:spacing w:after="0" w:line="281" w:lineRule="auto"/>
        <w:tabs>
          <w:tab w:leader="none" w:pos="772"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_____________ to _____________</w:t>
      </w: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001-5560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SKYWORKS SOLUTIONS, INC.</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156" w:lineRule="exact"/>
        <w:rPr>
          <w:sz w:val="24"/>
          <w:szCs w:val="24"/>
          <w:color w:val="auto"/>
        </w:rPr>
      </w:pPr>
    </w:p>
    <w:tbl>
      <w:tblPr>
        <w:tblLayout w:type="fixed"/>
        <w:tblInd w:w="1760" w:type="dxa"/>
        <w:tblCellMar>
          <w:top w:w="0" w:type="dxa"/>
          <w:left w:w="0" w:type="dxa"/>
          <w:bottom w:w="0" w:type="dxa"/>
          <w:right w:w="0" w:type="dxa"/>
        </w:tblCellMar>
      </w:tblPr>
      <w:tr>
        <w:trPr>
          <w:trHeight w:val="210"/>
        </w:trPr>
        <w:tc>
          <w:tcPr>
            <w:tcW w:w="4800" w:type="dxa"/>
            <w:vAlign w:val="bottom"/>
          </w:tcPr>
          <w:p>
            <w:pPr>
              <w:jc w:val="center"/>
              <w:ind w:right="579"/>
              <w:spacing w:after="0"/>
              <w:rPr>
                <w:sz w:val="20"/>
                <w:szCs w:val="20"/>
                <w:color w:val="auto"/>
              </w:rPr>
            </w:pPr>
            <w:r>
              <w:rPr>
                <w:rFonts w:ascii="Arial" w:cs="Arial" w:eastAsia="Arial" w:hAnsi="Arial"/>
                <w:sz w:val="16"/>
                <w:szCs w:val="16"/>
                <w:b w:val="1"/>
                <w:bCs w:val="1"/>
                <w:color w:val="auto"/>
                <w:w w:val="93"/>
              </w:rPr>
              <w:t>Delaware</w:t>
            </w:r>
          </w:p>
        </w:tc>
        <w:tc>
          <w:tcPr>
            <w:tcW w:w="3060" w:type="dxa"/>
            <w:vAlign w:val="bottom"/>
          </w:tcPr>
          <w:p>
            <w:pPr>
              <w:jc w:val="right"/>
              <w:ind w:right="739"/>
              <w:spacing w:after="0"/>
              <w:rPr>
                <w:sz w:val="20"/>
                <w:szCs w:val="20"/>
                <w:color w:val="auto"/>
              </w:rPr>
            </w:pPr>
            <w:r>
              <w:rPr>
                <w:rFonts w:ascii="Arial" w:cs="Arial" w:eastAsia="Arial" w:hAnsi="Arial"/>
                <w:sz w:val="16"/>
                <w:szCs w:val="16"/>
                <w:b w:val="1"/>
                <w:bCs w:val="1"/>
                <w:color w:val="auto"/>
              </w:rPr>
              <w:t>04-2302115</w:t>
            </w:r>
          </w:p>
        </w:tc>
      </w:tr>
      <w:tr>
        <w:trPr>
          <w:trHeight w:val="257"/>
        </w:trPr>
        <w:tc>
          <w:tcPr>
            <w:tcW w:w="4800" w:type="dxa"/>
            <w:vAlign w:val="bottom"/>
          </w:tcPr>
          <w:p>
            <w:pPr>
              <w:jc w:val="center"/>
              <w:ind w:right="559"/>
              <w:spacing w:after="0"/>
              <w:rPr>
                <w:sz w:val="20"/>
                <w:szCs w:val="20"/>
                <w:color w:val="auto"/>
              </w:rPr>
            </w:pPr>
            <w:r>
              <w:rPr>
                <w:rFonts w:ascii="Arial" w:cs="Arial" w:eastAsia="Arial" w:hAnsi="Arial"/>
                <w:sz w:val="16"/>
                <w:szCs w:val="16"/>
                <w:b w:val="1"/>
                <w:bCs w:val="1"/>
                <w:i w:val="1"/>
                <w:iCs w:val="1"/>
                <w:color w:val="auto"/>
                <w:w w:val="89"/>
              </w:rPr>
              <w:t>(State or Other Jurisdiction of Incorporation or Organization)</w:t>
            </w:r>
          </w:p>
        </w:tc>
        <w:tc>
          <w:tcPr>
            <w:tcW w:w="3060" w:type="dxa"/>
            <w:vAlign w:val="bottom"/>
          </w:tcPr>
          <w:p>
            <w:pPr>
              <w:jc w:val="center"/>
              <w:ind w:left="579"/>
              <w:spacing w:after="0"/>
              <w:rPr>
                <w:sz w:val="20"/>
                <w:szCs w:val="20"/>
                <w:color w:val="auto"/>
              </w:rPr>
            </w:pPr>
            <w:r>
              <w:rPr>
                <w:rFonts w:ascii="Arial" w:cs="Arial" w:eastAsia="Arial" w:hAnsi="Arial"/>
                <w:sz w:val="16"/>
                <w:szCs w:val="16"/>
                <w:b w:val="1"/>
                <w:bCs w:val="1"/>
                <w:i w:val="1"/>
                <w:iCs w:val="1"/>
                <w:color w:val="auto"/>
                <w:w w:val="91"/>
              </w:rPr>
              <w:t>(I.R.S. Employer Identification No.)</w:t>
            </w:r>
          </w:p>
        </w:tc>
      </w:tr>
      <w:tr>
        <w:trPr>
          <w:trHeight w:val="554"/>
        </w:trPr>
        <w:tc>
          <w:tcPr>
            <w:tcW w:w="4800" w:type="dxa"/>
            <w:vAlign w:val="bottom"/>
          </w:tcPr>
          <w:p>
            <w:pPr>
              <w:jc w:val="center"/>
              <w:ind w:right="579"/>
              <w:spacing w:after="0"/>
              <w:rPr>
                <w:sz w:val="20"/>
                <w:szCs w:val="20"/>
                <w:color w:val="auto"/>
              </w:rPr>
            </w:pPr>
            <w:r>
              <w:rPr>
                <w:rFonts w:ascii="Arial" w:cs="Arial" w:eastAsia="Arial" w:hAnsi="Arial"/>
                <w:sz w:val="16"/>
                <w:szCs w:val="16"/>
                <w:b w:val="1"/>
                <w:bCs w:val="1"/>
                <w:color w:val="auto"/>
                <w:w w:val="90"/>
              </w:rPr>
              <w:t>20 Sylvan Road, Woburn, Massachusetts</w:t>
            </w:r>
          </w:p>
        </w:tc>
        <w:tc>
          <w:tcPr>
            <w:tcW w:w="3060" w:type="dxa"/>
            <w:vAlign w:val="bottom"/>
          </w:tcPr>
          <w:p>
            <w:pPr>
              <w:jc w:val="right"/>
              <w:ind w:right="919"/>
              <w:spacing w:after="0"/>
              <w:rPr>
                <w:sz w:val="20"/>
                <w:szCs w:val="20"/>
                <w:color w:val="auto"/>
              </w:rPr>
            </w:pPr>
            <w:r>
              <w:rPr>
                <w:rFonts w:ascii="Arial" w:cs="Arial" w:eastAsia="Arial" w:hAnsi="Arial"/>
                <w:sz w:val="16"/>
                <w:szCs w:val="16"/>
                <w:b w:val="1"/>
                <w:bCs w:val="1"/>
                <w:color w:val="auto"/>
              </w:rPr>
              <w:t>01801</w:t>
            </w:r>
          </w:p>
        </w:tc>
      </w:tr>
      <w:tr>
        <w:trPr>
          <w:trHeight w:val="257"/>
        </w:trPr>
        <w:tc>
          <w:tcPr>
            <w:tcW w:w="4800" w:type="dxa"/>
            <w:vAlign w:val="bottom"/>
          </w:tcPr>
          <w:p>
            <w:pPr>
              <w:jc w:val="center"/>
              <w:ind w:right="559"/>
              <w:spacing w:after="0"/>
              <w:rPr>
                <w:sz w:val="20"/>
                <w:szCs w:val="20"/>
                <w:color w:val="auto"/>
              </w:rPr>
            </w:pPr>
            <w:r>
              <w:rPr>
                <w:rFonts w:ascii="Arial" w:cs="Arial" w:eastAsia="Arial" w:hAnsi="Arial"/>
                <w:sz w:val="16"/>
                <w:szCs w:val="16"/>
                <w:b w:val="1"/>
                <w:bCs w:val="1"/>
                <w:i w:val="1"/>
                <w:iCs w:val="1"/>
                <w:color w:val="auto"/>
                <w:w w:val="88"/>
              </w:rPr>
              <w:t>(Address of Principal Executive Offices)</w:t>
            </w:r>
          </w:p>
        </w:tc>
        <w:tc>
          <w:tcPr>
            <w:tcW w:w="3060" w:type="dxa"/>
            <w:vAlign w:val="bottom"/>
          </w:tcPr>
          <w:p>
            <w:pPr>
              <w:jc w:val="center"/>
              <w:ind w:left="579"/>
              <w:spacing w:after="0"/>
              <w:rPr>
                <w:sz w:val="20"/>
                <w:szCs w:val="20"/>
                <w:color w:val="auto"/>
              </w:rPr>
            </w:pPr>
            <w:r>
              <w:rPr>
                <w:rFonts w:ascii="Arial" w:cs="Arial" w:eastAsia="Arial" w:hAnsi="Arial"/>
                <w:sz w:val="16"/>
                <w:szCs w:val="16"/>
                <w:b w:val="1"/>
                <w:bCs w:val="1"/>
                <w:i w:val="1"/>
                <w:iCs w:val="1"/>
                <w:color w:val="auto"/>
                <w:w w:val="90"/>
              </w:rPr>
              <w:t>(Zip Code)</w:t>
            </w:r>
          </w:p>
        </w:tc>
      </w:tr>
    </w:tbl>
    <w:p>
      <w:pPr>
        <w:spacing w:after="0" w:line="235"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Registrant’s telephone number, including area code: (781) 376-3000</w:t>
      </w:r>
    </w:p>
    <w:p>
      <w:pPr>
        <w:spacing w:after="0" w:line="23"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0" w:lineRule="exact"/>
        <w:rPr>
          <w:sz w:val="24"/>
          <w:szCs w:val="24"/>
          <w:color w:val="auto"/>
        </w:rPr>
      </w:pPr>
    </w:p>
    <w:p>
      <w:pPr>
        <w:spacing w:after="0" w:line="238" w:lineRule="exact"/>
        <w:rPr>
          <w:sz w:val="24"/>
          <w:szCs w:val="24"/>
          <w:color w:val="auto"/>
        </w:rPr>
      </w:pPr>
    </w:p>
    <w:tbl>
      <w:tblPr>
        <w:tblLayout w:type="fixed"/>
        <w:tblInd w:w="166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2740" w:type="dxa"/>
            <w:vAlign w:val="bottom"/>
          </w:tcPr>
          <w:p>
            <w:pPr>
              <w:spacing w:after="0"/>
              <w:rPr>
                <w:sz w:val="16"/>
                <w:szCs w:val="16"/>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71"/>
        </w:trPr>
        <w:tc>
          <w:tcPr>
            <w:tcW w:w="4760" w:type="dxa"/>
            <w:vAlign w:val="bottom"/>
            <w:gridSpan w:val="3"/>
          </w:tcPr>
          <w:p>
            <w:pPr>
              <w:jc w:val="center"/>
              <w:ind w:right="2020"/>
              <w:spacing w:after="0"/>
              <w:rPr>
                <w:sz w:val="20"/>
                <w:szCs w:val="20"/>
                <w:color w:val="auto"/>
              </w:rPr>
            </w:pPr>
            <w:r>
              <w:rPr>
                <w:rFonts w:ascii="Arial" w:cs="Arial" w:eastAsia="Arial" w:hAnsi="Arial"/>
                <w:sz w:val="16"/>
                <w:szCs w:val="16"/>
                <w:color w:val="auto"/>
                <w:w w:val="91"/>
              </w:rPr>
              <w:t>Common Stock, par value $0.25 per share</w:t>
            </w:r>
          </w:p>
        </w:tc>
        <w:tc>
          <w:tcPr>
            <w:tcW w:w="318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R Yes £ No</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Act. £ Yes R No</w:t>
      </w:r>
    </w:p>
    <w:p>
      <w:pPr>
        <w:spacing w:after="0" w:line="163" w:lineRule="exact"/>
        <w:rPr>
          <w:sz w:val="24"/>
          <w:szCs w:val="24"/>
          <w:color w:val="auto"/>
        </w:rPr>
      </w:pPr>
    </w:p>
    <w:p>
      <w:pPr>
        <w:ind w:right="6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R Yes £ No</w:t>
      </w:r>
    </w:p>
    <w:p>
      <w:pPr>
        <w:spacing w:after="0" w:line="120" w:lineRule="exact"/>
        <w:rPr>
          <w:sz w:val="24"/>
          <w:szCs w:val="24"/>
          <w:color w:val="auto"/>
        </w:rPr>
      </w:pPr>
    </w:p>
    <w:p>
      <w:pPr>
        <w:ind w:right="200"/>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R Yes £ No</w:t>
      </w:r>
    </w:p>
    <w:p>
      <w:pPr>
        <w:spacing w:after="0" w:line="120"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R</w:t>
      </w:r>
    </w:p>
    <w:p>
      <w:pPr>
        <w:spacing w:after="0" w:line="120"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0" w:lineRule="exact"/>
        <w:rPr>
          <w:sz w:val="24"/>
          <w:szCs w:val="24"/>
          <w:color w:val="auto"/>
        </w:rPr>
      </w:pPr>
    </w:p>
    <w:p>
      <w:pPr>
        <w:ind w:left="3060" w:right="1120" w:hanging="4013"/>
        <w:spacing w:after="0" w:line="333" w:lineRule="auto"/>
        <w:tabs>
          <w:tab w:leader="none" w:pos="3040" w:val="left"/>
        </w:tabs>
        <w:rPr>
          <w:sz w:val="20"/>
          <w:szCs w:val="20"/>
          <w:color w:val="auto"/>
        </w:rPr>
      </w:pPr>
      <w:r>
        <w:rPr>
          <w:rFonts w:ascii="Arial" w:cs="Arial" w:eastAsia="Arial" w:hAnsi="Arial"/>
          <w:sz w:val="14"/>
          <w:szCs w:val="14"/>
          <w:color w:val="auto"/>
        </w:rPr>
        <w:t>Large Accelerated filer R</w:t>
      </w:r>
      <w:r>
        <w:rPr>
          <w:sz w:val="20"/>
          <w:szCs w:val="20"/>
          <w:color w:val="auto"/>
        </w:rPr>
        <w:tab/>
      </w:r>
      <w:r>
        <w:rPr>
          <w:rFonts w:ascii="Arial" w:cs="Arial" w:eastAsia="Arial" w:hAnsi="Arial"/>
          <w:sz w:val="14"/>
          <w:szCs w:val="14"/>
          <w:color w:val="auto"/>
        </w:rPr>
        <w:t>Accelerated filer £ Non-accelerated filer £ Smaller reporting company £ (Do not check if a smaller reporting company)</w:t>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 Yes R No</w:t>
      </w:r>
    </w:p>
    <w:p>
      <w:pPr>
        <w:spacing w:after="0" w:line="163" w:lineRule="exact"/>
        <w:rPr>
          <w:sz w:val="24"/>
          <w:szCs w:val="24"/>
          <w:color w:val="auto"/>
        </w:rPr>
      </w:pPr>
    </w:p>
    <w:p>
      <w:pPr>
        <w:spacing w:after="0" w:line="257"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(based on the closing price of the registrant’s common stock as reported on the NASDAQ Global Select Market on the last business day of the registrant’s most recently completed second fiscal quarter (April 1, 2011) was approximately $5,808,022,900. The number of outstanding shares of the registrant’s common stock, par value, $0.25 per share as of November 22, 2011, was 187,889,808.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9"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This Amendment No. 1 amends Skyworks Solutions, Inc.’s (“Skyworks” or the “Company”) Annual Report on Form 10-K for the year ended September 30, 2011, which was filed with the Securities and Exchange Commission (“SEC”) on November 28, 2011(the “Original Filing”). The Company is filing this Amendment No. 1 for the sole purpose of providing the information required in Part III of Form 10-K, as the Company’s 2012 Annual Meeting of Stockholders is scheduled for May 10, 2012, and, accordingly, the Company’s Proxy Statement relating to such Annual Meeting will be filed after the date hereof. Except as described above, this Amendment No. 1 does not amend any other information set forth in the Original Filing, and the Company has not updated disclosures included therein to reflect any subsequent events.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for each director and executive officer of the Company his position with the Company as of January 13, 2012:</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53"/>
        </w:trPr>
        <w:tc>
          <w:tcPr>
            <w:tcW w:w="2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r>
      <w:tr>
        <w:trPr>
          <w:trHeight w:val="244"/>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J. McLachlan</w:t>
            </w: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David J. Aldrich</w:t>
            </w:r>
          </w:p>
        </w:tc>
        <w:tc>
          <w:tcPr>
            <w:tcW w:w="832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2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Kevin L. Beebe</w:t>
            </w: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Moiz M. Beguwala</w:t>
            </w:r>
          </w:p>
        </w:tc>
        <w:tc>
          <w:tcPr>
            <w:tcW w:w="83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2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Timothy R. Furey</w:t>
            </w: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Balakrishnan S. Iyer</w:t>
            </w:r>
          </w:p>
        </w:tc>
        <w:tc>
          <w:tcPr>
            <w:tcW w:w="83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2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C. Leonard</w:t>
            </w: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David P. McGlade</w:t>
            </w:r>
          </w:p>
        </w:tc>
        <w:tc>
          <w:tcPr>
            <w:tcW w:w="83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2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A. Schriesheim</w:t>
            </w: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Donald W. Palette</w:t>
            </w:r>
          </w:p>
        </w:tc>
        <w:tc>
          <w:tcPr>
            <w:tcW w:w="832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2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Gregory L. Waters</w:t>
            </w: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and General Manager, Front-End Solutions</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Liam K. Griffin</w:t>
            </w:r>
          </w:p>
        </w:tc>
        <w:tc>
          <w:tcPr>
            <w:tcW w:w="8320" w:type="dxa"/>
            <w:vAlign w:val="bottom"/>
          </w:tcPr>
          <w:p>
            <w:pPr>
              <w:ind w:left="20"/>
              <w:spacing w:after="0"/>
              <w:rPr>
                <w:sz w:val="20"/>
                <w:szCs w:val="20"/>
                <w:color w:val="auto"/>
              </w:rPr>
            </w:pPr>
            <w:r>
              <w:rPr>
                <w:rFonts w:ascii="Arial" w:cs="Arial" w:eastAsia="Arial" w:hAnsi="Arial"/>
                <w:sz w:val="18"/>
                <w:szCs w:val="18"/>
                <w:color w:val="auto"/>
              </w:rPr>
              <w:t>Executive Vice President and General Manager, High Performance Analog</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2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Bruce J. Freyman</w:t>
            </w: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Worldwide Operations</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Mark V.B. Tremallo</w:t>
            </w:r>
          </w:p>
        </w:tc>
        <w:tc>
          <w:tcPr>
            <w:tcW w:w="8320" w:type="dxa"/>
            <w:vAlign w:val="bottom"/>
          </w:tcPr>
          <w:p>
            <w:pPr>
              <w:ind w:left="20"/>
              <w:spacing w:after="0"/>
              <w:rPr>
                <w:sz w:val="20"/>
                <w:szCs w:val="20"/>
                <w:color w:val="auto"/>
              </w:rPr>
            </w:pPr>
            <w:r>
              <w:rPr>
                <w:rFonts w:ascii="Arial" w:cs="Arial" w:eastAsia="Arial" w:hAnsi="Arial"/>
                <w:sz w:val="18"/>
                <w:szCs w:val="18"/>
                <w:color w:val="auto"/>
              </w:rPr>
              <w:t>Vice President, General Counsel and Secretary</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20" w:type="dxa"/>
            <w:vAlign w:val="bottom"/>
          </w:tcPr>
          <w:p>
            <w:pPr>
              <w:spacing w:after="0"/>
              <w:rPr>
                <w:sz w:val="2"/>
                <w:szCs w:val="2"/>
                <w:color w:val="auto"/>
              </w:rPr>
            </w:pPr>
          </w:p>
        </w:tc>
      </w:tr>
      <w:tr>
        <w:trPr>
          <w:trHeight w:val="24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George M. LeVan</w:t>
            </w: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Human Resources</w:t>
            </w:r>
          </w:p>
        </w:tc>
      </w:tr>
      <w:tr>
        <w:trPr>
          <w:trHeight w:val="27"/>
        </w:trPr>
        <w:tc>
          <w:tcPr>
            <w:tcW w:w="2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i w:val="1"/>
          <w:iCs w:val="1"/>
          <w:color w:val="auto"/>
        </w:rPr>
        <w:t xml:space="preserve">David J. McLachlan, </w:t>
      </w:r>
      <w:r>
        <w:rPr>
          <w:rFonts w:ascii="Arial" w:cs="Arial" w:eastAsia="Arial" w:hAnsi="Arial"/>
          <w:sz w:val="17"/>
          <w:szCs w:val="17"/>
          <w:color w:val="auto"/>
        </w:rPr>
        <w:t>age 73, has been a director since 2000 and Chairman of the Board since May 2008. Mr. McLachlan served as a senior advisor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and Chief Executive Officer of Genzyme Corporation (a publicly traded biotechnology company) from 1999 to 2004. He also was the Executive Vice President and Chief Financial Officer of Genzyme from 1989 to 1999. Prior to joining Genzyme, Mr. McLachlan served as Vice President and Chief Financial Officer of Adams-Russell Company (an electronic component supplier and cable television franchise owner). Mr. McLachlan also serves on the Board of Directors of Dyax Corp. (a publicly traded biotechnology company), HearUSA, Ltd. (a publicly traded hearing care services company) and Deltagen, Inc (a publicly traded provider of drug discovery tools and services to the biopharmaceutical industry).</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believe that Mr. McLachlan, the current Chairman of the Board, is qualified to serve as a director because he possesses a broad range of business experience as a result of his service as both chief financial officer and director for several public companies. In particular, Mr. McLachlan has in depth experience handling complex accounting and finance issues for a broad range of companies. He has also served on the boards and audit and governance committees of other public companies (including as chairman of the audit committee), and serves as a designated “audit committee financial expert” for Skyworks’ Audit Committee. In addition, Mr. McLachlan has extensive knowledge regarding Skyworks’ business, which he has acquired by serving for more than 10 years on its Board of Directors.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David J. Aldrich, </w:t>
      </w:r>
      <w:r>
        <w:rPr>
          <w:rFonts w:ascii="Arial" w:cs="Arial" w:eastAsia="Arial" w:hAnsi="Arial"/>
          <w:sz w:val="18"/>
          <w:szCs w:val="18"/>
          <w:color w:val="auto"/>
        </w:rPr>
        <w:t>age 54, has served as President and Chief Executive Officer, and as a director of the Company since April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jc w:val="both"/>
        <w:spacing w:after="0" w:line="272" w:lineRule="auto"/>
        <w:rPr>
          <w:sz w:val="20"/>
          <w:szCs w:val="20"/>
          <w:color w:val="auto"/>
        </w:rPr>
      </w:pPr>
      <w:r>
        <w:rPr>
          <w:rFonts w:ascii="Arial" w:cs="Arial" w:eastAsia="Arial" w:hAnsi="Arial"/>
          <w:sz w:val="17"/>
          <w:szCs w:val="17"/>
          <w:color w:val="auto"/>
        </w:rPr>
        <w:t>2000. From September 1999 to April 2000, Mr. Aldrich served as President and Chief Operating Officer. From May 1996 to May 1999, when he was appointed Executive Vice President, Mr. Aldrich served as Vice President and General Manager of the semiconductor products business unit. Mr. Aldrich joined the Company in 1995 as Vice President, Chief Financial Officer and Treasurer. From 1989 to 1995, Mr. Aldrich held senior management positions at M/A-COM, Inc. (a developer and manufacturer of radio frequency and microwave semiconductors, components and IP networking solutions), including Manager of Integrated Circuits Active Products, Corporate Vice President of Strategic Planning, Director of Finance and Administration and Director of Strategic Initiatives with the Microelectronics Division. Mr. Aldrich has also served since February 2007 as a director of Belden Inc. (a publicly traded designer and manufacturer of cable products and transmission solutions).</w:t>
      </w:r>
    </w:p>
    <w:p>
      <w:pPr>
        <w:spacing w:after="0" w:line="1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believe that Mr. Aldrich, who has led Skyworks for more than 10 years, is qualified to serve as a director because of his leadership experience, his strategic decision making ability, his knowledge of the semiconductor industry and his in-depth knowledge of Skyworks’ business. Mr. Aldrich brings to the Board of Directors his thorough knowledge of Skyworks’ business, strategy, people, operations, competition, financial position and investors. Further, as a result of his service as a director for Belden, Inc., a multi-national public company, Mr. Aldrich provides the Board of Directors with another organizational perspective and other cross-board experience.</w:t>
      </w:r>
    </w:p>
    <w:p>
      <w:pPr>
        <w:spacing w:after="0" w:line="188"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i w:val="1"/>
          <w:iCs w:val="1"/>
          <w:color w:val="auto"/>
        </w:rPr>
        <w:t>Kevin L. Beebe</w:t>
      </w:r>
      <w:r>
        <w:rPr>
          <w:rFonts w:ascii="Arial" w:cs="Arial" w:eastAsia="Arial" w:hAnsi="Arial"/>
          <w:sz w:val="16"/>
          <w:szCs w:val="16"/>
          <w:color w:val="auto"/>
        </w:rPr>
        <w:t>, age 52, has been a director since January 2004. Since November 2007, he has been President and Chief Executive Officer of 2BPartners,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LLC (a partnership that provides strategic, financial and operational advice to private equity investors and management). Previously, beginning in 1998, he was Group President of Operations at ALLTEL Corporation, a telecommunications services company. From 1996 to 1998, Mr. Beebe served as Executive Vice President of Operations for 360° Communications Co., a wireless communication company. He has held a variety of executive and senior management positions at several divisions of Sprint, including Vice President of Operations and Vice President of Marketing and Administration for Sprint Cellular, Director of Marketing for Sprint North Central Division, Director of Engineering and Operations Staff and Director of Product Management and Business Development for Sprint Southeast Division, as well as Staff Director of Product Services at Sprint Corporation. Mr. Beebe began his career at AT&amp;T/Southwestern Bell as a Manager. Mr. Beebe also serves as a director for SBA Communications Corporation (a publicly traded North American operator of wireless communications towers), NII Holdings, Inc. (a publicly traded provider of wireless telecommunications services), Sting Communications (a privately held broadband network provider) and Syniverse Technologies, Inc. (a privately held provider of support services for wireless carriers).</w:t>
      </w:r>
    </w:p>
    <w:p>
      <w:pPr>
        <w:spacing w:after="0" w:line="16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believe that Mr. Beebe is qualified to serve as a director because of his 16 years experience as an operating executive in the wireless telecommunications industry. For example, as Group President of Operations at ALLTEL, he was instrumental in expanding ALLTEL’s higher margin retail business, which significantly enhanced ALLTEL’s competitive position in a dynamic, consolidating industry. In addition, as Chief Executive Officer of 2BPartners, LLC, Mr. Beebe continues to gain a broad range of business experience and to build business relationships by advising leading private equity firms that are transacting business in the global capital markets. Mr. Beebe provides cross-board experience by serving as a director for several public and private companies (including service on both audit and governance committees). Further, Mr. Beebe has served as a director of Skyworks since 2004 and has gained significant familiarity with Skyworks’ business.</w:t>
      </w:r>
    </w:p>
    <w:p>
      <w:pPr>
        <w:spacing w:after="0" w:line="18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Moiz M. Beguwala</w:t>
      </w:r>
      <w:r>
        <w:rPr>
          <w:rFonts w:ascii="Arial" w:cs="Arial" w:eastAsia="Arial" w:hAnsi="Arial"/>
          <w:sz w:val="18"/>
          <w:szCs w:val="18"/>
          <w:color w:val="auto"/>
        </w:rPr>
        <w:t>, age 65, has been a director since June 2002. He served as Senior Vice President and General Manager of the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business unit of Conexant from January 1999 to June 2002. Prior to Conexant’s spin-off from Rockwell International Corporation, Mr. Beguwala served as Vice President and General Manager, Wireless Communications Division, Rockwell Semiconductor Systems, Inc. from October 1998 to December 1998; Vice President and General Manager Personal Computing Division, Rockwell Semiconductor Systems, Inc. from January 1998 to October 1998; and Vice President, Worldwide Sales, Rockwell Semiconductor Systems, Inc. from October 1995 to January 1998. Mr. Beguwala serves on the Board of Directors of Powerwave Technologies, Inc. (a publicly traded wireless solutions supplier for communications networks worldwide) and Cavendish Kinetics Inc. (a privately held MEMS company), as well as Chairman of the Board of RF Nano Corporation (a privately held semiconductor company in Newport Beach, CA). He also served as director of SIRF Technologies, Inc. (a former publicly traded GPS solutions semiconductor company) from September 2000 until May 2008.</w:t>
      </w:r>
    </w:p>
    <w:p>
      <w:pPr>
        <w:spacing w:after="0" w:line="19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believe that Mr. Beguwala is qualified to serve as a director because of his significant experience in, and in depth understanding of, the RF and analog semiconductor markets. Since becoming a vice president at Rockwell Semiconductor over 20 years ago, he has obtained executive experience in the strategic, technological, financial and operational requirements of companies in the wireless semiconductor industry. In addition, through his service as a director for several public and private semiconductor companies (including service on the audit and governance committees of a public company), he continues to gain knowledge of the semiconductor industry and provides cross-board experience to Skyworks.</w:t>
      </w:r>
    </w:p>
    <w:p>
      <w:pPr>
        <w:spacing w:after="0" w:line="1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Timothy R. Furey, </w:t>
      </w:r>
      <w:r>
        <w:rPr>
          <w:rFonts w:ascii="Arial" w:cs="Arial" w:eastAsia="Arial" w:hAnsi="Arial"/>
          <w:sz w:val="18"/>
          <w:szCs w:val="18"/>
          <w:color w:val="auto"/>
        </w:rPr>
        <w:t>age 53, has been a director since 1998. He has been Chief Executive Officer of MarketBridge (a privately owned 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strategy and technology professional services firm) since 1991. His company’s clients include organizations such as IBM, British Telecom and other global Fortune 500 companies selling complex technology products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services into both OEM and end-user markets. Mr. Furey also serves as Chairman of Technology Marketing Group, a private investment firm focused on emerging growth companies. Prior to 1991, Mr. Furey held a variety of consulting positions with Boston Consulting Group, Strategic Planning Associates, Kaiser Associates and the Marketing Science Institute.</w:t>
      </w:r>
    </w:p>
    <w:p>
      <w:pPr>
        <w:spacing w:after="0" w:line="18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believe that Mr. Furey is qualified to serve as a director because his experience as Chief Executive Officer of MarketBridge, as well as his engagements with MarketBridge’s clients (many of which are Fortune 500 companies), provide him with a broad range of knowledge regarding business operations and growth strategies. In addition, Mr. Furey has extensive knowledge regarding Skyworks’ business, which he acquired through over 13 years of service on the Board of Directors, including, for the past 8 years as the Chairman of the Compensation Committee.</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Balakrishnan S. Iyer, </w:t>
      </w:r>
      <w:r>
        <w:rPr>
          <w:rFonts w:ascii="Arial" w:cs="Arial" w:eastAsia="Arial" w:hAnsi="Arial"/>
          <w:sz w:val="18"/>
          <w:szCs w:val="18"/>
          <w:color w:val="auto"/>
        </w:rPr>
        <w:t>age 55, has been a director since June 2002. He served as Senior Vice President and Chief Financial Officer of Conexant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 from October 1998 to June 2003, and was a director of Conexant from February 2002 until April 2011. Prior to joining Conexant, Mr. Iyer served as Senior Vice President and Chief Financial Officer of VLSI Technology Inc. Prior to that, he was Corporate Controller for Cypress Semiconductor Corp. and Director of Finance for Advanced Micro Devices, Inc. Mr. Iyer serves on the Board of Directors of Life Technologies Corp., Power Integrations, Inc., QLogic Corporation, and IHS Inc. (each a publicly traded company).</w:t>
      </w:r>
    </w:p>
    <w:p>
      <w:pPr>
        <w:spacing w:after="0" w:line="18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believe that Mr. Iyer is qualified to serve as a director because his experience as an executive officer of companies in the technology industry provides him with leadership, strategic and financial experience. Through his experiences as a director at the public companies listed above (including as a member of certain audit, governance and compensation committees) he provides the Board with significant financial expertise as a designated “audit committee financial expert” for Skyworks’ Audit Committee, bringing specific application to our industry, as well as a broad understanding of corporate governance topics.</w:t>
      </w:r>
    </w:p>
    <w:p>
      <w:pPr>
        <w:spacing w:after="0" w:line="15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Thomas C. Leonard, </w:t>
      </w:r>
      <w:r>
        <w:rPr>
          <w:rFonts w:ascii="Arial" w:cs="Arial" w:eastAsia="Arial" w:hAnsi="Arial"/>
          <w:sz w:val="18"/>
          <w:szCs w:val="18"/>
          <w:color w:val="auto"/>
        </w:rPr>
        <w:t>age 77, has been a director since August 1996. From April 2000 until June 2002, he served as Chairman of the Board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from September 1999 to April 2000, he served the Company as Chief Executive Officer. From July 1996 to September 1999, he served as President and Chief Executive Officer. Mr. Leonard joined the Company in 1992 as a Division General Manager and was elected a Vice President in 1994. Mr. Leonard has over 30 years of experience in the microwave industry, having held a variety of executive and senior level management and marketing positions at M/A-COM, Inc., Varian Associates, Inc. and Sylvania.</w:t>
      </w:r>
    </w:p>
    <w:p>
      <w:pPr>
        <w:spacing w:after="0" w:line="1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that Mr. Leonard is qualified to serve as a director because of his experience in the technology industry in a variety of leadership and key operational positions, which have allowed him to accumulate knowledge in operational management and corporate strategy. In addition, Mr. Leonard has extensive knowledge regarding Skyworks’ business, which he has acquired by serving on the Board of Directors for over 15 years, and as Skyworks’ Chief Executive Officer from September 1999 to April 2000.</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David P. McGlade, </w:t>
      </w:r>
      <w:r>
        <w:rPr>
          <w:rFonts w:ascii="Arial" w:cs="Arial" w:eastAsia="Arial" w:hAnsi="Arial"/>
          <w:sz w:val="18"/>
          <w:szCs w:val="18"/>
          <w:color w:val="auto"/>
        </w:rPr>
        <w:t>age 51, has been a director since February 2005. He currently serves as the Chief Executive Officer and Deputy Chairman of Intelsat</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S.A. (a privately held worldwide provider of fixed satellite services). Previously, Mr. McGlade served as an Executive Director of mmO2 PLC and as the Chief Executive Officer of O2 UK (a subsidiary of mmO2), a position he held from October 2000 until March 2005. Before joining O2 UK, Mr. McGlade was President of the Western Region for Sprint PCS.</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that Mr. McGlade is qualified to serve as a director because of his 28 years of experience in the telecommunications business, which have allowed him to acquire significant operational, strategic and financial business acumen. Most recently, as a result of his work as the Chief Executive Officer of Intelsat, a private equity-owned operator of a network of commercial communications satellites and terrestrial connections, Mr. McGlade gained significant leadership and operational experience, as well as knowledge about the global capital markets.</w:t>
      </w:r>
    </w:p>
    <w:p>
      <w:pPr>
        <w:spacing w:after="0" w:line="18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i w:val="1"/>
          <w:iCs w:val="1"/>
          <w:color w:val="auto"/>
        </w:rPr>
        <w:t xml:space="preserve">Robert A. Schriesheim, </w:t>
      </w:r>
      <w:r>
        <w:rPr>
          <w:rFonts w:ascii="Arial" w:cs="Arial" w:eastAsia="Arial" w:hAnsi="Arial"/>
          <w:sz w:val="17"/>
          <w:szCs w:val="17"/>
          <w:color w:val="auto"/>
        </w:rPr>
        <w:t>age 51, has been a director since 2006. He has been Executive Vice President and Chief Financial Officer of Sears Holdings since</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2011. From January 2010 to October 2010, Mr. Schriesheim was Chief Financial Officer and Principal Financial Officer of Hewitt Associates, Inc. (a global human resources consulting and outsourcing company that was acquired by Aon Corporation). From October 2006 until December 2009, he was the Executive Vice President, Chief Financial Officer and Principal Financial Officer of Lawson Software, Inc. (a publicly traded ERP software provider). From August 2002 to October 2006, he was affiliated with ARCH Development Partners, LLC, a seed stage venture capital fund. Before joining ARCH, Mr. Schriesheim held executive positions at Global TeleSystems (“GTS”), SBC Equity Partners, Ameritech, AC Nielsen, and Brooke Group Ltd. In 2001, to facilitate the sale of GTS, Mr. Schriesheim led it through a pre-arranged filing under Chapter 11 of the United States Bankruptcy Code (“U.S.B.C.”) and, in prearranged proceedings, a petition for surseance (moratorium), offering a composition, in the Netherlands. All such proceedings were approved, confirmed and completed by March 31, 2002 as part of the sale of the company. Mr. Schriesheim was also a director of Lawson Software, Inc. until its sale in July of 2011.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7"/>
          <w:szCs w:val="17"/>
          <w:color w:val="auto"/>
        </w:rPr>
        <w:t>addition, from 2004 until 2007, he was also a director of Dobson Communications Corp. (a former publicly traded wireless services communications company that was acquired by AT&amp;T Inc.) and from 2007 until 2009 he served as a director of MSC Software Corp. (a former publicly traded provider of integrated simulation solutions for designing and testing manufactured products that was acquired by Symphony Technology Group).</w:t>
      </w:r>
    </w:p>
    <w:p>
      <w:pPr>
        <w:spacing w:after="0" w:line="16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believe that Mr. Schriesheim is qualified to serve as a director because of his extensive knowledge of the capital markets, experience with corporate financial capital structures and long history of evaluating and structuring merger and acquisition transactions within the technology sector. Mr. Schriesheim also has significant experience, as a senior executive and director in both public and private companies in the technology sector, leading companies through major strategic and financial corporate transformations while doing business in the global market place. He also serves as a designated “audit committee financial expert” for Skyworks’ Audit Committee.</w:t>
      </w:r>
    </w:p>
    <w:p>
      <w:pPr>
        <w:spacing w:after="0" w:line="18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addition to the information presented above regarding each director’s specific experience, qualifications, attributes and skills that led our Board of Directors to conclude that he should serve as a director, we also believe that each of our directors has a reputation for integrity, honesty and adherence to high ethical standards. They have each demonstrated business acumen, an ability to exercise sound judgment and a commitment of service to Skyworks.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Executive Officers (other than President and Chief Executive Officer)</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Donald W. Palette</w:t>
      </w:r>
      <w:r>
        <w:rPr>
          <w:rFonts w:ascii="Arial" w:cs="Arial" w:eastAsia="Arial" w:hAnsi="Arial"/>
          <w:sz w:val="18"/>
          <w:szCs w:val="18"/>
          <w:color w:val="auto"/>
        </w:rPr>
        <w:t>, age 54, joined the Company as Vice President and Chief Financial Officer of Skyworks in August 2007. Previously, from May 2005</w:t>
      </w:r>
      <w:r>
        <w:rPr>
          <w:rFonts w:ascii="Arial" w:cs="Arial" w:eastAsia="Arial" w:hAnsi="Arial"/>
          <w:sz w:val="18"/>
          <w:szCs w:val="18"/>
          <w:i w:val="1"/>
          <w:iCs w:val="1"/>
          <w:color w:val="auto"/>
        </w:rPr>
        <w:t xml:space="preserve"> </w:t>
      </w:r>
      <w:r>
        <w:rPr>
          <w:rFonts w:ascii="Arial" w:cs="Arial" w:eastAsia="Arial" w:hAnsi="Arial"/>
          <w:sz w:val="18"/>
          <w:szCs w:val="18"/>
          <w:color w:val="auto"/>
        </w:rPr>
        <w:t>until August 2007, Mr. Palette served as Senior Vice President, Finance and Controller of Axcelis Technologies, Inc. (a publicly traded semiconductor equipment manufacturer). Prior to May 2005, he was Axcelis’ Controller beginning in 1999, Director of Finance beginning August 2000, and Vice President and Treasurer beginning in 2003. Before joining Axcelis in 1999, Mr. Palette was Controller of Financial Reporting/Operations for Simplex, a leading manufacturer of fire protection and security systems. Prior to that, Mr. Palette was Director of Finance for Bell &amp; Howell’s Mail Processing Company, a leading manufacturer of high speed mail insertion and sorting equipment.</w:t>
      </w:r>
    </w:p>
    <w:p>
      <w:pPr>
        <w:spacing w:after="0" w:line="19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Gregory L. Waters, </w:t>
      </w:r>
      <w:r>
        <w:rPr>
          <w:rFonts w:ascii="Arial" w:cs="Arial" w:eastAsia="Arial" w:hAnsi="Arial"/>
          <w:sz w:val="18"/>
          <w:szCs w:val="18"/>
          <w:color w:val="auto"/>
        </w:rPr>
        <w:t>age 51, joined the Company in April 2003, and has served as Executive Vice President and General Manager, Front-End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since October 2006, Executive Vice President beginning in November 2005, and Vice President and General Manager, Cellular Systems as of May 2004. Previously, from February 2001 until April 2003, Mr. Waters served as Senior Vice President of Strategy and Business Development at Agere Systems and, beginning in 1998, held positions there as Vice President of the Wireless Communications business and Vice President of the Broadband Communications business. Prior to working at Agere, Mr. Waters held a variety of senior management positions within Texas Instruments, including Director of Network Access Products and Director of North American Sales. Mr. Waters also serves as a director of Sand 9, Inc. (a privately held fabless semiconductor company focused on precision timing solutions).</w:t>
      </w:r>
    </w:p>
    <w:p>
      <w:pPr>
        <w:spacing w:after="0" w:line="18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Liam K. Griffin, </w:t>
      </w:r>
      <w:r>
        <w:rPr>
          <w:rFonts w:ascii="Arial" w:cs="Arial" w:eastAsia="Arial" w:hAnsi="Arial"/>
          <w:sz w:val="18"/>
          <w:szCs w:val="18"/>
          <w:color w:val="auto"/>
        </w:rPr>
        <w:t>age 45, joined the Company in August 2001 and has served as Executive Vice President and General Manager, High Performance Analog</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May 2011. He also served as Senior Vice President, Sales and Marketing from August 2001 through May 2011. Previously, Mr. Griffin was employed by Vectron International, a division of Dover Corp., as Vice President of Worldwide Sales from 1997 to 2001, and as Vice President of North American Sales from 1995 to 1997. His prior experience included positions as a Marketing Manager at AT&amp;T Microelectronics, Inc. and Product and Process Engineer at AT&amp;T Network Systems. Mr. Griffin also serves as a director of Vicor Corp. (a publicly traded designer, developer, manufacturer and marketer of modular power components and complete power systems).</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Bruce J. Freyman, </w:t>
      </w:r>
      <w:r>
        <w:rPr>
          <w:rFonts w:ascii="Arial" w:cs="Arial" w:eastAsia="Arial" w:hAnsi="Arial"/>
          <w:sz w:val="18"/>
          <w:szCs w:val="18"/>
          <w:color w:val="auto"/>
        </w:rPr>
        <w:t>age 51, joined the Company in May 2005 and serves as Senior Vice President, Worldwide Operations. Previously,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Operating Officer of Amkor Technology and also held various senior management positions, including Executive Vice President of Operations from 2001 to 2004. Earlier, Mr. Freyman spent 10 years with Motorola managing their semiconductor packaging operations for portable communications products.</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Mark V.B. Tremallo, </w:t>
      </w:r>
      <w:r>
        <w:rPr>
          <w:rFonts w:ascii="Arial" w:cs="Arial" w:eastAsia="Arial" w:hAnsi="Arial"/>
          <w:sz w:val="18"/>
          <w:szCs w:val="18"/>
          <w:color w:val="auto"/>
        </w:rPr>
        <w:t>age 55, joined the Company in April 2004 and serves as Vice President, General Counsel and Secretary. Previously, from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2003 to April 2004, Mr. Tremallo was Senior Vice President and General Counsel at TAC Worldwide Companies (a technical workforce solutions provider). Prior to TAC, from May 1997 to May 2002, he was Vice President, General Counsel and Secretary at Acterna Corp. (a global communications test equipment and solutions provider that filed a voluntary petition for reorganization under Chapter 11 of the U.S.B.C. on May 6, 2003). Earlier, Mr. Tremallo served as Vice President, General Counsel and Secretary at Cabot Safety Corporation.</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George M. LeVan, </w:t>
      </w:r>
      <w:r>
        <w:rPr>
          <w:rFonts w:ascii="Arial" w:cs="Arial" w:eastAsia="Arial" w:hAnsi="Arial"/>
          <w:sz w:val="18"/>
          <w:szCs w:val="18"/>
          <w:color w:val="auto"/>
        </w:rPr>
        <w:t>age 66, has served as Vice President, Human Resources since June 2002. Previously, Mr. LeVan served as Director,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from 1991 to 2002 and has managed the human resource department since joining the Company in 1982. Prior to 1982, Mr. LeVan held human resources positions at Data Terminal Systems, Inc., W.R. Grace &amp; Co., Compo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Industries, Inc. and RCA.</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We have established an Audit Committee comprised of the following individuals, each of whom qualifies as independent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the applicable Listing Rules of the NASDAQ Stock Market LLC (the “NASDAQ Rules”) and meets the criteria for independence set forth in Rule 10A-3(b)(1) under the Securities Exchange Act of 1934 (“Exchange Act”): Robert A. Schriesheim (Chairman), Kevin L. Beebe, Balakrishnan S. Iyer, Moiz M. Beguwala and David J. McLachlan.</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Audit Committee Financial Expert</w:t>
      </w:r>
      <w:r>
        <w:rPr>
          <w:rFonts w:ascii="Arial" w:cs="Arial" w:eastAsia="Arial" w:hAnsi="Arial"/>
          <w:sz w:val="18"/>
          <w:szCs w:val="18"/>
          <w:color w:val="auto"/>
        </w:rPr>
        <w:t>: The Board of Directors has determined that each of Mr. Schriesheim (Chairman), Mr. Iyer and Mr. McLachlan, meets</w:t>
      </w:r>
      <w:r>
        <w:rPr>
          <w:rFonts w:ascii="Arial" w:cs="Arial" w:eastAsia="Arial" w:hAnsi="Arial"/>
          <w:sz w:val="18"/>
          <w:szCs w:val="18"/>
          <w:i w:val="1"/>
          <w:iCs w:val="1"/>
          <w:color w:val="auto"/>
        </w:rPr>
        <w:t xml:space="preserve"> </w:t>
      </w:r>
      <w:r>
        <w:rPr>
          <w:rFonts w:ascii="Arial" w:cs="Arial" w:eastAsia="Arial" w:hAnsi="Arial"/>
          <w:sz w:val="18"/>
          <w:szCs w:val="18"/>
          <w:color w:val="auto"/>
        </w:rPr>
        <w:t>the qualifications of an “audit committee financial expert” under SEC Rules and the qualifications of “financial sophistication” under the NASDAQ Rules, and qualifies as “independent” as defined under the NASDAQ Rules.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Section 16 (a) of the Exchange Act requires our directors, executive officers and beneficial owners of more than 10% of our equity securities to file reports of holdings and transactions in securities of Skyworks with the SEC. Based solely on a review of Forms 3, 4 and 5 and any amendments thereto furnished to us, and written representations provided to us, with respect to our fiscal year ended September 30, 2011, we believe that all Section 16(a) filing requirements applicable to our directors, executive officers and beneficial owners of more than 10% of our common stock with respect to such fiscal year were timely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which is located at www.skyworksinc.com. We intend to disclose any amendments to, or waivers from, our code of business conduct and ethics that are required to be publicly disclosed pursuant to rules of the SEC and the NASDAQ Rules by posting any such amendment or waivers on our website and disclosing any such waivers in a Form 8-K filed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Sets Compensation for Senior Executives?</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Compensation Committee, which is comprised solely of independent directors within the meaning of applicable NASDAQ Rules, outside directors within the meaning of Section 162 of the Internal Revenue Code (“IRC”) and non-employee directors within the meaning of Rule 16b-3 under the Exchange Act, is responsible for determining all components and amounts of compensation to be paid to our Chief Executive Officer, our Chief Financial Officer and each of our other executive officers, as well as any other officers or employees who report directly to the Chief Executive Officer.</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Compensation Discussion and Analysis section discusses the compensation policies and programs for our Chief Executive Officer, our Chief Financial Officer and our three next most highly paid executive officers during fiscal 2011 as determined under the rules of the SEC. We refer to this group of executive officers as our “Named Executive Officers.”</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How has the Company taken into account the results of the Stockholder Vote on Executive Compensation at the 2011 Annual Meeting?</w:t>
      </w:r>
    </w:p>
    <w:p>
      <w:pPr>
        <w:spacing w:after="0" w:line="23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As we previously reported, at our 2011 Annual Meeting of Stockholders, approximately 95% of the votes cast at the 2011 Annual Meeting approved the compensation of the Company’s named executive officers as disclosed in the proxy statement delivered to our Stockholders in connection with the 2011 Annual Meeting. We understood this to mean that Stockholders generally approved of our compensation policies and determinations in 2011. As a result, following review and consultation with Aon/Radford Consulting (“Aon/Radford”), which has been retained by the Compensation Committee to advise the Compensation Committee on executive compensation matters, and taking into consideration evolving best practices in executive compensation by public companies, we have not made any significant changes to our executive compensation decisions and policies. The Compensation Committee periodically reviews the goals we would like to achieve through our executive compensation practices and explores ways to modify those practices to either achieve new goals or to enhance our ability to achieve existing goals.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are the Objectives of Our Compensation Program?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both"/>
        <w:ind w:firstLine="243"/>
        <w:spacing w:after="0" w:line="264" w:lineRule="auto"/>
        <w:rPr>
          <w:sz w:val="20"/>
          <w:szCs w:val="20"/>
          <w:color w:val="auto"/>
        </w:rPr>
      </w:pPr>
      <w:r>
        <w:rPr>
          <w:rFonts w:ascii="Arial" w:cs="Arial" w:eastAsia="Arial" w:hAnsi="Arial"/>
          <w:sz w:val="18"/>
          <w:szCs w:val="18"/>
          <w:color w:val="auto"/>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spacing w:after="0" w:line="181" w:lineRule="exact"/>
        <w:rPr>
          <w:sz w:val="20"/>
          <w:szCs w:val="20"/>
          <w:color w:val="auto"/>
        </w:rPr>
      </w:pPr>
    </w:p>
    <w:p>
      <w:pPr>
        <w:ind w:left="260" w:firstLine="234"/>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ensuring that our executive compensation program is competitive with a group of companies in the semiconductor industry with which we compete for executive talent;</w:t>
      </w:r>
    </w:p>
    <w:p>
      <w:pPr>
        <w:spacing w:after="0" w:line="170" w:lineRule="exact"/>
        <w:rPr>
          <w:rFonts w:ascii="Arial" w:cs="Arial" w:eastAsia="Arial" w:hAnsi="Arial"/>
          <w:sz w:val="18"/>
          <w:szCs w:val="18"/>
          <w:color w:val="auto"/>
        </w:rPr>
      </w:pPr>
    </w:p>
    <w:p>
      <w:pPr>
        <w:ind w:left="260" w:firstLine="234"/>
        <w:spacing w:after="0" w:line="277" w:lineRule="auto"/>
        <w:tabs>
          <w:tab w:leader="none" w:pos="76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a base salary that serves as the foundation of a compensation package that attracts and retains the executive talent needed to achieve our business objectives;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short-term variable compensation that motivates executives and rewards them for achieving financial performance targets;</w:t>
      </w:r>
    </w:p>
    <w:p>
      <w:pPr>
        <w:spacing w:after="0" w:line="225" w:lineRule="exact"/>
        <w:rPr>
          <w:rFonts w:ascii="Arial" w:cs="Arial" w:eastAsia="Arial" w:hAnsi="Arial"/>
          <w:sz w:val="18"/>
          <w:szCs w:val="18"/>
          <w:color w:val="auto"/>
        </w:rPr>
      </w:pPr>
    </w:p>
    <w:p>
      <w:pPr>
        <w:ind w:left="260" w:firstLine="234"/>
        <w:spacing w:after="0" w:line="277" w:lineRule="auto"/>
        <w:tabs>
          <w:tab w:leader="none" w:pos="788"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long-term stock-based compensation that aligns the interest of our executives with stockholders and rewards them for increases in stockholder value; and</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ensuring that our executive compensation program is perceived as fundamentally fair to all of our employees.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We Determine the Components and Amount of Compensation to Pay?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sets compensation for the Named Executive Officers, including salary, short-term incentives and long-term stock-based awards, at levels generally intended to be competitive with the compensation of comparable executives in semiconductor companies with which the Company competes for executive talent.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Retention of Compensation Consultant</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Compensation Committee has engaged Aon/Radford to assist the Compensation Committee in determining the components and amount of executive compensation. The consultant reports directly to the Compensation Committee, through its chairperson, and the Compensation Committee retains the right to terminate or replace the consultant at any time. The consultant advises the Compensation Committee on such compensation matters as are requested by the Compensation Committee. The Compensation Committee considers the consultant’s advice on such matters in addition to any other information or factors it considers relevant in making its compensation determinations.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Role of Chief Executive Officer</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Compensation Committee also considers the recommendations of the Chief Executive Officer regarding the compensation of each of his direct reports, including the other Named Executive Officers. These recommendations include an assessment of each individual’s responsibilities, experience, individual performance and contribution to the Company’s performance, and also generally take into account internal factors such as historical compensation and level in the organization, in addition to external factors such as the current environment for attracting and retaining executives.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Establishment of Comparator Group Data</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determining compensation for each of the Named Executive Officers, the committee utilizes “Comparator Group” data for each position. For fiscal year 2011, the Compensation Committee approved Comparator Group data consisting of a 50/50 blend of (i) Aon/Radford survey data of 27 semiconductor companies (where sufficient data was not available in the Aon/Radford semiconductor survey data — for example, for a VP/General Manager position — the Comparator Group data reflected survey data regarding high-technology companies, which included a larger survey sample) and (ii) the public “peer” group data for 17 publicly-traded semiconductor companies with which the Company competes for executive talent:</w:t>
      </w:r>
    </w:p>
    <w:p>
      <w:pPr>
        <w:spacing w:after="0" w:line="335"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*Analog Devices</w:t>
            </w:r>
          </w:p>
        </w:tc>
        <w:tc>
          <w:tcPr>
            <w:tcW w:w="3360" w:type="dxa"/>
            <w:vAlign w:val="bottom"/>
          </w:tcPr>
          <w:p>
            <w:pPr>
              <w:ind w:left="720"/>
              <w:spacing w:after="0"/>
              <w:rPr>
                <w:sz w:val="20"/>
                <w:szCs w:val="20"/>
                <w:color w:val="auto"/>
              </w:rPr>
            </w:pPr>
            <w:r>
              <w:rPr>
                <w:rFonts w:ascii="Arial" w:cs="Arial" w:eastAsia="Arial" w:hAnsi="Arial"/>
                <w:sz w:val="18"/>
                <w:szCs w:val="18"/>
                <w:color w:val="auto"/>
              </w:rPr>
              <w:t>*International Rectifier</w:t>
            </w:r>
          </w:p>
        </w:tc>
        <w:tc>
          <w:tcPr>
            <w:tcW w:w="2460" w:type="dxa"/>
            <w:vAlign w:val="bottom"/>
          </w:tcPr>
          <w:p>
            <w:pPr>
              <w:ind w:left="580"/>
              <w:spacing w:after="0"/>
              <w:rPr>
                <w:sz w:val="20"/>
                <w:szCs w:val="20"/>
                <w:color w:val="auto"/>
              </w:rPr>
            </w:pPr>
            <w:r>
              <w:rPr>
                <w:rFonts w:ascii="Arial" w:cs="Arial" w:eastAsia="Arial" w:hAnsi="Arial"/>
                <w:sz w:val="18"/>
                <w:szCs w:val="18"/>
                <w:color w:val="auto"/>
                <w:w w:val="93"/>
              </w:rPr>
              <w:t>*National Semiconductor</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*Avago Technologies</w:t>
            </w:r>
          </w:p>
        </w:tc>
        <w:tc>
          <w:tcPr>
            <w:tcW w:w="3360" w:type="dxa"/>
            <w:vAlign w:val="bottom"/>
          </w:tcPr>
          <w:p>
            <w:pPr>
              <w:ind w:left="720"/>
              <w:spacing w:after="0"/>
              <w:rPr>
                <w:sz w:val="20"/>
                <w:szCs w:val="20"/>
                <w:color w:val="auto"/>
              </w:rPr>
            </w:pPr>
            <w:r>
              <w:rPr>
                <w:rFonts w:ascii="Arial" w:cs="Arial" w:eastAsia="Arial" w:hAnsi="Arial"/>
                <w:sz w:val="18"/>
                <w:szCs w:val="18"/>
                <w:color w:val="auto"/>
              </w:rPr>
              <w:t>*Intersil</w:t>
            </w:r>
          </w:p>
        </w:tc>
        <w:tc>
          <w:tcPr>
            <w:tcW w:w="2460" w:type="dxa"/>
            <w:vAlign w:val="bottom"/>
          </w:tcPr>
          <w:p>
            <w:pPr>
              <w:ind w:left="580"/>
              <w:spacing w:after="0"/>
              <w:rPr>
                <w:sz w:val="20"/>
                <w:szCs w:val="20"/>
                <w:color w:val="auto"/>
              </w:rPr>
            </w:pPr>
            <w:r>
              <w:rPr>
                <w:rFonts w:ascii="Arial" w:cs="Arial" w:eastAsia="Arial" w:hAnsi="Arial"/>
                <w:sz w:val="18"/>
                <w:szCs w:val="18"/>
                <w:color w:val="auto"/>
              </w:rPr>
              <w:t>*ON Semiconductor</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*Broadcom</w:t>
            </w:r>
          </w:p>
        </w:tc>
        <w:tc>
          <w:tcPr>
            <w:tcW w:w="3360" w:type="dxa"/>
            <w:vAlign w:val="bottom"/>
          </w:tcPr>
          <w:p>
            <w:pPr>
              <w:ind w:left="720"/>
              <w:spacing w:after="0"/>
              <w:rPr>
                <w:sz w:val="20"/>
                <w:szCs w:val="20"/>
                <w:color w:val="auto"/>
              </w:rPr>
            </w:pPr>
            <w:r>
              <w:rPr>
                <w:rFonts w:ascii="Arial" w:cs="Arial" w:eastAsia="Arial" w:hAnsi="Arial"/>
                <w:sz w:val="18"/>
                <w:szCs w:val="18"/>
                <w:color w:val="auto"/>
              </w:rPr>
              <w:t>*Linear Technology</w:t>
            </w:r>
          </w:p>
        </w:tc>
        <w:tc>
          <w:tcPr>
            <w:tcW w:w="2460" w:type="dxa"/>
            <w:vAlign w:val="bottom"/>
          </w:tcPr>
          <w:p>
            <w:pPr>
              <w:ind w:left="580"/>
              <w:spacing w:after="0"/>
              <w:rPr>
                <w:sz w:val="20"/>
                <w:szCs w:val="20"/>
                <w:color w:val="auto"/>
              </w:rPr>
            </w:pPr>
            <w:r>
              <w:rPr>
                <w:rFonts w:ascii="Arial" w:cs="Arial" w:eastAsia="Arial" w:hAnsi="Arial"/>
                <w:sz w:val="18"/>
                <w:szCs w:val="18"/>
                <w:color w:val="auto"/>
              </w:rPr>
              <w:t>*RF Micro Devices</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*Cree</w:t>
            </w:r>
          </w:p>
        </w:tc>
        <w:tc>
          <w:tcPr>
            <w:tcW w:w="3360" w:type="dxa"/>
            <w:vAlign w:val="bottom"/>
          </w:tcPr>
          <w:p>
            <w:pPr>
              <w:ind w:left="720"/>
              <w:spacing w:after="0"/>
              <w:rPr>
                <w:sz w:val="20"/>
                <w:szCs w:val="20"/>
                <w:color w:val="auto"/>
              </w:rPr>
            </w:pPr>
            <w:r>
              <w:rPr>
                <w:rFonts w:ascii="Arial" w:cs="Arial" w:eastAsia="Arial" w:hAnsi="Arial"/>
                <w:sz w:val="18"/>
                <w:szCs w:val="18"/>
                <w:color w:val="auto"/>
              </w:rPr>
              <w:t>*LSI Logic</w:t>
            </w:r>
          </w:p>
        </w:tc>
        <w:tc>
          <w:tcPr>
            <w:tcW w:w="2460" w:type="dxa"/>
            <w:vAlign w:val="bottom"/>
          </w:tcPr>
          <w:p>
            <w:pPr>
              <w:ind w:left="580"/>
              <w:spacing w:after="0"/>
              <w:rPr>
                <w:sz w:val="20"/>
                <w:szCs w:val="20"/>
                <w:color w:val="auto"/>
              </w:rPr>
            </w:pPr>
            <w:r>
              <w:rPr>
                <w:rFonts w:ascii="Arial" w:cs="Arial" w:eastAsia="Arial" w:hAnsi="Arial"/>
                <w:sz w:val="18"/>
                <w:szCs w:val="18"/>
                <w:color w:val="auto"/>
              </w:rPr>
              <w:t>*Silicon Laboratories</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*Cypress Semiconductor</w:t>
            </w:r>
          </w:p>
        </w:tc>
        <w:tc>
          <w:tcPr>
            <w:tcW w:w="3360" w:type="dxa"/>
            <w:vAlign w:val="bottom"/>
          </w:tcPr>
          <w:p>
            <w:pPr>
              <w:ind w:left="720"/>
              <w:spacing w:after="0"/>
              <w:rPr>
                <w:sz w:val="20"/>
                <w:szCs w:val="20"/>
                <w:color w:val="auto"/>
              </w:rPr>
            </w:pPr>
            <w:r>
              <w:rPr>
                <w:rFonts w:ascii="Arial" w:cs="Arial" w:eastAsia="Arial" w:hAnsi="Arial"/>
                <w:sz w:val="18"/>
                <w:szCs w:val="18"/>
                <w:color w:val="auto"/>
              </w:rPr>
              <w:t>*Maxim Integrated Products</w:t>
            </w:r>
          </w:p>
        </w:tc>
        <w:tc>
          <w:tcPr>
            <w:tcW w:w="2460" w:type="dxa"/>
            <w:vAlign w:val="bottom"/>
          </w:tcPr>
          <w:p>
            <w:pPr>
              <w:ind w:left="600"/>
              <w:spacing w:after="0"/>
              <w:rPr>
                <w:sz w:val="20"/>
                <w:szCs w:val="20"/>
                <w:color w:val="auto"/>
              </w:rPr>
            </w:pPr>
            <w:r>
              <w:rPr>
                <w:rFonts w:ascii="Arial" w:cs="Arial" w:eastAsia="Arial" w:hAnsi="Arial"/>
                <w:sz w:val="18"/>
                <w:szCs w:val="18"/>
                <w:color w:val="auto"/>
                <w:w w:val="93"/>
              </w:rPr>
              <w:t>*TriQuint Semiconductor</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*Fairchild Semiconductor</w:t>
            </w:r>
          </w:p>
        </w:tc>
        <w:tc>
          <w:tcPr>
            <w:tcW w:w="3360" w:type="dxa"/>
            <w:vAlign w:val="bottom"/>
          </w:tcPr>
          <w:p>
            <w:pPr>
              <w:ind w:left="720"/>
              <w:spacing w:after="0"/>
              <w:rPr>
                <w:sz w:val="20"/>
                <w:szCs w:val="20"/>
                <w:color w:val="auto"/>
              </w:rPr>
            </w:pPr>
            <w:r>
              <w:rPr>
                <w:rFonts w:ascii="Arial" w:cs="Arial" w:eastAsia="Arial" w:hAnsi="Arial"/>
                <w:sz w:val="18"/>
                <w:szCs w:val="18"/>
                <w:color w:val="auto"/>
              </w:rPr>
              <w:t>*Microchip Technology</w:t>
            </w:r>
          </w:p>
        </w:tc>
        <w:tc>
          <w:tcPr>
            <w:tcW w:w="2460" w:type="dxa"/>
            <w:vAlign w:val="bottom"/>
          </w:tcPr>
          <w:p>
            <w:pPr>
              <w:spacing w:after="0"/>
              <w:rPr>
                <w:sz w:val="23"/>
                <w:szCs w:val="23"/>
                <w:color w:val="auto"/>
              </w:rPr>
            </w:pPr>
          </w:p>
        </w:tc>
      </w:tr>
      <w:tr>
        <w:trPr>
          <w:trHeight w:val="486"/>
        </w:trPr>
        <w:tc>
          <w:tcPr>
            <w:tcW w:w="2600" w:type="dxa"/>
            <w:vAlign w:val="bottom"/>
          </w:tcPr>
          <w:p>
            <w:pPr>
              <w:spacing w:after="0"/>
              <w:rPr>
                <w:sz w:val="24"/>
                <w:szCs w:val="24"/>
                <w:color w:val="auto"/>
              </w:rPr>
            </w:pPr>
          </w:p>
        </w:tc>
        <w:tc>
          <w:tcPr>
            <w:tcW w:w="3360" w:type="dxa"/>
            <w:vAlign w:val="bottom"/>
          </w:tcPr>
          <w:p>
            <w:pPr>
              <w:ind w:left="2200"/>
              <w:spacing w:after="0"/>
              <w:rPr>
                <w:sz w:val="20"/>
                <w:szCs w:val="20"/>
                <w:color w:val="auto"/>
              </w:rPr>
            </w:pPr>
            <w:r>
              <w:rPr>
                <w:rFonts w:ascii="Arial" w:cs="Arial" w:eastAsia="Arial" w:hAnsi="Arial"/>
                <w:sz w:val="18"/>
                <w:szCs w:val="18"/>
                <w:color w:val="auto"/>
              </w:rPr>
              <w:t>7</w:t>
            </w:r>
          </w:p>
        </w:tc>
        <w:tc>
          <w:tcPr>
            <w:tcW w:w="2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ind w:left="120"/>
        <w:spacing w:after="0"/>
        <w:rPr>
          <w:sz w:val="20"/>
          <w:szCs w:val="20"/>
          <w:color w:val="auto"/>
        </w:rPr>
      </w:pPr>
      <w:r>
        <w:rPr>
          <w:rFonts w:ascii="Arial" w:cs="Arial" w:eastAsia="Arial" w:hAnsi="Arial"/>
          <w:sz w:val="18"/>
          <w:szCs w:val="18"/>
          <w:i w:val="1"/>
          <w:iCs w:val="1"/>
          <w:u w:val="single" w:color="auto"/>
          <w:color w:val="auto"/>
        </w:rPr>
        <w:t>Utilization of Comparator Group Data</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Compensation Committee annually compares the components and amounts of compensation that we provide to our Chief Executive Officer and other Named Executive Officers with the components and amounts of compensation provided to their counterparts in the Comparator Group and uses this comparison data as a guideline in its review and determination of base salaries, short-term incentives and long-term stock-based compensation awards. In addition, in setting fiscal year 2011 compensation, the Compensation Committee sought and received input from its consultant regarding the base salaries for the Chief Executive Officer and each of his direct reports, the award levels and performance targets relating to the short-term incentive program for executive officers, and the individual stock-based compensation awards for executive officers, as well as the related vesting schedules.</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After reviewing the data and considering the input, the Compensation Committee established (and the full Board of Directors was advised of) the base salary, short-term incentive target and long-term stock-based compensation award for each Named Executive Officer. In establishing individual compensation, the Compensation Committee also considered the input of the Chief Executive Officer, as well as the individual experience and performance of each executive.</w:t>
      </w:r>
    </w:p>
    <w:p>
      <w:pPr>
        <w:spacing w:after="0" w:line="18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determining the compensation of our Chief Executive Officer, our Compensation Committee focused on (i) competitive levels of compensation for chief executive officers who are leading a company of similar size and complexity, (ii) the importance of retaining a chief executive officer with the strategic, financial and leadership skills necessary to ensure our continued growth and success, (iii) the Chief Executive Officer’s role relative to the other Named Executive Officers, (iv) input from the full board of directors on the Chief Executive Officer’s performance and (v) the considerable length of his 17-year service to the Company. Aon/Radford advised the Compensation Committee that the base salary, annual performance targets and short-term incentive target opportunity, and equity-based compensation for 2011 were competitive for chief executive officers in the sector. The Chief Executive Officer was not present during the voting or deliberations of the Compensation Committee concerning his compensation. As stated above, however, the Compensation Committee did consider the recommendations of the Chief Executive Officer regarding the compensation of all of his direct reports, including the other Named Executive Officers.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are the Components of Executive Compensation?</w:t>
      </w:r>
    </w:p>
    <w:p>
      <w:pPr>
        <w:spacing w:after="0" w:line="22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key elements of compensation for our Named Executive Officers are base salary, short-term incentives, long-term stock-based incentives, 401(k) plan retirement benefits, and medical and insurance benefits. Consistent with our objective of ensuring that executive compensation is perceived as fair to all employees, the Named Executive Officers do not receive any retirement benefits beyond those generally available to our full-time employees, and we do not provide medical or insurance benefits to Named Executive Officers that are different from those offered to other full-time employees.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Base Salary</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Base salaries provide our executive officers with a degree of financial certainty and stability. The Compensation Committee determines a competitive base salary for each executive officer using the Comparator Group data and input provided by its consultant. Based on these factors, base salaries of the Named Executive Officers for fiscal year 2011 were generally targeted at the Comparator Group median, with consideration given to role, responsibility, performance and length of service. After taking these factors into account, the base salary for the Named Executive Officers for fiscal year 2011 increased on average 3.4% from their base salaries in 2010.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Short-Term Incentives</w:t>
      </w:r>
    </w:p>
    <w:p>
      <w:pPr>
        <w:spacing w:after="0" w:line="2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Our short-term incentive compensation plan for executive officers is established annually by the Compensation Committee. For fiscal year 2011, the Compensation Committee adopted the 2011 Executive Incentive Plan (the “Incentive Plan”). The Incentive Plan established short-term incentive awards that could be earned semi-annually by certain officers of the Company, including the Named Executive Officers, based on the Company’s achievement of certain corporate performance metrics established on a semi-annual basis. Short-term incentives are intended to motivate and reward executives by tying a significant portion of their total compensation to the Company’s achievement of pre-established performance metrics that are generally short-term (i.e., less than one year). In establishing the short-term incentive plan, the Compensation Committee first determined a competitive short-term incentive target for each Named Executive Officer based on the Comparator Group data, and then set threshold, target and maximum incentive payment levels. At the target payout level, Skyworks’ short-term incentive was designed to result in an incentive payout equal to the median of the Comparator Group, while a maximum incentive payout for exceeding the performance metrics would result in a payout above the median of the Comparator Group, and a threshold payout for meeting the minimal corporate performance metrics would result in a payout below the median. The following table shows the incentive payment levels the Named Executive Officers could earn in fiscal year 2011 (shown as a percentage of base salary), depending on the Company’s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achievement of the performance metrics.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Threshold</w:t>
            </w: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Target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53"/>
        </w:trPr>
        <w:tc>
          <w:tcPr>
            <w:tcW w:w="72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0"/>
                <w:szCs w:val="20"/>
                <w:color w:val="auto"/>
              </w:rPr>
            </w:pP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220%</w:t>
            </w:r>
          </w:p>
        </w:tc>
      </w:tr>
      <w:tr>
        <w:trPr>
          <w:trHeight w:val="270"/>
        </w:trPr>
        <w:tc>
          <w:tcPr>
            <w:tcW w:w="7200" w:type="dxa"/>
            <w:vAlign w:val="bottom"/>
          </w:tcPr>
          <w:p>
            <w:pPr>
              <w:spacing w:after="0"/>
              <w:rPr>
                <w:sz w:val="20"/>
                <w:szCs w:val="20"/>
                <w:color w:val="auto"/>
              </w:rPr>
            </w:pPr>
            <w:r>
              <w:rPr>
                <w:rFonts w:ascii="Arial" w:cs="Arial" w:eastAsia="Arial" w:hAnsi="Arial"/>
                <w:sz w:val="18"/>
                <w:szCs w:val="18"/>
                <w:color w:val="auto"/>
              </w:rPr>
              <w:t>Other Named Executive Officers</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35%</w:t>
            </w:r>
          </w:p>
        </w:tc>
        <w:tc>
          <w:tcPr>
            <w:tcW w:w="120" w:type="dxa"/>
            <w:vAlign w:val="bottom"/>
          </w:tcPr>
          <w:p>
            <w:pPr>
              <w:spacing w:after="0"/>
              <w:rPr>
                <w:sz w:val="23"/>
                <w:szCs w:val="23"/>
                <w:color w:val="auto"/>
              </w:rPr>
            </w:pPr>
          </w:p>
        </w:tc>
        <w:tc>
          <w:tcPr>
            <w:tcW w:w="1080" w:type="dxa"/>
            <w:vAlign w:val="bottom"/>
          </w:tcPr>
          <w:p>
            <w:pPr>
              <w:jc w:val="right"/>
              <w:ind w:right="296"/>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140%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determining the final amount of the incentive payout, to the extent that actual performance falls between the threshold and the target metrics or between the target and maximum metrics, the actual incentive payout was determined based on a linear sliding scale.</w:t>
      </w:r>
    </w:p>
    <w:p>
      <w:pPr>
        <w:spacing w:after="0" w:line="1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For fiscal year 2011, in establishing the Incentive Plan, the Compensation Committee considered the fact that for the first half of fiscal 2011 our primary corporate goal was to increase revenue in excess of the market growth rate by gaining market share, while at the same time leveraging our fixed cost structure to generate higher earnings. As in fiscal year 2010, for fiscal year 2011, the Compensation Committee split the Incentive Plan into two six month performance periods, with the performance metrics focused on achieving revenue, non-GAAP gross margin and specified non-GAAP operating margin targets, in addition to cash, customer satisfaction and units shipped metrics. The weighting of the different metrics for the first half of fiscal year 2011 for each Named Executive Officer was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Non-GAAP Operating</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Non-GAAP</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Customer Satisfaction</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Cash Metric</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Units Shipped</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Margin %</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Gross Margin %</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Metric</w:t>
            </w:r>
          </w:p>
        </w:tc>
        <w:tc>
          <w:tcPr>
            <w:tcW w:w="1120" w:type="dxa"/>
            <w:vAlign w:val="bottom"/>
            <w:gridSpan w:val="2"/>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Metrics</w:t>
            </w:r>
          </w:p>
        </w:tc>
        <w:tc>
          <w:tcPr>
            <w:tcW w:w="0" w:type="dxa"/>
            <w:vAlign w:val="bottom"/>
          </w:tcPr>
          <w:p>
            <w:pPr>
              <w:spacing w:after="0"/>
              <w:rPr>
                <w:sz w:val="1"/>
                <w:szCs w:val="1"/>
                <w:color w:val="auto"/>
              </w:rPr>
            </w:pPr>
          </w:p>
        </w:tc>
      </w:tr>
      <w:tr>
        <w:trPr>
          <w:trHeight w:val="215"/>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President and Chief Executive Officer;</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Vice President and Chief Financial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Officer</w:t>
            </w: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w w:val="96"/>
              </w:rPr>
              <w:t>Executive Vice President and General</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30% (based on</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40% (20% based</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16"/>
        </w:trPr>
        <w:tc>
          <w:tcPr>
            <w:tcW w:w="2960" w:type="dxa"/>
            <w:vAlign w:val="bottom"/>
          </w:tcPr>
          <w:p>
            <w:pPr>
              <w:ind w:left="120"/>
              <w:spacing w:after="0"/>
              <w:rPr>
                <w:sz w:val="20"/>
                <w:szCs w:val="20"/>
                <w:color w:val="auto"/>
              </w:rPr>
            </w:pPr>
            <w:r>
              <w:rPr>
                <w:rFonts w:ascii="Arial" w:cs="Arial" w:eastAsia="Arial" w:hAnsi="Arial"/>
                <w:sz w:val="18"/>
                <w:szCs w:val="18"/>
                <w:color w:val="auto"/>
              </w:rPr>
              <w:t>Manager, Front-End Solutions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business unit)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on corporate and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20% based 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business unit)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Executive Vice President and General</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40% (20% based on</w:t>
            </w: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20% (based 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Manager, High Performance Analog</w:t>
            </w:r>
          </w:p>
        </w:tc>
        <w:tc>
          <w:tcPr>
            <w:tcW w:w="17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corporate and 20%</w:t>
            </w: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business unit)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based on business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unit)</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Senior Vice President, Worldwide</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960" w:type="dxa"/>
            <w:vAlign w:val="bottom"/>
          </w:tcPr>
          <w:p>
            <w:pPr>
              <w:ind w:left="120"/>
              <w:spacing w:after="0"/>
              <w:rPr>
                <w:sz w:val="20"/>
                <w:szCs w:val="20"/>
                <w:color w:val="auto"/>
              </w:rPr>
            </w:pPr>
            <w:r>
              <w:rPr>
                <w:rFonts w:ascii="Arial" w:cs="Arial" w:eastAsia="Arial" w:hAnsi="Arial"/>
                <w:sz w:val="18"/>
                <w:szCs w:val="18"/>
                <w:color w:val="auto"/>
              </w:rPr>
              <w:t>Operations</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For the first half of fiscal 2011, each executive officer’s incentive award was consistent with the metrics set forth above, with the Company only making payments for the performance metrics established by the Compensation Committee that were achieved. Accordingly, the Chief Executive Officer (who was eligible to earn 50% of his annual base salary at target for the first half), and the Vice-President and Chief Financial Officer, Executive Vice President and General Manager, Front-End Solutions, Executive Vice President and General Manager, High Performance Analog, and Senior Vice President, Worldwide Operations (each of whom was eligible to earn 35% of his annual base salary at target for the first half) earned a first half incentive award equal to approximately 96%, 61%, 69%, 69% and 61% of his annual base salary, respectively. The Compensation Committee determined to pay, in lieu of cash, as permitted by the Incentive Plan, unrestricted common stock of the Company for the portion of each of the Named Executive Officer’s first half short-term incentive earned above the target level. Accordingly, the Chief Executive Officer, the Vice-President and Chief Financial Officer, the Executive Vice President and General Manager, Front-End Solutions, Executive Vice President and General Manager, High Performance Analog, and the Senior Vice President, Worldwide Operations received approximately 48%, 43%, 49%, 50% and 43% of their respective first half incentive payments in the form of unrestricted common stock of the Company. In addition, in recognition of their contributions to the Company’s performance during the first half of fiscal 2011, the Compensation Committee approved payments to approximately 800 other non-executive employees pursuant to non-executive incentive plans, which plans have terms and conditions similar to the Incentive Plan. Consistent with the Incentive Plan (and the other employee incentive plans), actual payments for the first six month performance period were capped at 80% of the award earned, with 20% of the award held back until the end of the fiscal year to ensure sustained financial performance. The amount held back was subsequently paid after the end of the fiscal year since the Company sustained its financial performance throughout fiscal year 2011.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jc w:val="both"/>
        <w:ind w:firstLine="243"/>
        <w:spacing w:after="0" w:line="264" w:lineRule="auto"/>
        <w:rPr>
          <w:sz w:val="20"/>
          <w:szCs w:val="20"/>
          <w:color w:val="auto"/>
        </w:rPr>
      </w:pPr>
      <w:r>
        <w:rPr>
          <w:rFonts w:ascii="Arial" w:cs="Arial" w:eastAsia="Arial" w:hAnsi="Arial"/>
          <w:sz w:val="18"/>
          <w:szCs w:val="18"/>
          <w:color w:val="auto"/>
        </w:rPr>
        <w:t>For the second half of fiscal year 2011, the Committee again established performance metrics based on achieving specified revenue, non-GAAP gross margin, and non-GAAP operating margin targets, as well as customer satisfaction and product design win metrics. The weighting of the different metrics for the second half of fiscal year 2011 for each Named Executive Officer was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vMerge w:val="restart"/>
          </w:tcPr>
          <w:p>
            <w:pPr>
              <w:spacing w:after="0"/>
              <w:rPr>
                <w:sz w:val="14"/>
                <w:szCs w:val="14"/>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Non-GAAP Operating</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Non-GAAP Gross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Customer Satisfaction</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Design Win Metric</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 %</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 %</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Metric</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Vice President and Chief Financial</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Officer</w:t>
            </w: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Executive Vice President and General</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20% (based on</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40% (20% based on</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Manager, Front-End Solutions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business unit)</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corporate and 20%</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based on business unit)</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General</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20% (based on</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40% (20% based on</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Manager, High Performance Analog</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business unit)</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corporate and 20%</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based on business unit)</w:t>
            </w: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Senior Vice President, Worldwide</w:t>
            </w: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20" w:type="dxa"/>
            <w:vAlign w:val="bottom"/>
          </w:tcPr>
          <w:p>
            <w:pPr>
              <w:spacing w:after="0"/>
              <w:rPr>
                <w:sz w:val="19"/>
                <w:szCs w:val="19"/>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40%</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30"/>
        </w:trPr>
        <w:tc>
          <w:tcPr>
            <w:tcW w:w="3200" w:type="dxa"/>
            <w:vAlign w:val="bottom"/>
          </w:tcPr>
          <w:p>
            <w:pPr>
              <w:ind w:left="120"/>
              <w:spacing w:after="0"/>
              <w:rPr>
                <w:sz w:val="20"/>
                <w:szCs w:val="20"/>
                <w:color w:val="auto"/>
              </w:rPr>
            </w:pPr>
            <w:r>
              <w:rPr>
                <w:rFonts w:ascii="Arial" w:cs="Arial" w:eastAsia="Arial" w:hAnsi="Arial"/>
                <w:sz w:val="18"/>
                <w:szCs w:val="18"/>
                <w:color w:val="auto"/>
              </w:rPr>
              <w:t>Operations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determining the weightings among the Named Executive Officers, the Compensation Committee’s goal was to align the incentive compensation of each Named Executive Officer with the performance metrics such executive could most impact. For instance, the performance metrics for the Chief Executive Officer, Vice-President and Chief Financial Officer and Senior Vice President, Worldwide Operations were designed to focus such executives on improving the Company’s competitive position and achieving profitable growth overall. The performance metrics for the Executive Vice President and General Manager, Front-End Solutions and Executive Vice President and General Manager, High Performance Analog were designed to focus such executive on business unit performance (i.e., securing design wins for new products and expansion of the customer base).</w:t>
      </w:r>
    </w:p>
    <w:p>
      <w:pPr>
        <w:spacing w:after="0" w:line="178"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the second half of the year, each executive officer’s incentive award was consistent with the metrics set forth above, with the Company only making payments for the performance metrics established by the Compensation Committee that were achieved. Accordingly, the Chief Executive Officer (who was eligible to earn 50% of his annual base salary at target for the second half), and the Vice-President and Chief Financial Officer, Executive Vice President and General Manager, Front-End Solutions, Executive Vice President and General Manager, High Performance Analog, and Senior Vice President, Worldwide Operations (each of whom was eligible to earn 35% of his annual base salary at target for the second half) earned a second half incentive award equal to approximately 54%, 36%, 23%, 43% and 43% of his annual base salary, respectively. The Compensation Committee determined to pay, in lieu of cash, as permitted by the Incentive Plan, unrestricted common stock of the Company for the portion of each of the Named Executive Officer’s second half short-term incentive earned above the target level. Accordingly, the Chief Executive Officer, the Vice-President and Chief Financial Officer, the Executive Vice President and General Manager, Front-End Solutions, Executive Vice President and General Manager, High Performance Analog, and the Senior Vice President, Worldwide Operations each received approximately 8%, 4%, 0%, 18% and 18% of their respective second half incentive payments in the form of unrestricted common stock of the Company. In addition, the 20% “holdback” of the first half incentive was paid out to each executive officer after the end of the fiscal year due to the Company’s sustained financial performance.</w:t>
      </w:r>
    </w:p>
    <w:p>
      <w:pPr>
        <w:spacing w:after="0" w:line="18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For the full fiscal year, the total payments under the Incentive Plan to the Chief Executive Officer (who was eligible to earn 100% of his annual base salary at target for the year), and the Vice-President and Chief Financial Officer, the Executive Vice President and General Manager, Front-End Solutions, the Executive Vice President and General Manager, High Performance Analog, and the Senior Vice President, Worldwide Operations (each of whom was eligible to earn 70% of his annual base salary at target for the year) earned approximately 150%, 98%, 92%, 112% and 104% of his annual base salary, respectively.</w:t>
      </w:r>
    </w:p>
    <w:p>
      <w:pPr>
        <w:spacing w:after="0" w:line="15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target financial performance metrics established by the Compensation Committee under the Incentive Plan are based on our historical operating results and growth rates as well as our expected future results, and are designed to require significant effort and operational success on the part of our executives and the Company. The maximum financial performance metrics established by the Committee have historically been difficult to achieve and are designed to represent outstanding performance that the Committee believes should be rewarded. The Compensation Committee retains the discretion, based on the recommendation of the Chief Executive Officer, to make payments even if the threshold performance metrics are not met or to make payments in excess of the maximum level if the Company’s performance exceeds the maximum metrics. The Compensation Committee believes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it is appropriate to retain this discretion in order to make short-term incentive awards in extraordinary circumstances.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Long-Term Stock-Based Compensation</w:t>
      </w:r>
    </w:p>
    <w:p>
      <w:pPr>
        <w:spacing w:after="0" w:line="22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Compensation Committee generally makes long-term stock-based compensation awards to executive officers on an annual basis. Long-term stock-based compensation awards are intended to align the interests of our executive officers with stockholders, and reward them for increases in stockholder value over long periods of time (i.e., greater than one year). It is the Company’s practice to make stock-based compensation awards to executive officers in November of each year at a pre-scheduled Compensation Committee meeting. For fiscal year 2011, the Compensation Committee made awards to executive officers, including certain Named Executive Officers, on November 9, 2010, at a regularly scheduled Compensation Committee meeting. Stock options awarded to executive officers at the meeting had an exercise price equal to the closing price of the Company’s common stock on the meeting date.</w:t>
      </w:r>
    </w:p>
    <w:p>
      <w:pPr>
        <w:spacing w:after="0" w:line="16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making stock-based compensation awards to certain executive officers for fiscal year 2011, the Compensation Committee first reviewed the Comparator Group data to determine the percentage of the outstanding number of shares that are typically used for employee compensation programs. The Compensation Committee then set the number of Skyworks shares of common stock that would be made available for executive officer awards at approximately the median of the Comparator Group based on the business need, internal and external circumstances and RiskMetrics/ISS guidelines. The Compensation Committee then reviewed the Comparator Group by executive position to determine the allocation of the available shares among the executive officers. The Compensation Committee then attributed a long-term equity-based compensation value to each executive officer. Forty percent (40%) of that value was converted to a number of stock options using an estimated Black-Scholes value, and the remaining sixty percent (60%) of the value was converted to a number of performance share awards based on the fair market value of the common stock and an assumption that the Company would achieve the targeted level of performance required to earn the performance share award. The Compensation Committee’s rationale for awarding performance shares is to further align the executive’s interest with those of the Company’s stockholders by using equity-awards that will vest only if the Company achieves pre-established performance metrics.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Other Compensation and Benefits</w:t>
      </w:r>
    </w:p>
    <w:p>
      <w:pPr>
        <w:spacing w:after="0" w:line="225"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also provide other benefits to our executive officers that are intended to be part of a competitive overall compensation program and are not tied to any company performance criteria. Consistent with the Compensation Committee’s goal of ensuring that executive compensation is perceived as fair to all stakeholders, the Company offers medical plans, dental plans, vision plans, life insurance plans and disability insurance plans to executive officers under the same terms as such benefits are offered to all other employees. Additionally, executive officers are permitted to participate in the Company’s 401(k) Savings and Investment Plan and Employee Stock Purchase Plan under the same terms as all other employees. The Company does not provide executive officers with any enhanced retirement benefits (i.e., executive officers are subject to the same limits on contributions as other employees, as the Company does not offer any SERP or other similar non-qualified deferred compensation plan), and they are eligible for 401(k) company-match contributions under the same terms as other employees. In fiscal year 2011, the Company offered executives the opportunity to participate in financial planning services through Ayco at a cost of $13,000 per executive paid by the Company. Other than Mr. Freyman, none of the Named Executive Officers elected to participate in the Company-paid program. Although Mr. Aldrich receives financial planning services from Ayco, he personally pays for such services.</w:t>
      </w:r>
    </w:p>
    <w:p>
      <w:pPr>
        <w:spacing w:after="0" w:line="16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Although certain Named Executive Officers were historically provided an opportunity to participate in the Company’s Executive Compensation Plan (the “Executive Compensation Plan”) — an unfunded, non-qualified deferred compensation plan, under which participants were allowed to defer a portion of their compensation — as a result of deferred compensation legislation under Section 409A of the IRC, effective December 31, 2005, the Company no longer permits employees to make contributions to the plan. Although the Company had discretion to make additional contributions to the accounts of participants while the Executive Compensation Plan was active, it never did so.</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Severance and Change of Control Benefits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and in connection with terminations under certain circumstances following a change of control. A description of the material terms of our severance and change of control arrangements with the Named Executive Officers can be found under the </w:t>
      </w:r>
      <w:r>
        <w:rPr>
          <w:rFonts w:ascii="Arial" w:cs="Arial" w:eastAsia="Arial" w:hAnsi="Arial"/>
          <w:sz w:val="18"/>
          <w:szCs w:val="18"/>
          <w:i w:val="1"/>
          <w:iCs w:val="1"/>
          <w:color w:val="auto"/>
        </w:rPr>
        <w:t>“Potential 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Upon Termination or Change of Control” </w:t>
      </w:r>
      <w:r>
        <w:rPr>
          <w:rFonts w:ascii="Arial" w:cs="Arial" w:eastAsia="Arial" w:hAnsi="Arial"/>
          <w:sz w:val="18"/>
          <w:szCs w:val="18"/>
          <w:color w:val="auto"/>
        </w:rPr>
        <w:t>section below.</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believes that severance protections can play a valuable role in recruiting and retaining superior talent. Severance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jc w:val="both"/>
        <w:spacing w:after="0" w:line="290" w:lineRule="auto"/>
        <w:rPr>
          <w:sz w:val="20"/>
          <w:szCs w:val="20"/>
          <w:color w:val="auto"/>
        </w:rPr>
      </w:pPr>
      <w:r>
        <w:rPr>
          <w:rFonts w:ascii="Arial" w:cs="Arial" w:eastAsia="Arial" w:hAnsi="Arial"/>
          <w:sz w:val="16"/>
          <w:szCs w:val="16"/>
          <w:color w:val="auto"/>
        </w:rPr>
        <w:t>and other termination benefits are an effective way to offer executives financial security to incent them to forego an opportunity with another company. These agreements also protect the Company as the Named Executive Officers are bound by restrictive non-compete and non-solicit covenants for two years after termination of employment. Outside of the change in control context, severance benefits are payable to the Named Executive Officers if their employment is involuntarily terminated by the Company without cause, or if a Named Executive Officer terminates his own employment for a good reason (as defined in the agreement). In addition, provided he forfeits certain equity awards and agrees to serve on the Company’s Board of Directors for a minimum of two years, the Chief Executive Officer is entitled to certain severance benefits upon termination of his employment for any reason. The Compensation Committee believes that this provision facilitates his retention with the Company. The level of each Named Executive Officer’s severance or other termination benefit is generally tied to his respective annual base salary and targeted short-term incentive opportunity (or past short-term incentive earned).</w:t>
      </w:r>
    </w:p>
    <w:p>
      <w:pPr>
        <w:spacing w:after="0" w:line="16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Additionally, the Named Executive Officers would receive enhanced severance and other benefits if their employment terminated under certain circumstances in connection with a change in control of the Company. These benefits are described in detail under the </w:t>
      </w:r>
      <w:r>
        <w:rPr>
          <w:rFonts w:ascii="Arial" w:cs="Arial" w:eastAsia="Arial" w:hAnsi="Arial"/>
          <w:sz w:val="17"/>
          <w:szCs w:val="17"/>
          <w:i w:val="1"/>
          <w:iCs w:val="1"/>
          <w:color w:val="auto"/>
        </w:rPr>
        <w:t>“Potential Payments Upon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Termination or Change of Control” </w:t>
      </w:r>
      <w:r>
        <w:rPr>
          <w:rFonts w:ascii="Arial" w:cs="Arial" w:eastAsia="Arial" w:hAnsi="Arial"/>
          <w:sz w:val="17"/>
          <w:szCs w:val="17"/>
          <w:color w:val="auto"/>
        </w:rPr>
        <w:t>section below. The Named Executive Officers are also entitled to receive a tax gross-up payment (with a $500,000 cap for</w:t>
      </w:r>
      <w:r>
        <w:rPr>
          <w:rFonts w:ascii="Arial" w:cs="Arial" w:eastAsia="Arial" w:hAnsi="Arial"/>
          <w:sz w:val="17"/>
          <w:szCs w:val="17"/>
          <w:i w:val="1"/>
          <w:iCs w:val="1"/>
          <w:color w:val="auto"/>
        </w:rPr>
        <w:t xml:space="preserve"> </w:t>
      </w:r>
      <w:r>
        <w:rPr>
          <w:rFonts w:ascii="Arial" w:cs="Arial" w:eastAsia="Arial" w:hAnsi="Arial"/>
          <w:sz w:val="17"/>
          <w:szCs w:val="17"/>
          <w:color w:val="auto"/>
        </w:rPr>
        <w:t>Named Executive Officers other than the Chief Executive Officer) if they become subject to the 20% golden parachute excise tax imposed by Section 4999 of the IRC, as the Company believes that the executives should be able to receive their contractual rights to severance without being subject to punitive excise taxes. The Company further believes these enhanced severance benefits are appropriate because the occurrence, or potential occurrence, of a change in control transaction would likely create uncertainty regarding the continued employment of each Named Executive Officer, and these enhanced severance protections encourage the Named Executive Officers to remain employed with the Company through the change in control process and to focus on enhancing stockholder value both before and during the change in control process.</w:t>
      </w:r>
    </w:p>
    <w:p>
      <w:pPr>
        <w:spacing w:after="0" w:line="18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Lastly, each Named Executive Officer’s outstanding unvested stock options and restricted stock awards (if any) fully vest upon the occurrence of a change in control. In addition, each outstanding performance share award shall be deemed earned as to the greater of (a) the “target” level or (b) the number of shares that would have been deemed earned under the award as of the day prior to the change in control. The Company believes this accelerated vesting is appropriate given the importance of long-term equity awards in our executive compensation program and the uncertainty regarding the continued employment of Named Executive Officers that typically occurs in a change in control context. The Company’s view is that this vesting protection helps assure the Named Executive Officers that they will not lose the expected value of their equity awards because of a change in control of the Company and encourages the Named Executive Officers to remain employed with the Company through the change in control process and to focus on enhancing stockholder value both before and during the process.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Tables for Named Executive Officers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Summary Compensation Table</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compensation earned by, or awarded or paid to, our Named Executive Officers for fiscal year 2011, fiscal year 2010 and fiscal year 2009.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Stock Awards ($)</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Option Awards</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12"/>
                <w:szCs w:val="12"/>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5"/>
              </w:rPr>
              <w:t>Salary ($)</w:t>
            </w:r>
          </w:p>
        </w:tc>
        <w:tc>
          <w:tcPr>
            <w:tcW w:w="12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 ($)</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Compensation ($)</w:t>
            </w:r>
          </w:p>
        </w:tc>
        <w:tc>
          <w:tcPr>
            <w:tcW w:w="180" w:type="dxa"/>
            <w:vAlign w:val="bottom"/>
          </w:tcPr>
          <w:p>
            <w:pPr>
              <w:spacing w:after="0"/>
              <w:rPr>
                <w:sz w:val="12"/>
                <w:szCs w:val="12"/>
                <w:color w:val="auto"/>
              </w:rPr>
            </w:pPr>
          </w:p>
        </w:tc>
        <w:tc>
          <w:tcPr>
            <w:tcW w:w="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David J. Aldrich</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635,100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2,856,000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1,476,137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955,830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12,880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5,935,947</w:t>
            </w:r>
          </w:p>
        </w:tc>
        <w:tc>
          <w:tcPr>
            <w:tcW w:w="0" w:type="dxa"/>
            <w:vAlign w:val="bottom"/>
          </w:tcPr>
          <w:p>
            <w:pPr>
              <w:spacing w:after="0"/>
              <w:rPr>
                <w:sz w:val="1"/>
                <w:szCs w:val="1"/>
                <w:color w:val="auto"/>
              </w:rPr>
            </w:pPr>
          </w:p>
        </w:tc>
      </w:tr>
      <w:tr>
        <w:trPr>
          <w:trHeight w:val="264"/>
        </w:trPr>
        <w:tc>
          <w:tcPr>
            <w:tcW w:w="3460" w:type="dxa"/>
            <w:vAlign w:val="bottom"/>
            <w:gridSpan w:val="2"/>
          </w:tcPr>
          <w:p>
            <w:pPr>
              <w:ind w:left="220"/>
              <w:spacing w:after="0"/>
              <w:rPr>
                <w:sz w:val="20"/>
                <w:szCs w:val="20"/>
                <w:color w:val="auto"/>
              </w:rPr>
            </w:pPr>
            <w:r>
              <w:rPr>
                <w:rFonts w:ascii="Arial" w:cs="Arial" w:eastAsia="Arial" w:hAnsi="Arial"/>
                <w:sz w:val="14"/>
                <w:szCs w:val="14"/>
                <w:color w:val="auto"/>
              </w:rPr>
              <w:t>President and</w:t>
            </w:r>
          </w:p>
        </w:tc>
        <w:tc>
          <w:tcPr>
            <w:tcW w:w="580" w:type="dxa"/>
            <w:vAlign w:val="bottom"/>
          </w:tcPr>
          <w:p>
            <w:pPr>
              <w:jc w:val="right"/>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609,000</w:t>
            </w:r>
          </w:p>
        </w:tc>
        <w:tc>
          <w:tcPr>
            <w:tcW w:w="120" w:type="dxa"/>
            <w:vAlign w:val="bottom"/>
          </w:tcPr>
          <w:p>
            <w:pPr>
              <w:spacing w:after="0"/>
              <w:rPr>
                <w:sz w:val="22"/>
                <w:szCs w:val="22"/>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1,508,750</w:t>
            </w:r>
          </w:p>
        </w:tc>
        <w:tc>
          <w:tcPr>
            <w:tcW w:w="120" w:type="dxa"/>
            <w:vAlign w:val="bottom"/>
          </w:tcPr>
          <w:p>
            <w:pPr>
              <w:spacing w:after="0"/>
              <w:rPr>
                <w:sz w:val="22"/>
                <w:szCs w:val="22"/>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1,109,614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1,106,510</w:t>
            </w:r>
          </w:p>
        </w:tc>
        <w:tc>
          <w:tcPr>
            <w:tcW w:w="120" w:type="dxa"/>
            <w:vAlign w:val="bottom"/>
          </w:tcPr>
          <w:p>
            <w:pPr>
              <w:spacing w:after="0"/>
              <w:rPr>
                <w:sz w:val="22"/>
                <w:szCs w:val="22"/>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12,879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80"/>
              <w:spacing w:after="0"/>
              <w:rPr>
                <w:sz w:val="20"/>
                <w:szCs w:val="20"/>
                <w:color w:val="auto"/>
              </w:rPr>
            </w:pPr>
            <w:r>
              <w:rPr>
                <w:rFonts w:ascii="Arial" w:cs="Arial" w:eastAsia="Arial" w:hAnsi="Arial"/>
                <w:sz w:val="16"/>
                <w:szCs w:val="16"/>
                <w:color w:val="auto"/>
              </w:rPr>
              <w:t>4,346,753</w:t>
            </w: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Chief Executive Officer</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598,077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1,270,500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964,921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653,750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12,879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3,500,127</w:t>
            </w:r>
          </w:p>
        </w:tc>
        <w:tc>
          <w:tcPr>
            <w:tcW w:w="0" w:type="dxa"/>
            <w:vAlign w:val="bottom"/>
          </w:tcPr>
          <w:p>
            <w:pPr>
              <w:spacing w:after="0"/>
              <w:rPr>
                <w:sz w:val="1"/>
                <w:szCs w:val="1"/>
                <w:color w:val="auto"/>
              </w:rPr>
            </w:pPr>
          </w:p>
        </w:tc>
      </w:tr>
      <w:tr>
        <w:trPr>
          <w:trHeight w:val="264"/>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Donald W. Palette</w:t>
            </w:r>
          </w:p>
        </w:tc>
        <w:tc>
          <w:tcPr>
            <w:tcW w:w="580" w:type="dxa"/>
            <w:vAlign w:val="bottom"/>
          </w:tcPr>
          <w:p>
            <w:pPr>
              <w:jc w:val="right"/>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357,800</w:t>
            </w:r>
          </w:p>
        </w:tc>
        <w:tc>
          <w:tcPr>
            <w:tcW w:w="120" w:type="dxa"/>
            <w:vAlign w:val="bottom"/>
          </w:tcPr>
          <w:p>
            <w:pPr>
              <w:spacing w:after="0"/>
              <w:rPr>
                <w:sz w:val="22"/>
                <w:szCs w:val="22"/>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952,000</w:t>
            </w:r>
          </w:p>
        </w:tc>
        <w:tc>
          <w:tcPr>
            <w:tcW w:w="120" w:type="dxa"/>
            <w:vAlign w:val="bottom"/>
          </w:tcPr>
          <w:p>
            <w:pPr>
              <w:spacing w:after="0"/>
              <w:rPr>
                <w:sz w:val="22"/>
                <w:szCs w:val="22"/>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492,046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350,243</w:t>
            </w:r>
          </w:p>
        </w:tc>
        <w:tc>
          <w:tcPr>
            <w:tcW w:w="120" w:type="dxa"/>
            <w:vAlign w:val="bottom"/>
          </w:tcPr>
          <w:p>
            <w:pPr>
              <w:spacing w:after="0"/>
              <w:rPr>
                <w:sz w:val="22"/>
                <w:szCs w:val="22"/>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11,318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80"/>
              <w:spacing w:after="0"/>
              <w:rPr>
                <w:sz w:val="20"/>
                <w:szCs w:val="20"/>
                <w:color w:val="auto"/>
              </w:rPr>
            </w:pPr>
            <w:r>
              <w:rPr>
                <w:rFonts w:ascii="Arial" w:cs="Arial" w:eastAsia="Arial" w:hAnsi="Arial"/>
                <w:sz w:val="16"/>
                <w:szCs w:val="16"/>
                <w:color w:val="auto"/>
              </w:rPr>
              <w:t>2,163,407</w:t>
            </w: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Vice President and</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338,500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506,940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355,076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368,874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1,580,890</w:t>
            </w:r>
          </w:p>
        </w:tc>
        <w:tc>
          <w:tcPr>
            <w:tcW w:w="0" w:type="dxa"/>
            <w:vAlign w:val="bottom"/>
          </w:tcPr>
          <w:p>
            <w:pPr>
              <w:spacing w:after="0"/>
              <w:rPr>
                <w:sz w:val="1"/>
                <w:szCs w:val="1"/>
                <w:color w:val="auto"/>
              </w:rPr>
            </w:pPr>
          </w:p>
        </w:tc>
      </w:tr>
      <w:tr>
        <w:trPr>
          <w:trHeight w:val="264"/>
        </w:trPr>
        <w:tc>
          <w:tcPr>
            <w:tcW w:w="3460" w:type="dxa"/>
            <w:vAlign w:val="bottom"/>
            <w:gridSpan w:val="2"/>
          </w:tcPr>
          <w:p>
            <w:pPr>
              <w:ind w:left="220"/>
              <w:spacing w:after="0"/>
              <w:rPr>
                <w:sz w:val="20"/>
                <w:szCs w:val="20"/>
                <w:color w:val="auto"/>
              </w:rPr>
            </w:pPr>
            <w:r>
              <w:rPr>
                <w:rFonts w:ascii="Arial" w:cs="Arial" w:eastAsia="Arial" w:hAnsi="Arial"/>
                <w:sz w:val="14"/>
                <w:szCs w:val="14"/>
                <w:color w:val="auto"/>
              </w:rPr>
              <w:t>Chief Financial Officer</w:t>
            </w:r>
          </w:p>
        </w:tc>
        <w:tc>
          <w:tcPr>
            <w:tcW w:w="580" w:type="dxa"/>
            <w:vAlign w:val="bottom"/>
          </w:tcPr>
          <w:p>
            <w:pPr>
              <w:jc w:val="right"/>
              <w:spacing w:after="0"/>
              <w:rPr>
                <w:sz w:val="20"/>
                <w:szCs w:val="20"/>
                <w:color w:val="auto"/>
              </w:rPr>
            </w:pPr>
            <w:r>
              <w:rPr>
                <w:rFonts w:ascii="Arial" w:cs="Arial" w:eastAsia="Arial" w:hAnsi="Arial"/>
                <w:sz w:val="16"/>
                <w:szCs w:val="16"/>
                <w:color w:val="auto"/>
              </w:rPr>
              <w:t>2009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327,692</w:t>
            </w:r>
          </w:p>
        </w:tc>
        <w:tc>
          <w:tcPr>
            <w:tcW w:w="120" w:type="dxa"/>
            <w:vAlign w:val="bottom"/>
          </w:tcPr>
          <w:p>
            <w:pPr>
              <w:spacing w:after="0"/>
              <w:rPr>
                <w:sz w:val="22"/>
                <w:szCs w:val="22"/>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398,090</w:t>
            </w:r>
          </w:p>
        </w:tc>
        <w:tc>
          <w:tcPr>
            <w:tcW w:w="120" w:type="dxa"/>
            <w:vAlign w:val="bottom"/>
          </w:tcPr>
          <w:p>
            <w:pPr>
              <w:spacing w:after="0"/>
              <w:rPr>
                <w:sz w:val="22"/>
                <w:szCs w:val="22"/>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289,476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215,738</w:t>
            </w:r>
          </w:p>
        </w:tc>
        <w:tc>
          <w:tcPr>
            <w:tcW w:w="120" w:type="dxa"/>
            <w:vAlign w:val="bottom"/>
          </w:tcPr>
          <w:p>
            <w:pPr>
              <w:spacing w:after="0"/>
              <w:rPr>
                <w:sz w:val="22"/>
                <w:szCs w:val="22"/>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11,471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80"/>
              <w:spacing w:after="0"/>
              <w:rPr>
                <w:sz w:val="20"/>
                <w:szCs w:val="20"/>
                <w:color w:val="auto"/>
              </w:rPr>
            </w:pPr>
            <w:r>
              <w:rPr>
                <w:rFonts w:ascii="Arial" w:cs="Arial" w:eastAsia="Arial" w:hAnsi="Arial"/>
                <w:sz w:val="16"/>
                <w:szCs w:val="16"/>
                <w:color w:val="auto"/>
              </w:rPr>
              <w:t>1,242,467</w:t>
            </w: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Gregory L. Waters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407,200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952,000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492,046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375,179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11,042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2,237,467</w:t>
            </w:r>
          </w:p>
        </w:tc>
        <w:tc>
          <w:tcPr>
            <w:tcW w:w="0" w:type="dxa"/>
            <w:vAlign w:val="bottom"/>
          </w:tcPr>
          <w:p>
            <w:pPr>
              <w:spacing w:after="0"/>
              <w:rPr>
                <w:sz w:val="1"/>
                <w:szCs w:val="1"/>
                <w:color w:val="auto"/>
              </w:rPr>
            </w:pPr>
          </w:p>
        </w:tc>
      </w:tr>
      <w:tr>
        <w:trPr>
          <w:trHeight w:val="264"/>
        </w:trPr>
        <w:tc>
          <w:tcPr>
            <w:tcW w:w="3460" w:type="dxa"/>
            <w:vAlign w:val="bottom"/>
            <w:gridSpan w:val="2"/>
          </w:tcPr>
          <w:p>
            <w:pPr>
              <w:ind w:left="220"/>
              <w:spacing w:after="0"/>
              <w:rPr>
                <w:sz w:val="20"/>
                <w:szCs w:val="20"/>
                <w:color w:val="auto"/>
              </w:rPr>
            </w:pPr>
            <w:r>
              <w:rPr>
                <w:rFonts w:ascii="Arial" w:cs="Arial" w:eastAsia="Arial" w:hAnsi="Arial"/>
                <w:sz w:val="14"/>
                <w:szCs w:val="14"/>
                <w:color w:val="auto"/>
              </w:rPr>
              <w:t>Executive Vice President and</w:t>
            </w:r>
          </w:p>
        </w:tc>
        <w:tc>
          <w:tcPr>
            <w:tcW w:w="580" w:type="dxa"/>
            <w:vAlign w:val="bottom"/>
          </w:tcPr>
          <w:p>
            <w:pPr>
              <w:jc w:val="right"/>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390,000</w:t>
            </w:r>
          </w:p>
        </w:tc>
        <w:tc>
          <w:tcPr>
            <w:tcW w:w="120" w:type="dxa"/>
            <w:vAlign w:val="bottom"/>
          </w:tcPr>
          <w:p>
            <w:pPr>
              <w:spacing w:after="0"/>
              <w:rPr>
                <w:sz w:val="22"/>
                <w:szCs w:val="22"/>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506,940</w:t>
            </w:r>
          </w:p>
        </w:tc>
        <w:tc>
          <w:tcPr>
            <w:tcW w:w="120" w:type="dxa"/>
            <w:vAlign w:val="bottom"/>
          </w:tcPr>
          <w:p>
            <w:pPr>
              <w:spacing w:after="0"/>
              <w:rPr>
                <w:sz w:val="22"/>
                <w:szCs w:val="22"/>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355,076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382,434</w:t>
            </w:r>
          </w:p>
        </w:tc>
        <w:tc>
          <w:tcPr>
            <w:tcW w:w="120" w:type="dxa"/>
            <w:vAlign w:val="bottom"/>
          </w:tcPr>
          <w:p>
            <w:pPr>
              <w:spacing w:after="0"/>
              <w:rPr>
                <w:sz w:val="22"/>
                <w:szCs w:val="22"/>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10,942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80"/>
              <w:spacing w:after="0"/>
              <w:rPr>
                <w:sz w:val="20"/>
                <w:szCs w:val="20"/>
                <w:color w:val="auto"/>
              </w:rPr>
            </w:pPr>
            <w:r>
              <w:rPr>
                <w:rFonts w:ascii="Arial" w:cs="Arial" w:eastAsia="Arial" w:hAnsi="Arial"/>
                <w:sz w:val="16"/>
                <w:szCs w:val="16"/>
                <w:color w:val="auto"/>
              </w:rPr>
              <w:t>1,645,392</w:t>
            </w: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General Manager, Front-End Solutions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378,846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440,440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321,640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270,085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1,421,036</w:t>
            </w:r>
          </w:p>
        </w:tc>
        <w:tc>
          <w:tcPr>
            <w:tcW w:w="0" w:type="dxa"/>
            <w:vAlign w:val="bottom"/>
          </w:tcPr>
          <w:p>
            <w:pPr>
              <w:spacing w:after="0"/>
              <w:rPr>
                <w:sz w:val="1"/>
                <w:szCs w:val="1"/>
                <w:color w:val="auto"/>
              </w:rPr>
            </w:pPr>
          </w:p>
        </w:tc>
      </w:tr>
      <w:tr>
        <w:trPr>
          <w:trHeight w:val="264"/>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Liam K. Griffin</w:t>
            </w:r>
          </w:p>
        </w:tc>
        <w:tc>
          <w:tcPr>
            <w:tcW w:w="580" w:type="dxa"/>
            <w:vAlign w:val="bottom"/>
          </w:tcPr>
          <w:p>
            <w:pPr>
              <w:jc w:val="right"/>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378,100</w:t>
            </w:r>
          </w:p>
        </w:tc>
        <w:tc>
          <w:tcPr>
            <w:tcW w:w="120" w:type="dxa"/>
            <w:vAlign w:val="bottom"/>
          </w:tcPr>
          <w:p>
            <w:pPr>
              <w:spacing w:after="0"/>
              <w:rPr>
                <w:sz w:val="22"/>
                <w:szCs w:val="22"/>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952,000</w:t>
            </w:r>
          </w:p>
        </w:tc>
        <w:tc>
          <w:tcPr>
            <w:tcW w:w="120" w:type="dxa"/>
            <w:vAlign w:val="bottom"/>
          </w:tcPr>
          <w:p>
            <w:pPr>
              <w:spacing w:after="0"/>
              <w:rPr>
                <w:sz w:val="22"/>
                <w:szCs w:val="22"/>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492,046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425,650</w:t>
            </w:r>
          </w:p>
        </w:tc>
        <w:tc>
          <w:tcPr>
            <w:tcW w:w="120" w:type="dxa"/>
            <w:vAlign w:val="bottom"/>
          </w:tcPr>
          <w:p>
            <w:pPr>
              <w:spacing w:after="0"/>
              <w:rPr>
                <w:sz w:val="22"/>
                <w:szCs w:val="22"/>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44,480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80"/>
              <w:spacing w:after="0"/>
              <w:rPr>
                <w:sz w:val="20"/>
                <w:szCs w:val="20"/>
                <w:color w:val="auto"/>
              </w:rPr>
            </w:pPr>
            <w:r>
              <w:rPr>
                <w:rFonts w:ascii="Arial" w:cs="Arial" w:eastAsia="Arial" w:hAnsi="Arial"/>
                <w:sz w:val="16"/>
                <w:szCs w:val="16"/>
                <w:color w:val="auto"/>
              </w:rPr>
              <w:t>2,292,276</w:t>
            </w: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Executive Vice President and General</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357,500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506,940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355,076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341,653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28,108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1,589,277</w:t>
            </w:r>
          </w:p>
        </w:tc>
        <w:tc>
          <w:tcPr>
            <w:tcW w:w="0" w:type="dxa"/>
            <w:vAlign w:val="bottom"/>
          </w:tcPr>
          <w:p>
            <w:pPr>
              <w:spacing w:after="0"/>
              <w:rPr>
                <w:sz w:val="1"/>
                <w:szCs w:val="1"/>
                <w:color w:val="auto"/>
              </w:rPr>
            </w:pPr>
          </w:p>
        </w:tc>
      </w:tr>
      <w:tr>
        <w:trPr>
          <w:trHeight w:val="264"/>
        </w:trPr>
        <w:tc>
          <w:tcPr>
            <w:tcW w:w="3460" w:type="dxa"/>
            <w:vAlign w:val="bottom"/>
            <w:gridSpan w:val="2"/>
          </w:tcPr>
          <w:p>
            <w:pPr>
              <w:ind w:left="220"/>
              <w:spacing w:after="0"/>
              <w:rPr>
                <w:sz w:val="20"/>
                <w:szCs w:val="20"/>
                <w:color w:val="auto"/>
              </w:rPr>
            </w:pPr>
            <w:r>
              <w:rPr>
                <w:rFonts w:ascii="Arial" w:cs="Arial" w:eastAsia="Arial" w:hAnsi="Arial"/>
                <w:sz w:val="14"/>
                <w:szCs w:val="14"/>
                <w:color w:val="auto"/>
              </w:rPr>
              <w:t>Manager, High Performance Analog</w:t>
            </w:r>
          </w:p>
        </w:tc>
        <w:tc>
          <w:tcPr>
            <w:tcW w:w="580" w:type="dxa"/>
            <w:vAlign w:val="bottom"/>
          </w:tcPr>
          <w:p>
            <w:pPr>
              <w:jc w:val="right"/>
              <w:spacing w:after="0"/>
              <w:rPr>
                <w:sz w:val="20"/>
                <w:szCs w:val="20"/>
                <w:color w:val="auto"/>
              </w:rPr>
            </w:pPr>
            <w:r>
              <w:rPr>
                <w:rFonts w:ascii="Arial" w:cs="Arial" w:eastAsia="Arial" w:hAnsi="Arial"/>
                <w:sz w:val="16"/>
                <w:szCs w:val="16"/>
                <w:color w:val="auto"/>
              </w:rPr>
              <w:t>2009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352,923</w:t>
            </w:r>
          </w:p>
        </w:tc>
        <w:tc>
          <w:tcPr>
            <w:tcW w:w="120" w:type="dxa"/>
            <w:vAlign w:val="bottom"/>
          </w:tcPr>
          <w:p>
            <w:pPr>
              <w:spacing w:after="0"/>
              <w:rPr>
                <w:sz w:val="22"/>
                <w:szCs w:val="22"/>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440,440</w:t>
            </w:r>
          </w:p>
        </w:tc>
        <w:tc>
          <w:tcPr>
            <w:tcW w:w="120" w:type="dxa"/>
            <w:vAlign w:val="bottom"/>
          </w:tcPr>
          <w:p>
            <w:pPr>
              <w:spacing w:after="0"/>
              <w:rPr>
                <w:sz w:val="22"/>
                <w:szCs w:val="22"/>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321,640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295,148</w:t>
            </w:r>
          </w:p>
        </w:tc>
        <w:tc>
          <w:tcPr>
            <w:tcW w:w="120" w:type="dxa"/>
            <w:vAlign w:val="bottom"/>
          </w:tcPr>
          <w:p>
            <w:pPr>
              <w:spacing w:after="0"/>
              <w:rPr>
                <w:sz w:val="22"/>
                <w:szCs w:val="22"/>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44,888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80"/>
              <w:spacing w:after="0"/>
              <w:rPr>
                <w:sz w:val="20"/>
                <w:szCs w:val="20"/>
                <w:color w:val="auto"/>
              </w:rPr>
            </w:pPr>
            <w:r>
              <w:rPr>
                <w:rFonts w:ascii="Arial" w:cs="Arial" w:eastAsia="Arial" w:hAnsi="Arial"/>
                <w:sz w:val="16"/>
                <w:szCs w:val="16"/>
                <w:color w:val="auto"/>
              </w:rPr>
              <w:t>1,455,039</w:t>
            </w: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Bruce J. Freyman</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368,900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952,000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492,046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385,148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24,042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2,222,136</w:t>
            </w:r>
          </w:p>
        </w:tc>
        <w:tc>
          <w:tcPr>
            <w:tcW w:w="0" w:type="dxa"/>
            <w:vAlign w:val="bottom"/>
          </w:tcPr>
          <w:p>
            <w:pPr>
              <w:spacing w:after="0"/>
              <w:rPr>
                <w:sz w:val="1"/>
                <w:szCs w:val="1"/>
                <w:color w:val="auto"/>
              </w:rPr>
            </w:pPr>
          </w:p>
        </w:tc>
      </w:tr>
      <w:tr>
        <w:trPr>
          <w:trHeight w:val="264"/>
        </w:trPr>
        <w:tc>
          <w:tcPr>
            <w:tcW w:w="3460" w:type="dxa"/>
            <w:vAlign w:val="bottom"/>
            <w:gridSpan w:val="2"/>
          </w:tcPr>
          <w:p>
            <w:pPr>
              <w:ind w:left="220"/>
              <w:spacing w:after="0"/>
              <w:rPr>
                <w:sz w:val="20"/>
                <w:szCs w:val="20"/>
                <w:color w:val="auto"/>
              </w:rPr>
            </w:pPr>
            <w:r>
              <w:rPr>
                <w:rFonts w:ascii="Arial" w:cs="Arial" w:eastAsia="Arial" w:hAnsi="Arial"/>
                <w:sz w:val="14"/>
                <w:szCs w:val="14"/>
                <w:color w:val="auto"/>
              </w:rPr>
              <w:t>Senior Vice President,</w:t>
            </w:r>
          </w:p>
        </w:tc>
        <w:tc>
          <w:tcPr>
            <w:tcW w:w="580" w:type="dxa"/>
            <w:vAlign w:val="bottom"/>
          </w:tcPr>
          <w:p>
            <w:pPr>
              <w:jc w:val="right"/>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355,500</w:t>
            </w:r>
          </w:p>
        </w:tc>
        <w:tc>
          <w:tcPr>
            <w:tcW w:w="120" w:type="dxa"/>
            <w:vAlign w:val="bottom"/>
          </w:tcPr>
          <w:p>
            <w:pPr>
              <w:spacing w:after="0"/>
              <w:rPr>
                <w:sz w:val="22"/>
                <w:szCs w:val="22"/>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470,730</w:t>
            </w:r>
          </w:p>
        </w:tc>
        <w:tc>
          <w:tcPr>
            <w:tcW w:w="120" w:type="dxa"/>
            <w:vAlign w:val="bottom"/>
          </w:tcPr>
          <w:p>
            <w:pPr>
              <w:spacing w:after="0"/>
              <w:rPr>
                <w:sz w:val="22"/>
                <w:szCs w:val="22"/>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332,884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371,307</w:t>
            </w:r>
          </w:p>
        </w:tc>
        <w:tc>
          <w:tcPr>
            <w:tcW w:w="120" w:type="dxa"/>
            <w:vAlign w:val="bottom"/>
          </w:tcPr>
          <w:p>
            <w:pPr>
              <w:spacing w:after="0"/>
              <w:rPr>
                <w:sz w:val="22"/>
                <w:szCs w:val="22"/>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10,942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80"/>
              <w:spacing w:after="0"/>
              <w:rPr>
                <w:sz w:val="20"/>
                <w:szCs w:val="20"/>
                <w:color w:val="auto"/>
              </w:rPr>
            </w:pPr>
            <w:r>
              <w:rPr>
                <w:rFonts w:ascii="Arial" w:cs="Arial" w:eastAsia="Arial" w:hAnsi="Arial"/>
                <w:sz w:val="16"/>
                <w:szCs w:val="16"/>
                <w:color w:val="auto"/>
              </w:rPr>
              <w:t>1,541,363</w:t>
            </w:r>
          </w:p>
        </w:tc>
        <w:tc>
          <w:tcPr>
            <w:tcW w:w="0" w:type="dxa"/>
            <w:vAlign w:val="bottom"/>
          </w:tcPr>
          <w:p>
            <w:pPr>
              <w:spacing w:after="0"/>
              <w:rPr>
                <w:sz w:val="1"/>
                <w:szCs w:val="1"/>
                <w:color w:val="auto"/>
              </w:rPr>
            </w:pPr>
          </w:p>
        </w:tc>
      </w:tr>
      <w:tr>
        <w:trPr>
          <w:trHeight w:val="276"/>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Worldwide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350,923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398,090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289,476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240,680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1,290,941</w:t>
            </w:r>
          </w:p>
        </w:tc>
        <w:tc>
          <w:tcPr>
            <w:tcW w:w="0" w:type="dxa"/>
            <w:vAlign w:val="bottom"/>
          </w:tcPr>
          <w:p>
            <w:pPr>
              <w:spacing w:after="0"/>
              <w:rPr>
                <w:sz w:val="1"/>
                <w:szCs w:val="1"/>
                <w:color w:val="auto"/>
              </w:rPr>
            </w:pPr>
          </w:p>
        </w:tc>
      </w:tr>
      <w:tr>
        <w:trPr>
          <w:trHeight w:val="218"/>
        </w:trPr>
        <w:tc>
          <w:tcPr>
            <w:tcW w:w="334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300" w:hanging="292"/>
        <w:spacing w:after="0" w:line="268"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amounts in the Stock Awards and Option Awards columns represent the grant date fair values, computed in accordance with the provisions of ASC 718-</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of performance share awards, restricted stock and stock options awarded during the applicable fiscal year, with estimated forfeiture rates applied to restricted stock and stock option awards. For fiscal years 2009, 2010 and 2011, the maximum grant date fair values of the Stock Awards would be two times (2 x) the amount shown in the table. For a description of the assumptions used in calculating the fair value of equity awards under ASC 718, see Note 11 of the Company’s financial statements included in the Original Filing. The amount in the Stock Awards column for fiscal year 2009 excludes the incremental grant date fair market value of the 2009 Replacement Awards as follows: Mr. Aldrich ($775,200), Mr. Palette ($90,440), Mr. Waters ($103,360), Mr. Griffin ($258,400) and Mr. Freyman ($129,200). See footnote 6 of the “</w:t>
      </w:r>
      <w:r>
        <w:rPr>
          <w:rFonts w:ascii="Arial" w:cs="Arial" w:eastAsia="Arial" w:hAnsi="Arial"/>
          <w:sz w:val="17"/>
          <w:szCs w:val="17"/>
          <w:i w:val="1"/>
          <w:iCs w:val="1"/>
          <w:color w:val="auto"/>
        </w:rPr>
        <w:t>Outstanding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Awards at Fiscal Year End Table” </w:t>
      </w:r>
      <w:r>
        <w:rPr>
          <w:rFonts w:ascii="Arial" w:cs="Arial" w:eastAsia="Arial" w:hAnsi="Arial"/>
          <w:sz w:val="17"/>
          <w:szCs w:val="17"/>
          <w:color w:val="auto"/>
        </w:rPr>
        <w:t>below for detailed information regarding the 2009 Replacement Awards.</w:t>
      </w:r>
    </w:p>
    <w:p>
      <w:pPr>
        <w:spacing w:after="0" w:line="182" w:lineRule="exact"/>
        <w:rPr>
          <w:rFonts w:ascii="Arial" w:cs="Arial" w:eastAsia="Arial" w:hAnsi="Arial"/>
          <w:sz w:val="17"/>
          <w:szCs w:val="17"/>
          <w:color w:val="auto"/>
        </w:rPr>
      </w:pPr>
    </w:p>
    <w:p>
      <w:pPr>
        <w:jc w:val="both"/>
        <w:ind w:left="300" w:hanging="292"/>
        <w:spacing w:after="0" w:line="254"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amounts paid to the Named Executive Officers pursuant to the Incentive Plan. For the first and second half of fiscal year 2011, as well as the second half of fiscal years 2009 and 2010, the portion of the Incentive Plan attributable to Company performance above the “target” performance metric was paid in the form of unrestricted common stock of the Company as follows: Mr. Aldrich (FY 2009: $270,000; FY 2010: $497,500; FY 2011 $318,800), Mr. Palette (FY 2009: $89,100; FY 2010: $165,800; FY 2011 $98,900), Mr. Waters (FY 2009: $102,600; FY 2010: $148,400; FY 2011 $137,700), Mr. Griffin (FY 2009: $95,600; FY 2010: $127,200; FY 2011 $159,700) and Mr. Freyman (FY 2009: $95,000; FY 2010: $158,000; FY 2011 $126,100). The number of shares awarded in lieu of cash was based on the fair market value of the Company’s common stock on November 10, 2009, May 11, 2010, November 9, 2010, May 11, 2011, and November 10, 2011, the respective dates that Incentive Plan payments were approved by the Compensation Committee.</w:t>
      </w:r>
    </w:p>
    <w:p>
      <w:pPr>
        <w:spacing w:after="0" w:line="192" w:lineRule="exact"/>
        <w:rPr>
          <w:rFonts w:ascii="Arial" w:cs="Arial" w:eastAsia="Arial" w:hAnsi="Arial"/>
          <w:sz w:val="18"/>
          <w:szCs w:val="18"/>
          <w:color w:val="auto"/>
        </w:rPr>
      </w:pPr>
    </w:p>
    <w:p>
      <w:pPr>
        <w:jc w:val="both"/>
        <w:ind w:left="300" w:hanging="292"/>
        <w:spacing w:after="0" w:line="264"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Compensation” includes the Company’s contributions to the executive’s 401(k) plan and the cost of group term life insurance premiums. Mr. Griffin’s amount includes subsidized mortgage and other relocation expenses of $34,548, $17,768 and $33,933 for fiscal years 2009, 2010 and 2011, respectively. Mr. Freyman’s amount includes financial planning services of $13,000.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6" w:right="239" w:bottom="1440" w:gutter="0" w:footer="0" w:header="0"/>
        </w:sectPr>
      </w:pPr>
    </w:p>
    <w:bookmarkStart w:id="13" w:name="page14"/>
    <w:bookmarkEnd w:id="13"/>
    <w:p>
      <w:pPr>
        <w:ind w:left="120"/>
        <w:spacing w:after="0"/>
        <w:rPr>
          <w:sz w:val="20"/>
          <w:szCs w:val="20"/>
          <w:color w:val="auto"/>
        </w:rPr>
      </w:pPr>
      <w:r>
        <w:rPr>
          <w:rFonts w:ascii="Arial" w:cs="Arial" w:eastAsia="Arial" w:hAnsi="Arial"/>
          <w:sz w:val="18"/>
          <w:szCs w:val="18"/>
          <w:i w:val="1"/>
          <w:iCs w:val="1"/>
          <w:u w:val="single" w:color="auto"/>
          <w:color w:val="auto"/>
        </w:rPr>
        <w:t>Grants of Plan-Based Awards Table</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following table summarizes all grants of plan-based awards made to the Named Executive Officers in fiscal year 2011, including incentive awards payable under our Fiscal Year 2011 Executive Incentive Plan.</w:t>
      </w:r>
    </w:p>
    <w:p>
      <w:pPr>
        <w:spacing w:after="0" w:line="117" w:lineRule="exact"/>
        <w:rPr>
          <w:sz w:val="20"/>
          <w:szCs w:val="20"/>
          <w:color w:val="auto"/>
        </w:rPr>
      </w:pPr>
    </w:p>
    <w:tbl>
      <w:tblPr>
        <w:tblLayout w:type="fixed"/>
        <w:tblInd w:w="80" w:type="dxa"/>
        <w:tblCellMar>
          <w:top w:w="0" w:type="dxa"/>
          <w:left w:w="0" w:type="dxa"/>
          <w:bottom w:w="0" w:type="dxa"/>
          <w:right w:w="0" w:type="dxa"/>
        </w:tblCellMar>
      </w:tblPr>
      <w:tr>
        <w:trPr>
          <w:trHeight w:val="140"/>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All Other</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All 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Stock</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Option</w:t>
            </w:r>
          </w:p>
        </w:tc>
        <w:tc>
          <w:tcPr>
            <w:tcW w:w="140" w:type="dxa"/>
            <w:vAlign w:val="bottom"/>
          </w:tcPr>
          <w:p>
            <w:pPr>
              <w:spacing w:after="0"/>
              <w:rPr>
                <w:sz w:val="23"/>
                <w:szCs w:val="2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Exercise</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Awards:</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Awards:</w:t>
            </w:r>
          </w:p>
        </w:tc>
        <w:tc>
          <w:tcPr>
            <w:tcW w:w="140" w:type="dxa"/>
            <w:vAlign w:val="bottom"/>
          </w:tcPr>
          <w:p>
            <w:pPr>
              <w:spacing w:after="0"/>
              <w:rPr>
                <w:sz w:val="23"/>
                <w:szCs w:val="2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4"/>
              </w:rPr>
              <w:t>or Base</w:t>
            </w:r>
          </w:p>
        </w:tc>
        <w:tc>
          <w:tcPr>
            <w:tcW w:w="180" w:type="dxa"/>
            <w:vAlign w:val="bottom"/>
          </w:tcPr>
          <w:p>
            <w:pPr>
              <w:spacing w:after="0"/>
              <w:rPr>
                <w:sz w:val="23"/>
                <w:szCs w:val="23"/>
                <w:color w:val="auto"/>
              </w:rPr>
            </w:pPr>
          </w:p>
        </w:tc>
        <w:tc>
          <w:tcPr>
            <w:tcW w:w="820" w:type="dxa"/>
            <w:vAlign w:val="bottom"/>
          </w:tcPr>
          <w:p>
            <w:pPr>
              <w:jc w:val="center"/>
              <w:ind w:right="126"/>
              <w:spacing w:after="0"/>
              <w:rPr>
                <w:sz w:val="20"/>
                <w:szCs w:val="20"/>
                <w:color w:val="auto"/>
              </w:rPr>
            </w:pPr>
            <w:r>
              <w:rPr>
                <w:rFonts w:ascii="Arial" w:cs="Arial" w:eastAsia="Arial" w:hAnsi="Arial"/>
                <w:sz w:val="11"/>
                <w:szCs w:val="11"/>
                <w:b w:val="1"/>
                <w:bCs w:val="1"/>
                <w:color w:val="auto"/>
                <w:w w:val="95"/>
              </w:rPr>
              <w:t>Grant</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40" w:type="dxa"/>
            <w:vAlign w:val="bottom"/>
            <w:gridSpan w:val="6"/>
          </w:tcPr>
          <w:p>
            <w:pPr>
              <w:jc w:val="center"/>
              <w:spacing w:after="0"/>
              <w:rPr>
                <w:sz w:val="20"/>
                <w:szCs w:val="20"/>
                <w:color w:val="auto"/>
              </w:rPr>
            </w:pPr>
            <w:r>
              <w:rPr>
                <w:rFonts w:ascii="Arial" w:cs="Arial" w:eastAsia="Arial" w:hAnsi="Arial"/>
                <w:sz w:val="11"/>
                <w:szCs w:val="11"/>
                <w:b w:val="1"/>
                <w:bCs w:val="1"/>
                <w:color w:val="auto"/>
                <w:w w:val="87"/>
              </w:rPr>
              <w:t>Possible Payouts Under</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20" w:type="dxa"/>
            <w:vAlign w:val="bottom"/>
            <w:gridSpan w:val="8"/>
          </w:tcPr>
          <w:p>
            <w:pPr>
              <w:jc w:val="center"/>
              <w:ind w:right="80"/>
              <w:spacing w:after="0"/>
              <w:rPr>
                <w:sz w:val="20"/>
                <w:szCs w:val="20"/>
                <w:color w:val="auto"/>
              </w:rPr>
            </w:pPr>
            <w:r>
              <w:rPr>
                <w:rFonts w:ascii="Arial" w:cs="Arial" w:eastAsia="Arial" w:hAnsi="Arial"/>
                <w:sz w:val="11"/>
                <w:szCs w:val="11"/>
                <w:b w:val="1"/>
                <w:bCs w:val="1"/>
                <w:color w:val="auto"/>
                <w:w w:val="88"/>
              </w:rPr>
              <w:t>Estimated Future Payouts</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Number</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Number of</w:t>
            </w:r>
          </w:p>
        </w:tc>
        <w:tc>
          <w:tcPr>
            <w:tcW w:w="140" w:type="dxa"/>
            <w:vAlign w:val="bottom"/>
          </w:tcPr>
          <w:p>
            <w:pPr>
              <w:spacing w:after="0"/>
              <w:rPr>
                <w:sz w:val="23"/>
                <w:szCs w:val="23"/>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Price of</w:t>
            </w:r>
          </w:p>
        </w:tc>
        <w:tc>
          <w:tcPr>
            <w:tcW w:w="180" w:type="dxa"/>
            <w:vAlign w:val="bottom"/>
          </w:tcPr>
          <w:p>
            <w:pPr>
              <w:spacing w:after="0"/>
              <w:rPr>
                <w:sz w:val="23"/>
                <w:szCs w:val="23"/>
                <w:color w:val="auto"/>
              </w:rPr>
            </w:pPr>
          </w:p>
        </w:tc>
        <w:tc>
          <w:tcPr>
            <w:tcW w:w="820" w:type="dxa"/>
            <w:vAlign w:val="bottom"/>
          </w:tcPr>
          <w:p>
            <w:pPr>
              <w:jc w:val="center"/>
              <w:ind w:right="126"/>
              <w:spacing w:after="0"/>
              <w:rPr>
                <w:sz w:val="20"/>
                <w:szCs w:val="20"/>
                <w:color w:val="auto"/>
              </w:rPr>
            </w:pPr>
            <w:r>
              <w:rPr>
                <w:rFonts w:ascii="Arial" w:cs="Arial" w:eastAsia="Arial" w:hAnsi="Arial"/>
                <w:sz w:val="11"/>
                <w:szCs w:val="11"/>
                <w:b w:val="1"/>
                <w:bCs w:val="1"/>
                <w:color w:val="auto"/>
                <w:w w:val="93"/>
              </w:rPr>
              <w:t>Date Fair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4"/>
          </w:tcPr>
          <w:p>
            <w:pPr>
              <w:jc w:val="center"/>
              <w:spacing w:after="0"/>
              <w:rPr>
                <w:sz w:val="20"/>
                <w:szCs w:val="20"/>
                <w:color w:val="auto"/>
              </w:rPr>
            </w:pPr>
            <w:r>
              <w:rPr>
                <w:rFonts w:ascii="Arial" w:cs="Arial" w:eastAsia="Arial" w:hAnsi="Arial"/>
                <w:sz w:val="11"/>
                <w:szCs w:val="11"/>
                <w:b w:val="1"/>
                <w:bCs w:val="1"/>
                <w:color w:val="auto"/>
                <w:w w:val="89"/>
              </w:rPr>
              <w:t>Non-Equity Incentive</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gridSpan w:val="5"/>
          </w:tcPr>
          <w:p>
            <w:pPr>
              <w:jc w:val="center"/>
              <w:spacing w:after="0"/>
              <w:rPr>
                <w:sz w:val="20"/>
                <w:szCs w:val="20"/>
                <w:color w:val="auto"/>
              </w:rPr>
            </w:pPr>
            <w:r>
              <w:rPr>
                <w:rFonts w:ascii="Arial" w:cs="Arial" w:eastAsia="Arial" w:hAnsi="Arial"/>
                <w:sz w:val="11"/>
                <w:szCs w:val="11"/>
                <w:b w:val="1"/>
                <w:bCs w:val="1"/>
                <w:color w:val="auto"/>
                <w:w w:val="90"/>
              </w:rPr>
              <w:t>Under Equity Incentive</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of Shares</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Securities</w:t>
            </w:r>
          </w:p>
        </w:tc>
        <w:tc>
          <w:tcPr>
            <w:tcW w:w="140" w:type="dxa"/>
            <w:vAlign w:val="bottom"/>
          </w:tcPr>
          <w:p>
            <w:pPr>
              <w:spacing w:after="0"/>
              <w:rPr>
                <w:sz w:val="23"/>
                <w:szCs w:val="23"/>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Option</w:t>
            </w:r>
          </w:p>
        </w:tc>
        <w:tc>
          <w:tcPr>
            <w:tcW w:w="180" w:type="dxa"/>
            <w:vAlign w:val="bottom"/>
          </w:tcPr>
          <w:p>
            <w:pPr>
              <w:spacing w:after="0"/>
              <w:rPr>
                <w:sz w:val="23"/>
                <w:szCs w:val="23"/>
                <w:color w:val="auto"/>
              </w:rPr>
            </w:pPr>
          </w:p>
        </w:tc>
        <w:tc>
          <w:tcPr>
            <w:tcW w:w="820" w:type="dxa"/>
            <w:vAlign w:val="bottom"/>
          </w:tcPr>
          <w:p>
            <w:pPr>
              <w:jc w:val="center"/>
              <w:ind w:right="126"/>
              <w:spacing w:after="0"/>
              <w:rPr>
                <w:sz w:val="20"/>
                <w:szCs w:val="20"/>
                <w:color w:val="auto"/>
              </w:rPr>
            </w:pPr>
            <w:r>
              <w:rPr>
                <w:rFonts w:ascii="Arial" w:cs="Arial" w:eastAsia="Arial" w:hAnsi="Arial"/>
                <w:sz w:val="11"/>
                <w:szCs w:val="11"/>
                <w:b w:val="1"/>
                <w:bCs w:val="1"/>
                <w:color w:val="auto"/>
                <w:w w:val="84"/>
              </w:rPr>
              <w:t>Value of</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9"/>
              </w:rPr>
              <w:t>Plan Awards (1)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2"/>
              </w:rPr>
              <w:t>Plan Awards (2)</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of Stock</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Underlying</w:t>
            </w:r>
          </w:p>
        </w:tc>
        <w:tc>
          <w:tcPr>
            <w:tcW w:w="140" w:type="dxa"/>
            <w:vAlign w:val="bottom"/>
          </w:tcPr>
          <w:p>
            <w:pPr>
              <w:spacing w:after="0"/>
              <w:rPr>
                <w:sz w:val="23"/>
                <w:szCs w:val="2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Awards</w:t>
            </w:r>
          </w:p>
        </w:tc>
        <w:tc>
          <w:tcPr>
            <w:tcW w:w="180" w:type="dxa"/>
            <w:vAlign w:val="bottom"/>
          </w:tcPr>
          <w:p>
            <w:pPr>
              <w:spacing w:after="0"/>
              <w:rPr>
                <w:sz w:val="23"/>
                <w:szCs w:val="23"/>
                <w:color w:val="auto"/>
              </w:rPr>
            </w:pPr>
          </w:p>
        </w:tc>
        <w:tc>
          <w:tcPr>
            <w:tcW w:w="820" w:type="dxa"/>
            <w:vAlign w:val="bottom"/>
          </w:tcPr>
          <w:p>
            <w:pPr>
              <w:jc w:val="center"/>
              <w:ind w:right="146"/>
              <w:spacing w:after="0"/>
              <w:rPr>
                <w:sz w:val="20"/>
                <w:szCs w:val="20"/>
                <w:color w:val="auto"/>
              </w:rPr>
            </w:pPr>
            <w:r>
              <w:rPr>
                <w:rFonts w:ascii="Arial" w:cs="Arial" w:eastAsia="Arial" w:hAnsi="Arial"/>
                <w:sz w:val="11"/>
                <w:szCs w:val="11"/>
                <w:b w:val="1"/>
                <w:bCs w:val="1"/>
                <w:color w:val="auto"/>
                <w:w w:val="87"/>
              </w:rPr>
              <w:t>Stock and</w:t>
            </w: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5"/>
              </w:rPr>
              <w:t>Grant</w:t>
            </w: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1"/>
              </w:rPr>
              <w:t>or Units</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1"/>
              </w:rPr>
              <w:t>Options</w:t>
            </w:r>
          </w:p>
        </w:tc>
        <w:tc>
          <w:tcPr>
            <w:tcW w:w="140" w:type="dxa"/>
            <w:vAlign w:val="bottom"/>
          </w:tcPr>
          <w:p>
            <w:pPr>
              <w:spacing w:after="0"/>
              <w:rPr>
                <w:sz w:val="10"/>
                <w:szCs w:val="10"/>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1"/>
              </w:rPr>
              <w:t>($/Sh)</w:t>
            </w:r>
          </w:p>
        </w:tc>
        <w:tc>
          <w:tcPr>
            <w:tcW w:w="180" w:type="dxa"/>
            <w:vAlign w:val="bottom"/>
          </w:tcPr>
          <w:p>
            <w:pPr>
              <w:spacing w:after="0"/>
              <w:rPr>
                <w:sz w:val="10"/>
                <w:szCs w:val="10"/>
                <w:color w:val="auto"/>
              </w:rPr>
            </w:pPr>
          </w:p>
        </w:tc>
        <w:tc>
          <w:tcPr>
            <w:tcW w:w="820" w:type="dxa"/>
            <w:vAlign w:val="bottom"/>
            <w:vMerge w:val="restart"/>
          </w:tcPr>
          <w:p>
            <w:pPr>
              <w:jc w:val="center"/>
              <w:ind w:right="126"/>
              <w:spacing w:after="0"/>
              <w:rPr>
                <w:sz w:val="20"/>
                <w:szCs w:val="20"/>
                <w:color w:val="auto"/>
              </w:rPr>
            </w:pPr>
            <w:r>
              <w:rPr>
                <w:rFonts w:ascii="Arial" w:cs="Arial" w:eastAsia="Arial" w:hAnsi="Arial"/>
                <w:sz w:val="11"/>
                <w:szCs w:val="11"/>
                <w:b w:val="1"/>
                <w:bCs w:val="1"/>
                <w:color w:val="auto"/>
                <w:w w:val="90"/>
              </w:rPr>
              <w:t>Option</w:t>
            </w:r>
          </w:p>
        </w:tc>
        <w:tc>
          <w:tcPr>
            <w:tcW w:w="0" w:type="dxa"/>
            <w:vAlign w:val="bottom"/>
          </w:tcPr>
          <w:p>
            <w:pPr>
              <w:spacing w:after="0"/>
              <w:rPr>
                <w:sz w:val="1"/>
                <w:szCs w:val="1"/>
                <w:color w:val="auto"/>
              </w:rPr>
            </w:pPr>
          </w:p>
        </w:tc>
      </w:tr>
      <w:tr>
        <w:trPr>
          <w:trHeight w:val="147"/>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Threshold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Target</w:t>
            </w:r>
          </w:p>
        </w:tc>
        <w:tc>
          <w:tcPr>
            <w:tcW w:w="12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Maximum</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Threshold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9"/>
              </w:rPr>
              <w:t>Target</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Maximum</w:t>
            </w: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Name</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Date</w:t>
            </w:r>
          </w:p>
        </w:tc>
        <w:tc>
          <w:tcPr>
            <w:tcW w:w="12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28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24"/>
                <w:szCs w:val="24"/>
                <w:color w:val="auto"/>
              </w:rPr>
            </w:pPr>
          </w:p>
        </w:tc>
        <w:tc>
          <w:tcPr>
            <w:tcW w:w="660" w:type="dxa"/>
            <w:vAlign w:val="bottom"/>
          </w:tcPr>
          <w:p>
            <w:pPr>
              <w:jc w:val="right"/>
              <w:ind w:right="166"/>
              <w:spacing w:after="0"/>
              <w:rPr>
                <w:sz w:val="20"/>
                <w:szCs w:val="20"/>
                <w:color w:val="auto"/>
              </w:rPr>
            </w:pPr>
            <w:r>
              <w:rPr>
                <w:rFonts w:ascii="Arial" w:cs="Arial" w:eastAsia="Arial" w:hAnsi="Arial"/>
                <w:sz w:val="11"/>
                <w:szCs w:val="11"/>
                <w:b w:val="1"/>
                <w:bCs w:val="1"/>
                <w:color w:val="auto"/>
              </w:rPr>
              <w:t>(#)</w:t>
            </w:r>
          </w:p>
        </w:tc>
        <w:tc>
          <w:tcPr>
            <w:tcW w:w="880" w:type="dxa"/>
            <w:vAlign w:val="bottom"/>
            <w:gridSpan w:val="3"/>
          </w:tcPr>
          <w:p>
            <w:pPr>
              <w:jc w:val="center"/>
              <w:ind w:left="146"/>
              <w:spacing w:after="0"/>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26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6"/>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center"/>
              <w:ind w:right="106"/>
              <w:spacing w:after="0"/>
              <w:rPr>
                <w:sz w:val="20"/>
                <w:szCs w:val="20"/>
                <w:color w:val="auto"/>
              </w:rPr>
            </w:pPr>
            <w:r>
              <w:rPr>
                <w:rFonts w:ascii="Arial" w:cs="Arial" w:eastAsia="Arial" w:hAnsi="Arial"/>
                <w:sz w:val="11"/>
                <w:szCs w:val="11"/>
                <w:b w:val="1"/>
                <w:bCs w:val="1"/>
                <w:color w:val="auto"/>
                <w:w w:val="88"/>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ind w:right="126"/>
              <w:spacing w:after="0"/>
              <w:rPr>
                <w:sz w:val="20"/>
                <w:szCs w:val="20"/>
                <w:color w:val="auto"/>
              </w:rPr>
            </w:pPr>
            <w:r>
              <w:rPr>
                <w:rFonts w:ascii="Arial" w:cs="Arial" w:eastAsia="Arial" w:hAnsi="Arial"/>
                <w:sz w:val="11"/>
                <w:szCs w:val="11"/>
                <w:b w:val="1"/>
                <w:bCs w:val="1"/>
                <w:color w:val="auto"/>
                <w:w w:val="90"/>
              </w:rPr>
              <w:t>Awards(5)</w:t>
            </w:r>
          </w:p>
        </w:tc>
        <w:tc>
          <w:tcPr>
            <w:tcW w:w="0" w:type="dxa"/>
            <w:vAlign w:val="bottom"/>
          </w:tcPr>
          <w:p>
            <w:pPr>
              <w:spacing w:after="0"/>
              <w:rPr>
                <w:sz w:val="1"/>
                <w:szCs w:val="1"/>
                <w:color w:val="auto"/>
              </w:rPr>
            </w:pPr>
          </w:p>
        </w:tc>
      </w:tr>
      <w:tr>
        <w:trPr>
          <w:trHeight w:val="22"/>
        </w:trPr>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11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David J. Aldrich</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President and</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Chief Executive</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Officer</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11/9/2010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w w:val="95"/>
              </w:rPr>
              <w:t>318,500</w:t>
            </w:r>
          </w:p>
        </w:tc>
        <w:tc>
          <w:tcPr>
            <w:tcW w:w="360" w:type="dxa"/>
            <w:vAlign w:val="bottom"/>
            <w:tcBorders>
              <w:bottom w:val="single" w:sz="8" w:color="CCEEFF"/>
            </w:tcBorders>
            <w:gridSpan w:val="3"/>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637,000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1,401,400</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60,000</w:t>
            </w:r>
          </w:p>
        </w:tc>
        <w:tc>
          <w:tcPr>
            <w:tcW w:w="88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120,000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240,000</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165,000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23.80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4,332,137</w:t>
            </w:r>
          </w:p>
        </w:tc>
        <w:tc>
          <w:tcPr>
            <w:tcW w:w="0" w:type="dxa"/>
            <w:vAlign w:val="bottom"/>
          </w:tcPr>
          <w:p>
            <w:pPr>
              <w:spacing w:after="0"/>
              <w:rPr>
                <w:sz w:val="1"/>
                <w:szCs w:val="1"/>
                <w:color w:val="auto"/>
              </w:rPr>
            </w:pPr>
          </w:p>
        </w:tc>
      </w:tr>
      <w:tr>
        <w:trPr>
          <w:trHeight w:val="139"/>
        </w:trPr>
        <w:tc>
          <w:tcPr>
            <w:tcW w:w="1140" w:type="dxa"/>
            <w:vAlign w:val="bottom"/>
            <w:gridSpan w:val="2"/>
          </w:tcPr>
          <w:p>
            <w:pPr>
              <w:ind w:left="20"/>
              <w:spacing w:after="0"/>
              <w:rPr>
                <w:sz w:val="20"/>
                <w:szCs w:val="20"/>
                <w:color w:val="auto"/>
              </w:rPr>
            </w:pPr>
            <w:r>
              <w:rPr>
                <w:rFonts w:ascii="Arial" w:cs="Arial" w:eastAsia="Arial" w:hAnsi="Arial"/>
                <w:sz w:val="11"/>
                <w:szCs w:val="11"/>
                <w:color w:val="auto"/>
              </w:rPr>
              <w:t>Donald W. Palette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Vice President and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Chief Financial</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40" w:type="dxa"/>
            <w:vAlign w:val="bottom"/>
            <w:gridSpan w:val="2"/>
          </w:tcPr>
          <w:p>
            <w:pPr>
              <w:ind w:left="100"/>
              <w:spacing w:after="0"/>
              <w:rPr>
                <w:sz w:val="20"/>
                <w:szCs w:val="20"/>
                <w:color w:val="auto"/>
              </w:rPr>
            </w:pPr>
            <w:r>
              <w:rPr>
                <w:rFonts w:ascii="Arial" w:cs="Arial" w:eastAsia="Arial" w:hAnsi="Arial"/>
                <w:sz w:val="11"/>
                <w:szCs w:val="11"/>
                <w:color w:val="auto"/>
              </w:rPr>
              <w:t>Officer</w:t>
            </w:r>
          </w:p>
        </w:tc>
        <w:tc>
          <w:tcPr>
            <w:tcW w:w="800" w:type="dxa"/>
            <w:vAlign w:val="bottom"/>
          </w:tcPr>
          <w:p>
            <w:pPr>
              <w:jc w:val="center"/>
              <w:spacing w:after="0"/>
              <w:rPr>
                <w:sz w:val="20"/>
                <w:szCs w:val="20"/>
                <w:color w:val="auto"/>
              </w:rPr>
            </w:pPr>
            <w:r>
              <w:rPr>
                <w:rFonts w:ascii="Arial" w:cs="Arial" w:eastAsia="Arial" w:hAnsi="Arial"/>
                <w:sz w:val="11"/>
                <w:szCs w:val="11"/>
                <w:color w:val="auto"/>
                <w:w w:val="89"/>
              </w:rPr>
              <w:t>11/9/2010</w:t>
            </w: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ind w:left="220"/>
              <w:spacing w:after="0"/>
              <w:rPr>
                <w:sz w:val="20"/>
                <w:szCs w:val="20"/>
                <w:color w:val="auto"/>
              </w:rPr>
            </w:pPr>
            <w:r>
              <w:rPr>
                <w:rFonts w:ascii="Arial" w:cs="Arial" w:eastAsia="Arial" w:hAnsi="Arial"/>
                <w:sz w:val="11"/>
                <w:szCs w:val="11"/>
                <w:color w:val="auto"/>
                <w:w w:val="95"/>
              </w:rPr>
              <w:t>125,650</w:t>
            </w:r>
          </w:p>
        </w:tc>
        <w:tc>
          <w:tcPr>
            <w:tcW w:w="360" w:type="dxa"/>
            <w:vAlign w:val="bottom"/>
            <w:gridSpan w:val="3"/>
          </w:tcPr>
          <w:p>
            <w:pPr>
              <w:jc w:val="right"/>
              <w:ind w:right="26"/>
              <w:spacing w:after="0"/>
              <w:rPr>
                <w:sz w:val="20"/>
                <w:szCs w:val="20"/>
                <w:color w:val="auto"/>
              </w:rPr>
            </w:pPr>
            <w:r>
              <w:rPr>
                <w:rFonts w:ascii="Arial" w:cs="Arial" w:eastAsia="Arial" w:hAnsi="Arial"/>
                <w:sz w:val="11"/>
                <w:szCs w:val="11"/>
                <w:color w:val="auto"/>
              </w:rPr>
              <w:t>$</w:t>
            </w:r>
          </w:p>
        </w:tc>
        <w:tc>
          <w:tcPr>
            <w:tcW w:w="640" w:type="dxa"/>
            <w:vAlign w:val="bottom"/>
          </w:tcPr>
          <w:p>
            <w:pPr>
              <w:ind w:left="180"/>
              <w:spacing w:after="0"/>
              <w:rPr>
                <w:sz w:val="20"/>
                <w:szCs w:val="20"/>
                <w:color w:val="auto"/>
              </w:rPr>
            </w:pPr>
            <w:r>
              <w:rPr>
                <w:rFonts w:ascii="Arial" w:cs="Arial" w:eastAsia="Arial" w:hAnsi="Arial"/>
                <w:sz w:val="11"/>
                <w:szCs w:val="11"/>
                <w:color w:val="auto"/>
              </w:rPr>
              <w:t>251,300</w:t>
            </w: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502,600</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20,000</w:t>
            </w:r>
          </w:p>
        </w:tc>
        <w:tc>
          <w:tcPr>
            <w:tcW w:w="880" w:type="dxa"/>
            <w:vAlign w:val="bottom"/>
            <w:gridSpan w:val="3"/>
          </w:tcPr>
          <w:p>
            <w:pPr>
              <w:jc w:val="right"/>
              <w:ind w:right="66"/>
              <w:spacing w:after="0"/>
              <w:rPr>
                <w:sz w:val="20"/>
                <w:szCs w:val="20"/>
                <w:color w:val="auto"/>
              </w:rPr>
            </w:pPr>
            <w:r>
              <w:rPr>
                <w:rFonts w:ascii="Arial" w:cs="Arial" w:eastAsia="Arial" w:hAnsi="Arial"/>
                <w:sz w:val="11"/>
                <w:szCs w:val="11"/>
                <w:color w:val="auto"/>
              </w:rPr>
              <w:t>40,000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80,000</w:t>
            </w:r>
          </w:p>
        </w:tc>
        <w:tc>
          <w:tcPr>
            <w:tcW w:w="100" w:type="dxa"/>
            <w:vAlign w:val="bottom"/>
          </w:tcPr>
          <w:p>
            <w:pPr>
              <w:spacing w:after="0"/>
              <w:rPr>
                <w:sz w:val="11"/>
                <w:szCs w:val="11"/>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55,000</w:t>
            </w:r>
          </w:p>
        </w:tc>
        <w:tc>
          <w:tcPr>
            <w:tcW w:w="10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23.80</w:t>
            </w:r>
          </w:p>
        </w:tc>
        <w:tc>
          <w:tcPr>
            <w:tcW w:w="10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1,444,046</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Gregory L. Waters</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Executive Vice</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President and</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General Manager,</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Front-End</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Solutions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11/9/2010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w w:val="95"/>
              </w:rPr>
              <w:t>142,800</w:t>
            </w:r>
          </w:p>
        </w:tc>
        <w:tc>
          <w:tcPr>
            <w:tcW w:w="360" w:type="dxa"/>
            <w:vAlign w:val="bottom"/>
            <w:tcBorders>
              <w:bottom w:val="single" w:sz="8" w:color="CCEEFF"/>
            </w:tcBorders>
            <w:gridSpan w:val="3"/>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285,600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571,200</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20,000</w:t>
            </w:r>
          </w:p>
        </w:tc>
        <w:tc>
          <w:tcPr>
            <w:tcW w:w="88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40,000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80,000</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55,000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23.80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1,444,046</w:t>
            </w:r>
          </w:p>
        </w:tc>
        <w:tc>
          <w:tcPr>
            <w:tcW w:w="0" w:type="dxa"/>
            <w:vAlign w:val="bottom"/>
          </w:tcPr>
          <w:p>
            <w:pPr>
              <w:spacing w:after="0"/>
              <w:rPr>
                <w:sz w:val="1"/>
                <w:szCs w:val="1"/>
                <w:color w:val="auto"/>
              </w:rPr>
            </w:pPr>
          </w:p>
        </w:tc>
      </w:tr>
      <w:tr>
        <w:trPr>
          <w:trHeight w:val="139"/>
        </w:trPr>
        <w:tc>
          <w:tcPr>
            <w:tcW w:w="1140" w:type="dxa"/>
            <w:vAlign w:val="bottom"/>
            <w:gridSpan w:val="2"/>
          </w:tcPr>
          <w:p>
            <w:pPr>
              <w:ind w:left="40"/>
              <w:spacing w:after="0"/>
              <w:rPr>
                <w:sz w:val="20"/>
                <w:szCs w:val="20"/>
                <w:color w:val="auto"/>
              </w:rPr>
            </w:pPr>
            <w:r>
              <w:rPr>
                <w:rFonts w:ascii="Arial" w:cs="Arial" w:eastAsia="Arial" w:hAnsi="Arial"/>
                <w:sz w:val="11"/>
                <w:szCs w:val="11"/>
                <w:color w:val="auto"/>
              </w:rPr>
              <w:t>Liam K. Griffin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4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Executive Vice</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President and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General Manager,</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High Performance</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40" w:type="dxa"/>
            <w:vAlign w:val="bottom"/>
            <w:gridSpan w:val="2"/>
          </w:tcPr>
          <w:p>
            <w:pPr>
              <w:ind w:left="80"/>
              <w:spacing w:after="0"/>
              <w:rPr>
                <w:sz w:val="20"/>
                <w:szCs w:val="20"/>
                <w:color w:val="auto"/>
              </w:rPr>
            </w:pPr>
            <w:r>
              <w:rPr>
                <w:rFonts w:ascii="Arial" w:cs="Arial" w:eastAsia="Arial" w:hAnsi="Arial"/>
                <w:sz w:val="11"/>
                <w:szCs w:val="11"/>
                <w:color w:val="auto"/>
              </w:rPr>
              <w:t>Analog</w:t>
            </w:r>
          </w:p>
        </w:tc>
        <w:tc>
          <w:tcPr>
            <w:tcW w:w="800" w:type="dxa"/>
            <w:vAlign w:val="bottom"/>
          </w:tcPr>
          <w:p>
            <w:pPr>
              <w:jc w:val="center"/>
              <w:spacing w:after="0"/>
              <w:rPr>
                <w:sz w:val="20"/>
                <w:szCs w:val="20"/>
                <w:color w:val="auto"/>
              </w:rPr>
            </w:pPr>
            <w:r>
              <w:rPr>
                <w:rFonts w:ascii="Arial" w:cs="Arial" w:eastAsia="Arial" w:hAnsi="Arial"/>
                <w:sz w:val="11"/>
                <w:szCs w:val="11"/>
                <w:color w:val="auto"/>
                <w:w w:val="89"/>
              </w:rPr>
              <w:t>11/9/2010</w:t>
            </w: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ind w:left="220"/>
              <w:spacing w:after="0"/>
              <w:rPr>
                <w:sz w:val="20"/>
                <w:szCs w:val="20"/>
                <w:color w:val="auto"/>
              </w:rPr>
            </w:pPr>
            <w:r>
              <w:rPr>
                <w:rFonts w:ascii="Arial" w:cs="Arial" w:eastAsia="Arial" w:hAnsi="Arial"/>
                <w:sz w:val="11"/>
                <w:szCs w:val="11"/>
                <w:color w:val="auto"/>
                <w:w w:val="95"/>
              </w:rPr>
              <w:t>133,000</w:t>
            </w:r>
          </w:p>
        </w:tc>
        <w:tc>
          <w:tcPr>
            <w:tcW w:w="360" w:type="dxa"/>
            <w:vAlign w:val="bottom"/>
            <w:gridSpan w:val="3"/>
          </w:tcPr>
          <w:p>
            <w:pPr>
              <w:jc w:val="right"/>
              <w:ind w:right="26"/>
              <w:spacing w:after="0"/>
              <w:rPr>
                <w:sz w:val="20"/>
                <w:szCs w:val="20"/>
                <w:color w:val="auto"/>
              </w:rPr>
            </w:pPr>
            <w:r>
              <w:rPr>
                <w:rFonts w:ascii="Arial" w:cs="Arial" w:eastAsia="Arial" w:hAnsi="Arial"/>
                <w:sz w:val="11"/>
                <w:szCs w:val="11"/>
                <w:color w:val="auto"/>
              </w:rPr>
              <w:t>$</w:t>
            </w:r>
          </w:p>
        </w:tc>
        <w:tc>
          <w:tcPr>
            <w:tcW w:w="640" w:type="dxa"/>
            <w:vAlign w:val="bottom"/>
          </w:tcPr>
          <w:p>
            <w:pPr>
              <w:ind w:left="180"/>
              <w:spacing w:after="0"/>
              <w:rPr>
                <w:sz w:val="20"/>
                <w:szCs w:val="20"/>
                <w:color w:val="auto"/>
              </w:rPr>
            </w:pPr>
            <w:r>
              <w:rPr>
                <w:rFonts w:ascii="Arial" w:cs="Arial" w:eastAsia="Arial" w:hAnsi="Arial"/>
                <w:sz w:val="11"/>
                <w:szCs w:val="11"/>
                <w:color w:val="auto"/>
              </w:rPr>
              <w:t>266,000</w:t>
            </w: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532,000</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20,000</w:t>
            </w:r>
          </w:p>
        </w:tc>
        <w:tc>
          <w:tcPr>
            <w:tcW w:w="880" w:type="dxa"/>
            <w:vAlign w:val="bottom"/>
            <w:gridSpan w:val="3"/>
          </w:tcPr>
          <w:p>
            <w:pPr>
              <w:jc w:val="right"/>
              <w:ind w:right="66"/>
              <w:spacing w:after="0"/>
              <w:rPr>
                <w:sz w:val="20"/>
                <w:szCs w:val="20"/>
                <w:color w:val="auto"/>
              </w:rPr>
            </w:pPr>
            <w:r>
              <w:rPr>
                <w:rFonts w:ascii="Arial" w:cs="Arial" w:eastAsia="Arial" w:hAnsi="Arial"/>
                <w:sz w:val="11"/>
                <w:szCs w:val="11"/>
                <w:color w:val="auto"/>
              </w:rPr>
              <w:t>40,000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80,000</w:t>
            </w:r>
          </w:p>
        </w:tc>
        <w:tc>
          <w:tcPr>
            <w:tcW w:w="100" w:type="dxa"/>
            <w:vAlign w:val="bottom"/>
          </w:tcPr>
          <w:p>
            <w:pPr>
              <w:spacing w:after="0"/>
              <w:rPr>
                <w:sz w:val="11"/>
                <w:szCs w:val="11"/>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55,000</w:t>
            </w:r>
          </w:p>
        </w:tc>
        <w:tc>
          <w:tcPr>
            <w:tcW w:w="10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23.80</w:t>
            </w:r>
          </w:p>
        </w:tc>
        <w:tc>
          <w:tcPr>
            <w:tcW w:w="10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1,444,046</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Bruce J. Freyman</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Senior Vice</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President,</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Worldwide</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Operations</w:t>
            </w:r>
          </w:p>
        </w:tc>
        <w:tc>
          <w:tcPr>
            <w:tcW w:w="8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11/9/2010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1"/>
                <w:szCs w:val="11"/>
                <w:color w:val="auto"/>
                <w:w w:val="95"/>
              </w:rPr>
              <w:t>129,500</w:t>
            </w:r>
          </w:p>
        </w:tc>
        <w:tc>
          <w:tcPr>
            <w:tcW w:w="360" w:type="dxa"/>
            <w:vAlign w:val="bottom"/>
            <w:gridSpan w:val="3"/>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259,000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518,000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w:t>
            </w:r>
          </w:p>
        </w:tc>
        <w:tc>
          <w:tcPr>
            <w:tcW w:w="880" w:type="dxa"/>
            <w:vAlign w:val="bottom"/>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40,000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80,000</w:t>
            </w: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55,000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23.80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1,444,046</w:t>
            </w:r>
          </w:p>
        </w:tc>
        <w:tc>
          <w:tcPr>
            <w:tcW w:w="0" w:type="dxa"/>
            <w:vAlign w:val="bottom"/>
          </w:tcPr>
          <w:p>
            <w:pPr>
              <w:spacing w:after="0"/>
              <w:rPr>
                <w:sz w:val="1"/>
                <w:szCs w:val="1"/>
                <w:color w:val="auto"/>
              </w:rPr>
            </w:pPr>
          </w:p>
        </w:tc>
      </w:tr>
      <w:tr>
        <w:trPr>
          <w:trHeight w:val="22"/>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jc w:val="both"/>
        <w:ind w:left="300" w:hanging="292"/>
        <w:spacing w:after="0" w:line="292" w:lineRule="auto"/>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Actual performance between the Threshold and Target metrics are paid on a linear sliding scale beginning at the Threshold percentage and moving up to the Target percentage. The same linear scale applies for performance between Target and Maximum metrics. The amounts actually paid to the Named Executive Officers under the Incentive Plan are shown above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above under </w:t>
      </w:r>
      <w:r>
        <w:rPr>
          <w:rFonts w:ascii="Arial" w:cs="Arial" w:eastAsia="Arial" w:hAnsi="Arial"/>
          <w:sz w:val="16"/>
          <w:szCs w:val="16"/>
          <w:i w:val="1"/>
          <w:iCs w:val="1"/>
          <w:color w:val="auto"/>
        </w:rPr>
        <w:t>“Non-Equity Incentive Plan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For fiscal year 2011, the portion of the Incentive Plan payment attributable to Company performance above the Target level for both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and second half of the fiscal year was paid to the Named Executive Officers in the form of unrestricted common stock of the Company.</w:t>
      </w:r>
    </w:p>
    <w:p>
      <w:pPr>
        <w:spacing w:after="0" w:line="162" w:lineRule="exact"/>
        <w:rPr>
          <w:rFonts w:ascii="Arial" w:cs="Arial" w:eastAsia="Arial" w:hAnsi="Arial"/>
          <w:sz w:val="16"/>
          <w:szCs w:val="16"/>
          <w:color w:val="auto"/>
        </w:rPr>
      </w:pPr>
    </w:p>
    <w:p>
      <w:pPr>
        <w:jc w:val="both"/>
        <w:ind w:left="300" w:hanging="292"/>
        <w:spacing w:after="0" w:line="268" w:lineRule="auto"/>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performance share awards made on November 9, 2010, under the Company’s 2005 Long-Term Incentive Plan (the “FY11 PSA”). The FY11 PSAs have both “performance” and “continued employment” conditions that must be met in order for the executive to receive shares underlying the award. The “performance” condition required that the Company achieve certain pre-established non-GAAP gross margin metrics (i.e., “minimum,” “target” and “maximum” non-GAAP gross margin levels), with the “minimum” number of shares equal to one-half (1/2) the “target” share level, and the “maximum” number of shares equal to two times (2x) the “target” share level. For purposes of the FY11 PSAs, the “non-GAAP gross margin” meant the Company’s non-GAAP gross margin for fiscal year 2011 as reported publicly by the Company following the fiscal year end. Actual Company performance between the “minimum” and the “maximum” performance metrics was to be determined based on a linear sliding scale. The “continued employment” condition of the FY11 PSAs provides that, to the extent that the non-GAAP gross margin performance metric is met for the fiscal year, then one-third (33%) of the total shares for which the performance metric was met would be issuable to the executive on the first anniversary of the grant date, the next one-third (33%) of such shares would be issuable to the executive on the second anniversary of the grant date (the “Second Issuance Date”), and the final one-third (33%) of such shares would be issuable to the executive on the third anniversary of the grant date (the “Third Issuance Date”), provided that the executive continues employment with the Company through each such vesting date(s). In the event of termination by reason of death or permanent disability, the holder of an FY11 PSA (or his or her estate) would receive any shares that would have been issuable thereunder during the remaining term of the award (i.e., earned but unissued shares).</w:t>
      </w:r>
    </w:p>
    <w:p>
      <w:pPr>
        <w:spacing w:after="0" w:line="185" w:lineRule="exact"/>
        <w:rPr>
          <w:rFonts w:ascii="Arial" w:cs="Arial" w:eastAsia="Arial" w:hAnsi="Arial"/>
          <w:sz w:val="17"/>
          <w:szCs w:val="17"/>
          <w:color w:val="auto"/>
        </w:rPr>
      </w:pPr>
    </w:p>
    <w:p>
      <w:pPr>
        <w:jc w:val="both"/>
        <w:ind w:left="300" w:hanging="292"/>
        <w:spacing w:after="0" w:line="259"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options vest over four years at a rate of 25% per year commencing one year after the date of grant, provided the executive remains employed by the Company. Options may not be exercised beyond three months after the executive ceases to be employed by the Company, except in the event of termination by reason of death or permanent disability, in which event the option may be exercised for specific periods not exceeding one year following termination.</w:t>
      </w:r>
    </w:p>
    <w:p>
      <w:pPr>
        <w:spacing w:after="0" w:line="186"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 options awarded to executive officers had an exercise price equal to the closing price of the Company’s common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4" w:name="page15"/>
    <w:bookmarkEnd w:id="14"/>
    <w:p>
      <w:pPr>
        <w:ind w:left="300"/>
        <w:spacing w:after="0"/>
        <w:rPr>
          <w:sz w:val="20"/>
          <w:szCs w:val="20"/>
          <w:color w:val="auto"/>
        </w:rPr>
      </w:pPr>
      <w:r>
        <w:rPr>
          <w:rFonts w:ascii="Arial" w:cs="Arial" w:eastAsia="Arial" w:hAnsi="Arial"/>
          <w:sz w:val="18"/>
          <w:szCs w:val="18"/>
          <w:color w:val="auto"/>
        </w:rPr>
        <w:t>on the grant date.</w:t>
      </w:r>
    </w:p>
    <w:p>
      <w:pPr>
        <w:spacing w:after="0" w:line="239" w:lineRule="exact"/>
        <w:rPr>
          <w:sz w:val="20"/>
          <w:szCs w:val="20"/>
          <w:color w:val="auto"/>
        </w:rPr>
      </w:pPr>
    </w:p>
    <w:p>
      <w:pPr>
        <w:ind w:left="300" w:hanging="292"/>
        <w:spacing w:after="0" w:line="277"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reflects the grant date fair values of stock options and performance share awards granted on November 9, 2010, computed in accordance ASC 718.</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Outstanding Equity Awards at Fiscal Year End Table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the unvested stock awards and all stock options held by the Named Executive Officers as of the end of fiscal year 2011.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80" w:type="dxa"/>
            <w:vAlign w:val="bottom"/>
            <w:gridSpan w:val="3"/>
          </w:tcPr>
          <w:p>
            <w:pPr>
              <w:ind w:left="100"/>
              <w:spacing w:after="0"/>
              <w:rPr>
                <w:sz w:val="20"/>
                <w:szCs w:val="20"/>
                <w:color w:val="auto"/>
              </w:rPr>
            </w:pPr>
            <w:r>
              <w:rPr>
                <w:rFonts w:ascii="Arial" w:cs="Arial" w:eastAsia="Arial" w:hAnsi="Arial"/>
                <w:sz w:val="11"/>
                <w:szCs w:val="11"/>
                <w:b w:val="1"/>
                <w:bCs w:val="1"/>
                <w:color w:val="auto"/>
              </w:rPr>
              <w:t>Option Awards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ind w:left="80"/>
              <w:spacing w:after="0"/>
              <w:rPr>
                <w:sz w:val="20"/>
                <w:szCs w:val="20"/>
                <w:color w:val="auto"/>
              </w:rPr>
            </w:pPr>
            <w:r>
              <w:rPr>
                <w:rFonts w:ascii="Arial" w:cs="Arial" w:eastAsia="Arial" w:hAnsi="Arial"/>
                <w:sz w:val="11"/>
                <w:szCs w:val="11"/>
                <w:b w:val="1"/>
                <w:bCs w:val="1"/>
                <w:color w:val="auto"/>
              </w:rPr>
              <w:t>Stock Awards</w:t>
            </w:r>
          </w:p>
        </w:tc>
        <w:tc>
          <w:tcPr>
            <w:tcW w:w="1240" w:type="dxa"/>
            <w:vAlign w:val="bottom"/>
          </w:tcPr>
          <w:p>
            <w:pPr>
              <w:spacing w:after="0"/>
              <w:rPr>
                <w:sz w:val="12"/>
                <w:szCs w:val="12"/>
                <w:color w:val="auto"/>
              </w:rPr>
            </w:pPr>
          </w:p>
        </w:tc>
      </w:tr>
      <w:tr>
        <w:trPr>
          <w:trHeight w:val="22"/>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2"/>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Equity</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5"/>
              </w:rPr>
              <w:t>Equity</w:t>
            </w: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Incentive</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Number</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Market</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Equity</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1"/>
              </w:rPr>
              <w:t>Incentive Plan</w:t>
            </w: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Plan Awards:</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of Shares</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Value of</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Incentive Plan</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2"/>
              </w:rPr>
              <w:t>Awards:</w:t>
            </w: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Number of</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Number of</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or Units</w:t>
            </w: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Shares or</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Awards:</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6"/>
              </w:rPr>
              <w:t>Market or</w:t>
            </w: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Securities</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83"/>
              </w:rPr>
              <w:t>Securities</w:t>
            </w: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Securities</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of Stock</w:t>
            </w: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Units of</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Number of</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6"/>
              </w:rPr>
              <w:t>Payout Value</w:t>
            </w: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Underlying</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90"/>
              </w:rPr>
              <w:t>Underlying</w:t>
            </w: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Underlying</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That</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Stock</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Unearned</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7"/>
              </w:rPr>
              <w:t>of Unearned</w:t>
            </w: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Unexercised</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85"/>
              </w:rPr>
              <w:t>Unexercised</w:t>
            </w: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Unexercised</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Option</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Have</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That</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 Units or</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7"/>
              </w:rPr>
              <w:t>Shares, Units or</w:t>
            </w: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Options</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86"/>
              </w:rPr>
              <w:t>Options</w:t>
            </w: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Unearned</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Exercise</w:t>
            </w: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Option</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Not</w:t>
            </w: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Have Not</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Other Rights That</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0"/>
              </w:rPr>
              <w:t>Other Rights That</w:t>
            </w: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Options</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Price</w:t>
            </w: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Expiration</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Vested</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Vested</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Have Not Vested</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7"/>
              </w:rPr>
              <w:t>Have Not Vested</w:t>
            </w:r>
          </w:p>
        </w:tc>
      </w:tr>
      <w:tr>
        <w:trPr>
          <w:trHeight w:val="270"/>
        </w:trPr>
        <w:tc>
          <w:tcPr>
            <w:tcW w:w="1840" w:type="dxa"/>
            <w:vAlign w:val="bottom"/>
            <w:gridSpan w:val="2"/>
          </w:tcPr>
          <w:p>
            <w:pPr>
              <w:ind w:left="40"/>
              <w:spacing w:after="0"/>
              <w:rPr>
                <w:sz w:val="20"/>
                <w:szCs w:val="20"/>
                <w:color w:val="auto"/>
              </w:rPr>
            </w:pPr>
            <w:r>
              <w:rPr>
                <w:rFonts w:ascii="Arial" w:cs="Arial" w:eastAsia="Arial" w:hAnsi="Arial"/>
                <w:sz w:val="11"/>
                <w:szCs w:val="11"/>
                <w:b w:val="1"/>
                <w:bCs w:val="1"/>
                <w:color w:val="auto"/>
              </w:rPr>
              <w:t>Name</w:t>
            </w:r>
          </w:p>
        </w:tc>
        <w:tc>
          <w:tcPr>
            <w:tcW w:w="10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Exercisable</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85"/>
              </w:rPr>
              <w:t>Unexercisable</w:t>
            </w:r>
          </w:p>
        </w:tc>
        <w:tc>
          <w:tcPr>
            <w:tcW w:w="1160" w:type="dxa"/>
            <w:vAlign w:val="bottom"/>
            <w:gridSpan w:val="2"/>
          </w:tcPr>
          <w:p>
            <w:pPr>
              <w:jc w:val="center"/>
              <w:ind w:left="66"/>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23"/>
                <w:szCs w:val="2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6"/>
              </w:rPr>
              <w:t>(#)(1)</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9"/>
              </w:rPr>
              <w:t>($)(2)</w:t>
            </w:r>
          </w:p>
        </w:tc>
      </w:tr>
      <w:tr>
        <w:trPr>
          <w:trHeight w:val="22"/>
        </w:trPr>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52" w:right="239" w:bottom="1054" w:gutter="0" w:footer="0" w:header="0"/>
        </w:sectPr>
      </w:pPr>
    </w:p>
    <w:p>
      <w:pPr>
        <w:spacing w:after="0" w:line="8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David J. Aldrich</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President and Chief</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Donald W. Palette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Vice President and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right="120" w:hanging="107"/>
        <w:spacing w:after="0" w:line="512" w:lineRule="auto"/>
        <w:rPr>
          <w:sz w:val="20"/>
          <w:szCs w:val="20"/>
          <w:color w:val="auto"/>
        </w:rPr>
      </w:pPr>
      <w:r>
        <w:rPr>
          <w:rFonts w:ascii="Arial" w:cs="Arial" w:eastAsia="Arial" w:hAnsi="Arial"/>
          <w:sz w:val="11"/>
          <w:szCs w:val="11"/>
          <w:color w:val="auto"/>
        </w:rPr>
        <w:t>Gregory L. Waters Executive Vice President</w:t>
      </w:r>
    </w:p>
    <w:p>
      <w:pPr>
        <w:spacing w:after="0" w:line="1" w:lineRule="exact"/>
        <w:rPr>
          <w:sz w:val="20"/>
          <w:szCs w:val="20"/>
          <w:color w:val="auto"/>
        </w:rPr>
      </w:pPr>
    </w:p>
    <w:p>
      <w:pPr>
        <w:ind w:left="120" w:right="240"/>
        <w:spacing w:after="0" w:line="576" w:lineRule="auto"/>
        <w:rPr>
          <w:sz w:val="20"/>
          <w:szCs w:val="20"/>
          <w:color w:val="auto"/>
        </w:rPr>
      </w:pPr>
      <w:r>
        <w:rPr>
          <w:rFonts w:ascii="Arial" w:cs="Arial" w:eastAsia="Arial" w:hAnsi="Arial"/>
          <w:sz w:val="11"/>
          <w:szCs w:val="11"/>
          <w:color w:val="auto"/>
        </w:rPr>
        <w:t>And General Manager, Front-End Solutions</w:t>
      </w:r>
    </w:p>
    <w:p>
      <w:pPr>
        <w:spacing w:after="0" w:line="203" w:lineRule="exact"/>
        <w:rPr>
          <w:sz w:val="20"/>
          <w:szCs w:val="20"/>
          <w:color w:val="auto"/>
        </w:rPr>
      </w:pPr>
    </w:p>
    <w:p>
      <w:pPr>
        <w:ind w:left="40" w:right="220" w:hanging="12"/>
        <w:spacing w:after="0" w:line="499" w:lineRule="auto"/>
        <w:rPr>
          <w:sz w:val="20"/>
          <w:szCs w:val="20"/>
          <w:color w:val="auto"/>
        </w:rPr>
      </w:pPr>
      <w:r>
        <w:rPr>
          <w:rFonts w:ascii="Arial" w:cs="Arial" w:eastAsia="Arial" w:hAnsi="Arial"/>
          <w:sz w:val="11"/>
          <w:szCs w:val="11"/>
          <w:color w:val="auto"/>
        </w:rPr>
        <w:t>Liam K. Griffin Executive Vice President</w:t>
      </w:r>
    </w:p>
    <w:p>
      <w:pPr>
        <w:spacing w:after="0" w:line="14" w:lineRule="exact"/>
        <w:rPr>
          <w:sz w:val="20"/>
          <w:szCs w:val="20"/>
          <w:color w:val="auto"/>
        </w:rPr>
      </w:pPr>
    </w:p>
    <w:p>
      <w:pPr>
        <w:ind w:left="120" w:right="60"/>
        <w:spacing w:after="0" w:line="422" w:lineRule="auto"/>
        <w:rPr>
          <w:sz w:val="20"/>
          <w:szCs w:val="20"/>
          <w:color w:val="auto"/>
        </w:rPr>
      </w:pPr>
      <w:r>
        <w:rPr>
          <w:rFonts w:ascii="Arial" w:cs="Arial" w:eastAsia="Arial" w:hAnsi="Arial"/>
          <w:sz w:val="11"/>
          <w:szCs w:val="11"/>
          <w:color w:val="auto"/>
        </w:rPr>
        <w:t>And General Manager, High Performance Analog</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3"/>
          <w:szCs w:val="13"/>
          <w:color w:val="auto"/>
        </w:rPr>
        <w:t>Bruce J. Freyman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Senior Vice President,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Worldwide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50,000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0</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12.65</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4/25/2012</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3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tcPr>
          <w:p>
            <w:pPr>
              <w:ind w:lef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530,833</w:t>
            </w:r>
          </w:p>
        </w:tc>
        <w:tc>
          <w:tcPr>
            <w:tcW w:w="4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9,533,761</w:t>
            </w:r>
          </w:p>
        </w:tc>
        <w:tc>
          <w:tcPr>
            <w:tcW w:w="0" w:type="dxa"/>
            <w:vAlign w:val="bottom"/>
          </w:tcPr>
          <w:p>
            <w:pPr>
              <w:spacing w:after="0"/>
              <w:rPr>
                <w:sz w:val="1"/>
                <w:szCs w:val="1"/>
                <w:color w:val="auto"/>
              </w:rPr>
            </w:pPr>
          </w:p>
        </w:tc>
      </w:tr>
      <w:tr>
        <w:trPr>
          <w:trHeight w:val="189"/>
        </w:trPr>
        <w:tc>
          <w:tcPr>
            <w:tcW w:w="760" w:type="dxa"/>
            <w:vAlign w:val="bottom"/>
          </w:tcPr>
          <w:p>
            <w:pPr>
              <w:jc w:val="right"/>
              <w:ind w:right="277"/>
              <w:spacing w:after="0"/>
              <w:rPr>
                <w:sz w:val="20"/>
                <w:szCs w:val="20"/>
                <w:color w:val="auto"/>
              </w:rPr>
            </w:pPr>
            <w:r>
              <w:rPr>
                <w:rFonts w:ascii="Arial" w:cs="Arial" w:eastAsia="Arial" w:hAnsi="Arial"/>
                <w:sz w:val="13"/>
                <w:szCs w:val="13"/>
                <w:color w:val="auto"/>
                <w:w w:val="85"/>
              </w:rPr>
              <w:t>135,000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0</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9.18</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1/7/2014</w:t>
            </w: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w w:val="85"/>
              </w:rPr>
              <w:t>274,254</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0</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8.93</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11/10/2014</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70,000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0</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6.73</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11/7/2013</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w w:val="85"/>
              </w:rPr>
              <w:t>135,000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45,000(3)</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9.33</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11/6/2014</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w w:val="85"/>
              </w:rPr>
              <w:t>150,000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150,000(4)</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7.18</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11/4/2015</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62,500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187,500(5)</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12.07</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11/10/2016</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165,000(6)</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23.80</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11/9/2017</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1"/>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50,000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0</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7.50</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8/20/2014</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3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tcPr>
          <w:p>
            <w:pPr>
              <w:ind w:lef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142,967</w:t>
            </w:r>
          </w:p>
        </w:tc>
        <w:tc>
          <w:tcPr>
            <w:tcW w:w="4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2,567,687</w:t>
            </w: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5,000(3)</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9.33</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11/6/2014</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45,000(4)</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7.18</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11/4/2015</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20,000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60,000(5)</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12.07</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11/10/2016</w:t>
            </w: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55,000(6)</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23.80</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11/9/2017</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1"/>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12,500(3)</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9.33</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11/6/2014</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3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tcPr>
          <w:p>
            <w:pPr>
              <w:ind w:lef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148,662</w:t>
            </w:r>
          </w:p>
        </w:tc>
        <w:tc>
          <w:tcPr>
            <w:tcW w:w="4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2,669,970</w:t>
            </w:r>
          </w:p>
        </w:tc>
        <w:tc>
          <w:tcPr>
            <w:tcW w:w="0" w:type="dxa"/>
            <w:vAlign w:val="bottom"/>
          </w:tcPr>
          <w:p>
            <w:pPr>
              <w:spacing w:after="0"/>
              <w:rPr>
                <w:sz w:val="1"/>
                <w:szCs w:val="1"/>
                <w:color w:val="auto"/>
              </w:rPr>
            </w:pPr>
          </w:p>
        </w:tc>
      </w:tr>
      <w:tr>
        <w:trPr>
          <w:trHeight w:val="189"/>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50,000(4)</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7.18</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11/4/2015</w:t>
            </w: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60,000(5)</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12.07</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11/10/2016</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55,000(6)</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23.80</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11/9/2017</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1"/>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12,500(3)</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9.33</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11/6/2014</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3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tcPr>
          <w:p>
            <w:pPr>
              <w:ind w:lef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178,662</w:t>
            </w:r>
          </w:p>
        </w:tc>
        <w:tc>
          <w:tcPr>
            <w:tcW w:w="4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3,208,770</w:t>
            </w:r>
          </w:p>
        </w:tc>
        <w:tc>
          <w:tcPr>
            <w:tcW w:w="0" w:type="dxa"/>
            <w:vAlign w:val="bottom"/>
          </w:tcPr>
          <w:p>
            <w:pPr>
              <w:spacing w:after="0"/>
              <w:rPr>
                <w:sz w:val="1"/>
                <w:szCs w:val="1"/>
                <w:color w:val="auto"/>
              </w:rPr>
            </w:pPr>
          </w:p>
        </w:tc>
      </w:tr>
      <w:tr>
        <w:trPr>
          <w:trHeight w:val="189"/>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50,000(4)</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7.18</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11/4/2015</w:t>
            </w: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60,000(5)</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12.07</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11/10/2016</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55,000(6)</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23.80</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11/9/2017</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33,750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11,250(3)</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9.33</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11/6/2014</w:t>
            </w: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color w:val="auto"/>
              </w:rPr>
              <w:t>0</w:t>
            </w:r>
          </w:p>
        </w:tc>
        <w:tc>
          <w:tcPr>
            <w:tcW w:w="38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ind w:left="220"/>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57"/>
              <w:spacing w:after="0"/>
              <w:rPr>
                <w:sz w:val="20"/>
                <w:szCs w:val="20"/>
                <w:color w:val="auto"/>
              </w:rPr>
            </w:pPr>
            <w:r>
              <w:rPr>
                <w:rFonts w:ascii="Arial" w:cs="Arial" w:eastAsia="Arial" w:hAnsi="Arial"/>
                <w:sz w:val="13"/>
                <w:szCs w:val="13"/>
                <w:color w:val="auto"/>
              </w:rPr>
              <w:t>146,507</w:t>
            </w:r>
          </w:p>
        </w:tc>
        <w:tc>
          <w:tcPr>
            <w:tcW w:w="46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2,631,266</w:t>
            </w: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45,000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45,000(4)</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7.18</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11/4/2015</w:t>
            </w: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18,750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56,250(5)</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12.07</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11/10/2016</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tcPr>
          <w:p>
            <w:pPr>
              <w:jc w:val="right"/>
              <w:ind w:right="277"/>
              <w:spacing w:after="0"/>
              <w:rPr>
                <w:sz w:val="20"/>
                <w:szCs w:val="20"/>
                <w:color w:val="auto"/>
              </w:rPr>
            </w:pPr>
            <w:r>
              <w:rPr>
                <w:rFonts w:ascii="Arial" w:cs="Arial" w:eastAsia="Arial" w:hAnsi="Arial"/>
                <w:sz w:val="13"/>
                <w:szCs w:val="13"/>
                <w:color w:val="auto"/>
              </w:rPr>
              <w:t>0</w:t>
            </w:r>
          </w:p>
        </w:tc>
        <w:tc>
          <w:tcPr>
            <w:tcW w:w="1460" w:type="dxa"/>
            <w:vAlign w:val="bottom"/>
          </w:tcPr>
          <w:p>
            <w:pPr>
              <w:jc w:val="right"/>
              <w:ind w:right="477"/>
              <w:spacing w:after="0"/>
              <w:rPr>
                <w:sz w:val="20"/>
                <w:szCs w:val="20"/>
                <w:color w:val="auto"/>
              </w:rPr>
            </w:pPr>
            <w:r>
              <w:rPr>
                <w:rFonts w:ascii="Arial" w:cs="Arial" w:eastAsia="Arial" w:hAnsi="Arial"/>
                <w:sz w:val="13"/>
                <w:szCs w:val="13"/>
                <w:color w:val="auto"/>
              </w:rPr>
              <w:t>55,000(6)</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23.80</w:t>
            </w: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11/9/2017</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-4568825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-4225925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-3882390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-3539490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-3196590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-2853690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-2510790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-2167255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-1824355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-1481455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-1138555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-795020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-452120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-109220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89" w:lineRule="exact"/>
        <w:rPr>
          <w:sz w:val="20"/>
          <w:szCs w:val="20"/>
          <w:color w:val="auto"/>
        </w:rPr>
      </w:pPr>
    </w:p>
    <w:p>
      <w:pPr>
        <w:sectPr>
          <w:pgSz w:w="11900" w:h="16838" w:orient="portrait"/>
          <w:cols w:equalWidth="0" w:num="2">
            <w:col w:w="1520" w:space="720"/>
            <w:col w:w="9180"/>
          </w:cols>
          <w:pgMar w:left="240" w:top="152" w:right="239" w:bottom="1054" w:gutter="0" w:footer="0" w:header="0"/>
          <w:type w:val="continuous"/>
        </w:sectPr>
      </w:pPr>
    </w:p>
    <w:p>
      <w:pPr>
        <w:spacing w:after="0" w:line="25" w:lineRule="exact"/>
        <w:rPr>
          <w:sz w:val="20"/>
          <w:szCs w:val="20"/>
          <w:color w:val="auto"/>
        </w:rPr>
      </w:pPr>
    </w:p>
    <w:p>
      <w:pPr>
        <w:jc w:val="both"/>
        <w:ind w:left="300" w:hanging="292"/>
        <w:spacing w:after="0" w:line="272" w:lineRule="auto"/>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Reflects the FY11 PSAs (awarded on November 9, 2010, as described in footnote 2 of the “</w:t>
      </w:r>
      <w:r>
        <w:rPr>
          <w:rFonts w:ascii="Arial" w:cs="Arial" w:eastAsia="Arial" w:hAnsi="Arial"/>
          <w:sz w:val="17"/>
          <w:szCs w:val="17"/>
          <w:i w:val="1"/>
          <w:iCs w:val="1"/>
          <w:color w:val="auto"/>
        </w:rPr>
        <w:t>Grants of Plan-Based Awards Table”</w:t>
      </w:r>
      <w:r>
        <w:rPr>
          <w:rFonts w:ascii="Arial" w:cs="Arial" w:eastAsia="Arial" w:hAnsi="Arial"/>
          <w:sz w:val="17"/>
          <w:szCs w:val="17"/>
          <w:color w:val="auto"/>
        </w:rPr>
        <w:t xml:space="preserve"> above) at the “target” level, as well as two-thirds (66%) of the FY10 PSAs (awarded on November 10, 2009), one third (33%) of the FY09 PSAs (awarded on November 4, 2008), and fifty-percent (50%) of the 2009 Replacement PSAs (awarded June 10, 2009) at “actual” shares earned. Other than having a “non-GAAP operating margin” performance metric applicable for fiscal years 2009 and 2010 – instead of a “non-GAAP gross margin” performance metric for fiscal year 2011 -- the FY10 and FY09 PSAs have the same terms and conditions as the FY11 PSAs described in footnote 2 of the “</w:t>
      </w:r>
      <w:r>
        <w:rPr>
          <w:rFonts w:ascii="Arial" w:cs="Arial" w:eastAsia="Arial" w:hAnsi="Arial"/>
          <w:sz w:val="17"/>
          <w:szCs w:val="17"/>
          <w:i w:val="1"/>
          <w:iCs w:val="1"/>
          <w:color w:val="auto"/>
        </w:rPr>
        <w:t>Grants of Plan-Based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Awards Table” </w:t>
      </w:r>
      <w:r>
        <w:rPr>
          <w:rFonts w:ascii="Arial" w:cs="Arial" w:eastAsia="Arial" w:hAnsi="Arial"/>
          <w:sz w:val="17"/>
          <w:szCs w:val="17"/>
          <w:color w:val="auto"/>
        </w:rPr>
        <w:t>above. With respect to the FY11 PSAs, the Company achieved 89.3% of the “maximum” level based on the Company's reported non-GAAP gross margin for fiscal year 2011 and, accordingly, on November 10, 2011, the Company</w:t>
      </w:r>
    </w:p>
    <w:p>
      <w:pPr>
        <w:sectPr>
          <w:pgSz w:w="11900" w:h="16838" w:orient="portrait"/>
          <w:cols w:equalWidth="0" w:num="1">
            <w:col w:w="11420"/>
          </w:cols>
          <w:pgMar w:left="240" w:top="152" w:right="239" w:bottom="1054" w:gutter="0" w:footer="0" w:header="0"/>
          <w:type w:val="continuous"/>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52" w:right="239" w:bottom="1054" w:gutter="0" w:footer="0" w:header="0"/>
          <w:type w:val="continuous"/>
        </w:sectPr>
      </w:pPr>
    </w:p>
    <w:bookmarkStart w:id="15" w:name="page16"/>
    <w:bookmarkEnd w:id="15"/>
    <w:p>
      <w:pPr>
        <w:jc w:val="both"/>
        <w:ind w:left="300"/>
        <w:spacing w:after="0" w:line="301" w:lineRule="auto"/>
        <w:rPr>
          <w:sz w:val="20"/>
          <w:szCs w:val="20"/>
          <w:color w:val="auto"/>
        </w:rPr>
      </w:pPr>
      <w:r>
        <w:rPr>
          <w:rFonts w:ascii="Arial" w:cs="Arial" w:eastAsia="Arial" w:hAnsi="Arial"/>
          <w:sz w:val="18"/>
          <w:szCs w:val="18"/>
          <w:color w:val="auto"/>
        </w:rPr>
        <w:t>issued one-third of each executive’s earned shares, and held back the other two-thirds of such earned shares for possible issuance on the Second and Third Issuance Dates provided the executive meets the continued employment condition. Regarding the FY10 PSAs, the Company achieved 100% of the “maximum” level based on the Company's reported non-GAAP operating margin for fiscal year 2010 and, accordingly, on November 10, 2010, and November 10, 2011, the Company issued one-third of each executive’s earned shares, and held back the final one-third of such earned shares for possible issuance on the Third Issuance Date provided the executive meets the continued employment condition. With respect to the FY09 PSAs, the Company achieved 95.8% of the “maximum” level based on the Company's reported non-GAAP operating margin for fiscal year 2009 and, accordingly, on November 4, 2009, November 4, 2010, and November 4, 2011, the Company issued one-third of each executive’s earned shares since the executives met the continued employment condition.</w:t>
      </w:r>
    </w:p>
    <w:p>
      <w:pPr>
        <w:spacing w:after="0" w:line="165"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color w:val="auto"/>
        </w:rPr>
        <w:t>On June 4, 2009, each Named Executive Officer had the opportunity to forfeit an outstanding performance share award dated November 6, 2007, that such executive had previously been granted (the “2007 PSA”) and receive, in its place, the following equity awards:</w:t>
      </w:r>
    </w:p>
    <w:p>
      <w:pPr>
        <w:spacing w:after="0" w:line="170" w:lineRule="exact"/>
        <w:rPr>
          <w:sz w:val="20"/>
          <w:szCs w:val="20"/>
          <w:color w:val="auto"/>
        </w:rPr>
      </w:pPr>
    </w:p>
    <w:p>
      <w:pPr>
        <w:jc w:val="both"/>
        <w:ind w:left="260" w:firstLine="383"/>
        <w:spacing w:after="0" w:line="264" w:lineRule="auto"/>
        <w:tabs>
          <w:tab w:leader="none" w:pos="918"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restricted stock award (the “2009 Replacement RSA”) covering shares equal to the “Threshold/Nominal” tranche of shares of the Company’s common stock that could be earned under the executive’s 2007 PSA, which shares would vest on or about November 6, 2010, provided the Named Executive Officer continued his employment with the Company through such date, and</w:t>
      </w:r>
    </w:p>
    <w:p>
      <w:pPr>
        <w:spacing w:after="0" w:line="181" w:lineRule="exact"/>
        <w:rPr>
          <w:rFonts w:ascii="Arial" w:cs="Arial" w:eastAsia="Arial" w:hAnsi="Arial"/>
          <w:sz w:val="18"/>
          <w:szCs w:val="18"/>
          <w:color w:val="auto"/>
        </w:rPr>
      </w:pPr>
    </w:p>
    <w:p>
      <w:pPr>
        <w:jc w:val="both"/>
        <w:ind w:left="260" w:firstLine="383"/>
        <w:spacing w:after="0" w:line="259" w:lineRule="auto"/>
        <w:tabs>
          <w:tab w:leader="none" w:pos="919"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IRC Section 162(m) compliant performance share award (the “2009 Replacement PSA”, and together with the 2009 Replacement RSA, the “2009 Replacement Awards”) pursuant to which the executive would receive a number of shares of the Company’s common stock equal to the aggregate amount of the “target” and “maximum/stretch” tranches of shares of the Company’s common stock that could be earned under the 2007 PSA, if certain conditions are satisfied.</w:t>
      </w:r>
    </w:p>
    <w:p>
      <w:pPr>
        <w:spacing w:after="0" w:line="187" w:lineRule="exact"/>
        <w:rPr>
          <w:sz w:val="20"/>
          <w:szCs w:val="20"/>
          <w:color w:val="auto"/>
        </w:rPr>
      </w:pPr>
    </w:p>
    <w:p>
      <w:pPr>
        <w:jc w:val="both"/>
        <w:ind w:left="300" w:hanging="39"/>
        <w:spacing w:after="0" w:line="284" w:lineRule="auto"/>
        <w:rPr>
          <w:sz w:val="20"/>
          <w:szCs w:val="20"/>
          <w:color w:val="auto"/>
        </w:rPr>
      </w:pPr>
      <w:r>
        <w:rPr>
          <w:rFonts w:ascii="Arial" w:cs="Arial" w:eastAsia="Arial" w:hAnsi="Arial"/>
          <w:sz w:val="16"/>
          <w:szCs w:val="16"/>
          <w:color w:val="auto"/>
        </w:rPr>
        <w:t>Each of the Named Executive Officers accepted the Company’s offer and agreed to have his 2007 PSA cancelled and replaced with the 2009 Replacement Awards. The maximum number of shares issued under the 2009 Replacement Awards for each Named Executive Officer on June 10, 2009, was equal to the maximum number of shares that would have been issuable to such executive under his cancelled 2007 PSA. The 2009 Replacement Awards consisted of (a) the 2009 Replacement RSAs that vested on November 6, 2010, as follows: Mr. Aldrich (150,000 shares), Mr. Palette (17,500 shares), Mr. Waters (20,000 shares), Mr. Griffin (50,000 shares) and Mr. Freyman (25,000 shares); and (b) the 2009 Replacement PSAs as follows (which represents the number of shares that could have been received under each such executive’s 2007 PSA if the “maximum/stretch” tranches of shares were earned): Mr. Aldrich (300,000 shares), Mr. Palette (35,000 shares), Mr. Waters (40,000 shares), Mr. Griffin (100,000 shares) and Mr. Freyman (50,000 shares). The 2009 Replacement PSAs had both “relative stock performance” and “continued employment” conditions that had to be met in order for the executive to receive any shares underlying the award. The “relative stock performance” condition provided that if the percentage change in the price of Skyworks’ common stock as compared to a “peer group” of companies during a specified “measuring period” exceeded the 60th percentile of such peer group, then the “target” price level change would have been met and 50% of the total shares covered by the PSA would be earned, subject to the continued employment condition. If the percentage change in the price of Skyworks’ common stock exceeded the 70th percentile of the peer group then the “maximum” price level change would have been met and 100% of the shares subject to the PSA would be earned, subject to the continued employment condition. The percentage change in the price of the common stock of the Company, as well as each member of the peer group, during the Measurement Period was determined by comparing (x) the average of such entity’s stock price for the ninety (90) day period beginning on November 6, 2007 to (y) the average of the entity’s stock price for the ninety (90) day period ending on November 6, 2010. For purposes of calculating the average price of the common stock of an entity during such ninety (90) day periods, only “trading days” (days on which the NASDAQ Global Select Market is open for trading) were used in such calculation, and trading volume on any such trading day was not factored into such calculation. For purposes of the 2009 Replacement PSAs, the “Measurement Period” was deemed to have started on November 6, 2007, and ended on November 6, 2010. The “continued employment” condition provided that, if the relative stock price performance condition is met for either the “target” or “maximum” level, then 50% of the total shares for which the relative stock price performance metric was met would be issuable to the executive on or about November 6, 2010, and the other 50% of such total shares would be issuable to the executive on or about November 6, 2011, provided that the executive is employed with Skyworks through such date(s). In the event of termination by reason of death or permanent disability after the measurement date of a 2009 Replacement PSA (but before shares are issued), the holder (or his or her estate) would receive the number of shares that would have been issuable thereunder based on the actual performance of the Company. In November 2010, the Company determined that the change in the price of the Company’s common stock had exceeded the 70th percentile of its peer group and as a result the “maximum” relative stock performance level had been met and therefore 100% of the shares subject to the PSA were eligible for issuance subject to the continued employment condition. On each of November 6, 2010, and November 6, 2011, the Company issued one-half of each executive’s earned shares since each executive met the continued employment condition.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68" w:lineRule="exact"/>
        <w:rPr>
          <w:sz w:val="20"/>
          <w:szCs w:val="20"/>
          <w:color w:val="auto"/>
        </w:rPr>
      </w:pPr>
    </w:p>
    <w:p>
      <w:pPr>
        <w:ind w:left="300" w:hanging="292"/>
        <w:spacing w:after="0" w:line="277"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a price of $17.96 per share, which was the closing sale price of the Company’s common stock on the NASDAQ Global Select Market on September 30, 2011.</w:t>
      </w:r>
    </w:p>
    <w:p>
      <w:pPr>
        <w:sectPr>
          <w:pgSz w:w="11900" w:h="16838" w:orient="portrait"/>
          <w:cols w:equalWidth="0" w:num="1">
            <w:col w:w="11420"/>
          </w:cols>
          <w:pgMar w:left="240" w:top="152" w:right="239" w:bottom="1440" w:gutter="0" w:footer="0" w:header="0"/>
        </w:sectPr>
      </w:pPr>
    </w:p>
    <w:bookmarkStart w:id="16" w:name="page17"/>
    <w:bookmarkEnd w:id="16"/>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options were granted on November 6, 2007, and vest at a rate of 25% per year until they became fully vested on November 6, 2011.</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options were granted on November 4, 2008, and vest at a rate of 25% annually through November 4, 2012.</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options were granted on November 10, 2009, and vest at a rate of 25% annually through November 10, 2013.</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options were granted on November 9, 2010, and vest at a rate of 25% annually through November 9, 2014.</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Option Exercises and Stock Vested Table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Named Executive Officers’ option exercises and stock award vesting during fiscal year 2011.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Option Awards</w:t>
            </w:r>
          </w:p>
        </w:tc>
        <w:tc>
          <w:tcPr>
            <w:tcW w:w="2900" w:type="dxa"/>
            <w:vAlign w:val="bottom"/>
            <w:gridSpan w:val="4"/>
          </w:tcPr>
          <w:p>
            <w:pPr>
              <w:jc w:val="right"/>
              <w:ind w:right="938"/>
              <w:spacing w:after="0"/>
              <w:rPr>
                <w:sz w:val="20"/>
                <w:szCs w:val="20"/>
                <w:color w:val="auto"/>
              </w:rPr>
            </w:pPr>
            <w:r>
              <w:rPr>
                <w:rFonts w:ascii="Arial" w:cs="Arial" w:eastAsia="Arial" w:hAnsi="Arial"/>
                <w:sz w:val="14"/>
                <w:szCs w:val="14"/>
                <w:b w:val="1"/>
                <w:bCs w:val="1"/>
                <w:color w:val="auto"/>
              </w:rPr>
              <w:t>Stock Awards</w:t>
            </w:r>
          </w:p>
        </w:tc>
      </w:tr>
      <w:tr>
        <w:trPr>
          <w:trHeight w:val="80"/>
        </w:trPr>
        <w:tc>
          <w:tcPr>
            <w:tcW w:w="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18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0"/>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23"/>
                <w:szCs w:val="23"/>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23"/>
                <w:szCs w:val="23"/>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90"/>
              </w:rPr>
              <w:t>Value</w:t>
            </w:r>
          </w:p>
        </w:tc>
      </w:tr>
      <w:tr>
        <w:trPr>
          <w:trHeight w:val="270"/>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Acquired on</w:t>
            </w:r>
          </w:p>
        </w:tc>
        <w:tc>
          <w:tcPr>
            <w:tcW w:w="240" w:type="dxa"/>
            <w:vAlign w:val="bottom"/>
          </w:tcPr>
          <w:p>
            <w:pPr>
              <w:spacing w:after="0"/>
              <w:rPr>
                <w:sz w:val="23"/>
                <w:szCs w:val="23"/>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Realized</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Acquired on</w:t>
            </w:r>
          </w:p>
        </w:tc>
        <w:tc>
          <w:tcPr>
            <w:tcW w:w="260" w:type="dxa"/>
            <w:vAlign w:val="bottom"/>
          </w:tcPr>
          <w:p>
            <w:pPr>
              <w:spacing w:after="0"/>
              <w:rPr>
                <w:sz w:val="23"/>
                <w:szCs w:val="23"/>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Realized</w:t>
            </w:r>
          </w:p>
        </w:tc>
      </w:tr>
      <w:tr>
        <w:trPr>
          <w:trHeight w:val="270"/>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Exercise</w:t>
            </w:r>
          </w:p>
        </w:tc>
        <w:tc>
          <w:tcPr>
            <w:tcW w:w="240" w:type="dxa"/>
            <w:vAlign w:val="bottom"/>
          </w:tcPr>
          <w:p>
            <w:pPr>
              <w:spacing w:after="0"/>
              <w:rPr>
                <w:sz w:val="23"/>
                <w:szCs w:val="23"/>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on Exercise</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Vesting</w:t>
            </w:r>
          </w:p>
        </w:tc>
        <w:tc>
          <w:tcPr>
            <w:tcW w:w="260" w:type="dxa"/>
            <w:vAlign w:val="bottom"/>
          </w:tcPr>
          <w:p>
            <w:pPr>
              <w:spacing w:after="0"/>
              <w:rPr>
                <w:sz w:val="23"/>
                <w:szCs w:val="23"/>
                <w:color w:val="auto"/>
              </w:rPr>
            </w:pPr>
          </w:p>
        </w:tc>
        <w:tc>
          <w:tcPr>
            <w:tcW w:w="120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on Vesting</w:t>
            </w:r>
          </w:p>
        </w:tc>
      </w:tr>
      <w:tr>
        <w:trPr>
          <w:trHeight w:val="270"/>
        </w:trPr>
        <w:tc>
          <w:tcPr>
            <w:tcW w:w="2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99"/>
              </w:rPr>
              <w:t>($)(2)</w:t>
            </w:r>
          </w:p>
        </w:tc>
      </w:tr>
      <w:tr>
        <w:trPr>
          <w:trHeight w:val="80"/>
        </w:trPr>
        <w:tc>
          <w:tcPr>
            <w:tcW w:w="20" w:type="dxa"/>
            <w:vAlign w:val="bottom"/>
          </w:tcPr>
          <w:p>
            <w:pPr>
              <w:spacing w:after="0"/>
              <w:rPr>
                <w:sz w:val="6"/>
                <w:szCs w:val="6"/>
                <w:color w:val="auto"/>
              </w:rPr>
            </w:pPr>
          </w:p>
        </w:tc>
        <w:tc>
          <w:tcPr>
            <w:tcW w:w="5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David J. Aldrich</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President and Chief Executive Officer</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662,500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12,531,378</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480,833</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11,453,325</w:t>
            </w:r>
          </w:p>
        </w:tc>
      </w:tr>
      <w:tr>
        <w:trPr>
          <w:trHeight w:val="229"/>
        </w:trPr>
        <w:tc>
          <w:tcPr>
            <w:tcW w:w="20" w:type="dxa"/>
            <w:vAlign w:val="bottom"/>
          </w:tcPr>
          <w:p>
            <w:pPr>
              <w:spacing w:after="0"/>
              <w:rPr>
                <w:sz w:val="19"/>
                <w:szCs w:val="19"/>
                <w:color w:val="auto"/>
              </w:rPr>
            </w:pP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Donald W. Palette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Vice President and Chief Financial Officer</w:t>
            </w: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20"/>
                <w:szCs w:val="20"/>
                <w:color w:val="auto"/>
              </w:rPr>
            </w:pPr>
          </w:p>
        </w:tc>
        <w:tc>
          <w:tcPr>
            <w:tcW w:w="24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440,800</w:t>
            </w:r>
          </w:p>
        </w:tc>
        <w:tc>
          <w:tcPr>
            <w:tcW w:w="2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99,838</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2,345,679</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Gregory L. Waters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3"/>
              </w:rPr>
              <w:t>Executive Vice President and General Manager, Front-End Solutions</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265,780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4,038,145</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101,782</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2,421,225</w:t>
            </w:r>
          </w:p>
        </w:tc>
      </w:tr>
      <w:tr>
        <w:trPr>
          <w:trHeight w:val="229"/>
        </w:trPr>
        <w:tc>
          <w:tcPr>
            <w:tcW w:w="20" w:type="dxa"/>
            <w:vAlign w:val="bottom"/>
          </w:tcPr>
          <w:p>
            <w:pPr>
              <w:spacing w:after="0"/>
              <w:rPr>
                <w:sz w:val="19"/>
                <w:szCs w:val="19"/>
                <w:color w:val="auto"/>
              </w:rPr>
            </w:pP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Liam K. Griffin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w w:val="96"/>
              </w:rPr>
              <w:t>Executive Vice President and General Manager, High Performance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Analog</w:t>
            </w: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176,250</w:t>
            </w:r>
          </w:p>
        </w:tc>
        <w:tc>
          <w:tcPr>
            <w:tcW w:w="100" w:type="dxa"/>
            <w:vAlign w:val="bottom"/>
          </w:tcPr>
          <w:p>
            <w:pPr>
              <w:spacing w:after="0"/>
              <w:rPr>
                <w:sz w:val="20"/>
                <w:szCs w:val="20"/>
                <w:color w:val="auto"/>
              </w:rPr>
            </w:pPr>
          </w:p>
        </w:tc>
        <w:tc>
          <w:tcPr>
            <w:tcW w:w="24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1,563,225</w:t>
            </w:r>
          </w:p>
        </w:tc>
        <w:tc>
          <w:tcPr>
            <w:tcW w:w="2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161,782</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3,853,425</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Bruce J. Freyman</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Senior Vice President, Worldwide Operations</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2,710,600</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106,548</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2,535,739</w:t>
            </w:r>
          </w:p>
        </w:tc>
      </w:tr>
      <w:tr>
        <w:trPr>
          <w:trHeight w:val="21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jc w:val="both"/>
        <w:ind w:left="300" w:hanging="292"/>
        <w:spacing w:after="0" w:line="251"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restricted stock that vested on November 6, 2010, for Mr. Aldrich (150,000 shares), Mr. Palette (17,500 shares), Mr. Waters (20,000 shares), Mr. Griffin (50,000 shares) and Mr. Freyman (25,000 shares). For Mr. Palette, the table also includes restricted stock that vested on August 20, 2011 (6,250 shares). In addition, the amount reflects one-third of the shares earned under the FY10 PSAs that were issued on November 10, 2010 to Mr. Aldrich (85,000 shares), Mr. Palette (28,560 shares), Mr. Waters (28,560 shares), Mr. Griffin (28,560 shares) and Mr. Freyman (26,520 shares), as well as one-third of the FY09 PSAs that were issued on November 4, 2010, to Mr. Aldrich (95,833 shares), Mr. Palette (30,028 shares), Mr. Waters (33,222 shares), Mr. Griffin (33,222 shares) and Mr. Freyman (30,028 shares). In addition, the amount reflects certain of the 2009 Replacement PSAs that were issued on November 6, 2010, to Mr. Aldrich (150,000 shares), Mr. Palette (17,500 shares), Mr. Waters (20,000 shares), Mr. Griffin (50,000 shares) and Mr. Freyman (25,000 shares).</w:t>
      </w:r>
    </w:p>
    <w:p>
      <w:pPr>
        <w:spacing w:after="0" w:line="196"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aggregate fair market value of the stock awards on the applicable vesting dates.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Nonqualified Deferred Compensation Table</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prior fiscal years, certain executive officers were provided an opportunity to participate in the Company’s Executive Compensation Plan, an unfunded, non-qualified deferred compensation plan, under which participants were allowed to defer a portion of their compensation, as a result of deferred compensation legislation under Section 409A of the IRC. The Company has not permitted employees to make contributions to the Executive Compensation Plan since December 31, 2005. Mr. Aldrich is the only Named Executive Officer that participated in the Executive Compensation Plan. Mr. Aldrich’s contributions are credited with earnings/losses based upon the performance of the investments he selects. Upon retirement, as defined in the Executive Compensation Plan, or other separation from service, or, if so elected, upon any earlier change in control of the Company, a participant is entitled to a payment of his or her vested account balance, either in a single lump sum or in annual installments, 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elected in advance by the participant. Although the Company had discretion to make additional contributions to the accounts of participants while it was active, it never made any company contributions.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aggregate earnings in the fiscal year 2011 for Mr. Aldrich under the Executive Compensation Plan.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16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Registrant</w:t>
            </w:r>
          </w:p>
        </w:tc>
        <w:tc>
          <w:tcPr>
            <w:tcW w:w="1120" w:type="dxa"/>
            <w:vAlign w:val="bottom"/>
            <w:gridSpan w:val="2"/>
          </w:tcPr>
          <w:p>
            <w:pPr>
              <w:jc w:val="center"/>
              <w:ind w:left="145"/>
              <w:spacing w:after="0"/>
              <w:rPr>
                <w:sz w:val="20"/>
                <w:szCs w:val="20"/>
                <w:color w:val="auto"/>
              </w:rPr>
            </w:pPr>
            <w:r>
              <w:rPr>
                <w:rFonts w:ascii="Arial" w:cs="Arial" w:eastAsia="Arial" w:hAnsi="Arial"/>
                <w:sz w:val="14"/>
                <w:szCs w:val="14"/>
                <w:b w:val="1"/>
                <w:bCs w:val="1"/>
                <w:color w:val="auto"/>
                <w:w w:val="89"/>
              </w:rPr>
              <w:t>Aggregate</w:t>
            </w:r>
          </w:p>
        </w:tc>
        <w:tc>
          <w:tcPr>
            <w:tcW w:w="400" w:type="dxa"/>
            <w:vAlign w:val="bottom"/>
          </w:tcPr>
          <w:p>
            <w:pPr>
              <w:spacing w:after="0"/>
              <w:rPr>
                <w:sz w:val="14"/>
                <w:szCs w:val="14"/>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300" w:type="dxa"/>
            <w:vAlign w:val="bottom"/>
          </w:tcPr>
          <w:p>
            <w:pPr>
              <w:spacing w:after="0"/>
              <w:rPr>
                <w:sz w:val="14"/>
                <w:szCs w:val="14"/>
                <w:color w:val="auto"/>
              </w:rPr>
            </w:pPr>
          </w:p>
        </w:tc>
        <w:tc>
          <w:tcPr>
            <w:tcW w:w="1060" w:type="dxa"/>
            <w:vAlign w:val="bottom"/>
          </w:tcPr>
          <w:p>
            <w:pPr>
              <w:ind w:left="380"/>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1120" w:type="dxa"/>
            <w:vAlign w:val="bottom"/>
            <w:gridSpan w:val="2"/>
          </w:tcPr>
          <w:p>
            <w:pPr>
              <w:jc w:val="center"/>
              <w:ind w:left="125"/>
              <w:spacing w:after="0" w:line="149" w:lineRule="exact"/>
              <w:rPr>
                <w:sz w:val="20"/>
                <w:szCs w:val="20"/>
                <w:color w:val="auto"/>
              </w:rPr>
            </w:pPr>
            <w:r>
              <w:rPr>
                <w:rFonts w:ascii="Arial" w:cs="Arial" w:eastAsia="Arial" w:hAnsi="Arial"/>
                <w:sz w:val="14"/>
                <w:szCs w:val="14"/>
                <w:b w:val="1"/>
                <w:bCs w:val="1"/>
                <w:color w:val="auto"/>
                <w:w w:val="93"/>
              </w:rPr>
              <w:t>Earnings</w:t>
            </w:r>
          </w:p>
        </w:tc>
        <w:tc>
          <w:tcPr>
            <w:tcW w:w="4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6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in Last</w:t>
            </w:r>
          </w:p>
        </w:tc>
        <w:tc>
          <w:tcPr>
            <w:tcW w:w="1120" w:type="dxa"/>
            <w:vAlign w:val="bottom"/>
            <w:gridSpan w:val="2"/>
          </w:tcPr>
          <w:p>
            <w:pPr>
              <w:jc w:val="center"/>
              <w:ind w:left="145"/>
              <w:spacing w:after="0" w:line="149" w:lineRule="exact"/>
              <w:rPr>
                <w:sz w:val="20"/>
                <w:szCs w:val="20"/>
                <w:color w:val="auto"/>
              </w:rPr>
            </w:pPr>
            <w:r>
              <w:rPr>
                <w:rFonts w:ascii="Arial" w:cs="Arial" w:eastAsia="Arial" w:hAnsi="Arial"/>
                <w:sz w:val="14"/>
                <w:szCs w:val="14"/>
                <w:b w:val="1"/>
                <w:bCs w:val="1"/>
                <w:color w:val="auto"/>
                <w:w w:val="92"/>
              </w:rPr>
              <w:t>in Last</w:t>
            </w:r>
          </w:p>
        </w:tc>
        <w:tc>
          <w:tcPr>
            <w:tcW w:w="40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Withdrawals</w:t>
            </w:r>
          </w:p>
        </w:tc>
        <w:tc>
          <w:tcPr>
            <w:tcW w:w="300" w:type="dxa"/>
            <w:vAlign w:val="bottom"/>
          </w:tcPr>
          <w:p>
            <w:pPr>
              <w:spacing w:after="0"/>
              <w:rPr>
                <w:sz w:val="12"/>
                <w:szCs w:val="12"/>
                <w:color w:val="auto"/>
              </w:rPr>
            </w:pPr>
          </w:p>
        </w:tc>
        <w:tc>
          <w:tcPr>
            <w:tcW w:w="10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Last</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 Last</w:t>
            </w:r>
          </w:p>
        </w:tc>
        <w:tc>
          <w:tcPr>
            <w:tcW w:w="16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Fiscal</w:t>
            </w:r>
          </w:p>
        </w:tc>
        <w:tc>
          <w:tcPr>
            <w:tcW w:w="1120" w:type="dxa"/>
            <w:vAlign w:val="bottom"/>
            <w:gridSpan w:val="2"/>
          </w:tcPr>
          <w:p>
            <w:pPr>
              <w:jc w:val="center"/>
              <w:ind w:left="125"/>
              <w:spacing w:after="0" w:line="149" w:lineRule="exact"/>
              <w:rPr>
                <w:sz w:val="20"/>
                <w:szCs w:val="20"/>
                <w:color w:val="auto"/>
              </w:rPr>
            </w:pPr>
            <w:r>
              <w:rPr>
                <w:rFonts w:ascii="Arial" w:cs="Arial" w:eastAsia="Arial" w:hAnsi="Arial"/>
                <w:sz w:val="14"/>
                <w:szCs w:val="14"/>
                <w:b w:val="1"/>
                <w:bCs w:val="1"/>
                <w:color w:val="auto"/>
                <w:w w:val="90"/>
              </w:rPr>
              <w:t>Fiscal</w:t>
            </w:r>
          </w:p>
        </w:tc>
        <w:tc>
          <w:tcPr>
            <w:tcW w:w="400" w:type="dxa"/>
            <w:vAlign w:val="bottom"/>
          </w:tcPr>
          <w:p>
            <w:pPr>
              <w:spacing w:after="0"/>
              <w:rPr>
                <w:sz w:val="12"/>
                <w:szCs w:val="12"/>
                <w:color w:val="auto"/>
              </w:rPr>
            </w:pPr>
          </w:p>
        </w:tc>
        <w:tc>
          <w:tcPr>
            <w:tcW w:w="1100" w:type="dxa"/>
            <w:vAlign w:val="bottom"/>
          </w:tcPr>
          <w:p>
            <w:pPr>
              <w:jc w:val="right"/>
              <w:ind w:right="645"/>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49"/>
        </w:trPr>
        <w:tc>
          <w:tcPr>
            <w:tcW w:w="3580" w:type="dxa"/>
            <w:vAlign w:val="bottom"/>
            <w:vMerge w:val="restart"/>
          </w:tcPr>
          <w:p>
            <w:pPr>
              <w:jc w:val="right"/>
              <w:ind w:right="3094"/>
              <w:spacing w:after="0"/>
              <w:rPr>
                <w:sz w:val="20"/>
                <w:szCs w:val="20"/>
                <w:color w:val="auto"/>
              </w:rPr>
            </w:pPr>
            <w:r>
              <w:rPr>
                <w:rFonts w:ascii="Arial" w:cs="Arial" w:eastAsia="Arial" w:hAnsi="Arial"/>
                <w:sz w:val="14"/>
                <w:szCs w:val="14"/>
                <w:b w:val="1"/>
                <w:bCs w:val="1"/>
                <w:color w:val="auto"/>
                <w:w w:val="99"/>
              </w:rPr>
              <w:t>Name</w:t>
            </w:r>
          </w:p>
        </w:tc>
        <w:tc>
          <w:tcPr>
            <w:tcW w:w="12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Fiscal Year</w:t>
            </w:r>
          </w:p>
        </w:tc>
        <w:tc>
          <w:tcPr>
            <w:tcW w:w="160" w:type="dxa"/>
            <w:vAlign w:val="bottom"/>
          </w:tcPr>
          <w:p>
            <w:pPr>
              <w:spacing w:after="0"/>
              <w:rPr>
                <w:sz w:val="12"/>
                <w:szCs w:val="12"/>
                <w:color w:val="auto"/>
              </w:rPr>
            </w:pPr>
          </w:p>
        </w:tc>
        <w:tc>
          <w:tcPr>
            <w:tcW w:w="16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Year</w:t>
            </w:r>
          </w:p>
        </w:tc>
        <w:tc>
          <w:tcPr>
            <w:tcW w:w="11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Year</w:t>
            </w:r>
          </w:p>
        </w:tc>
        <w:tc>
          <w:tcPr>
            <w:tcW w:w="40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300" w:type="dxa"/>
            <w:vAlign w:val="bottom"/>
          </w:tcPr>
          <w:p>
            <w:pPr>
              <w:spacing w:after="0"/>
              <w:rPr>
                <w:sz w:val="12"/>
                <w:szCs w:val="12"/>
                <w:color w:val="auto"/>
              </w:rPr>
            </w:pPr>
          </w:p>
        </w:tc>
        <w:tc>
          <w:tcPr>
            <w:tcW w:w="106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Year-End</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28"/>
        </w:trPr>
        <w:tc>
          <w:tcPr>
            <w:tcW w:w="3700" w:type="dxa"/>
            <w:vAlign w:val="bottom"/>
            <w:gridSpan w:val="2"/>
          </w:tcPr>
          <w:p>
            <w:pPr>
              <w:ind w:left="60"/>
              <w:spacing w:after="0"/>
              <w:rPr>
                <w:sz w:val="20"/>
                <w:szCs w:val="20"/>
                <w:color w:val="auto"/>
              </w:rPr>
            </w:pPr>
            <w:r>
              <w:rPr>
                <w:rFonts w:ascii="Arial" w:cs="Arial" w:eastAsia="Arial" w:hAnsi="Arial"/>
                <w:sz w:val="18"/>
                <w:szCs w:val="18"/>
                <w:color w:val="auto"/>
              </w:rPr>
              <w:t>David J. Aldrich,</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20"/>
              <w:spacing w:after="0"/>
              <w:rPr>
                <w:sz w:val="20"/>
                <w:szCs w:val="20"/>
                <w:color w:val="auto"/>
              </w:rPr>
            </w:pPr>
            <w:r>
              <w:rPr>
                <w:rFonts w:ascii="Arial" w:cs="Arial" w:eastAsia="Arial" w:hAnsi="Arial"/>
                <w:sz w:val="18"/>
                <w:szCs w:val="18"/>
                <w:color w:val="auto"/>
              </w:rPr>
              <w:t>President and Chief Executive Officer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ind w:left="86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(15,924)</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360"/>
              <w:spacing w:after="0"/>
              <w:rPr>
                <w:sz w:val="20"/>
                <w:szCs w:val="20"/>
                <w:color w:val="auto"/>
              </w:rPr>
            </w:pPr>
            <w:r>
              <w:rPr>
                <w:rFonts w:ascii="Arial" w:cs="Arial" w:eastAsia="Arial" w:hAnsi="Arial"/>
                <w:sz w:val="18"/>
                <w:szCs w:val="18"/>
                <w:color w:val="auto"/>
              </w:rPr>
              <w:t>684,557</w:t>
            </w:r>
          </w:p>
        </w:tc>
        <w:tc>
          <w:tcPr>
            <w:tcW w:w="0" w:type="dxa"/>
            <w:vAlign w:val="bottom"/>
          </w:tcPr>
          <w:p>
            <w:pPr>
              <w:spacing w:after="0"/>
              <w:rPr>
                <w:sz w:val="1"/>
                <w:szCs w:val="1"/>
                <w:color w:val="auto"/>
              </w:rPr>
            </w:pPr>
          </w:p>
        </w:tc>
      </w:tr>
      <w:tr>
        <w:trPr>
          <w:trHeight w:val="243"/>
        </w:trPr>
        <w:tc>
          <w:tcPr>
            <w:tcW w:w="3580" w:type="dxa"/>
            <w:vAlign w:val="bottom"/>
          </w:tcPr>
          <w:p>
            <w:pPr>
              <w:jc w:val="right"/>
              <w:ind w:right="2414"/>
              <w:spacing w:after="0"/>
              <w:rPr>
                <w:sz w:val="20"/>
                <w:szCs w:val="20"/>
                <w:color w:val="auto"/>
              </w:rPr>
            </w:pPr>
            <w:r>
              <w:rPr>
                <w:rFonts w:ascii="Arial" w:cs="Arial" w:eastAsia="Arial" w:hAnsi="Arial"/>
                <w:sz w:val="18"/>
                <w:szCs w:val="18"/>
                <w:color w:val="auto"/>
                <w:w w:val="88"/>
              </w:rPr>
              <w:t>____________</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00" w:hanging="292"/>
        <w:spacing w:after="0" w:line="261"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 as of September 30, 2011. This amount is comprised of Mr. Aldrich’s individual contributions and the return/(loss) generated from the investment of those contributions.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u w:val="single" w:color="auto"/>
          <w:color w:val="auto"/>
        </w:rPr>
        <w:t>Chief Executive Officer</w:t>
      </w:r>
    </w:p>
    <w:p>
      <w:pPr>
        <w:spacing w:after="0" w:line="22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January 2008, the Company entered into an amended and restated Change of Control / Severance Agreement with Mr. Aldrich (the “Aldrich Agreement”). The Aldrich Agreement sets out severance benefits that become payable if, within two (2) years after a change of control, Mr. Aldrich either (i) is involuntarily terminated without cause or (ii) voluntarily terminates his employment. The severance benefits provided to Mr. Aldrich in such circumstances will consist of the following: (i) a payment equal to two and one-half (2 ½) times the sum of (A) his annual base salary immediately prior to the change of control and (B) his annual short-term incentive award (calculated as the greater of (x) the average short-term incentive awards received for the three years prior to the year in which the change of control occurs or (y) the target annual short incentive award for the year in which the change of control occurs); (ii) all then outstanding stock options will remain exercisable for a period of thirty (30) months after the termination date (but not beyond the expiration of their respective maximum terms); and (iii) continued medical benefits for a period of eighteen (18) months after the termination date. The foregoing payments are subject to a gross-up payment for any applicable excise taxes incurred under Section 4999 of the IRC. Additionally, in the event of a change of control, Mr. Aldrich’s Agreement provides for full acceleration of the vesting of all then outstanding stock options and restricted stock awards and partial acceleration of any outstanding performance share awards (“PSAs”).</w:t>
      </w:r>
    </w:p>
    <w:p>
      <w:pPr>
        <w:spacing w:after="0" w:line="18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The Aldrich Agreement also sets out severance benefits outside of a change of control that become payable if, while employed by the Company, Mr. Aldrich either (i) is involuntarily terminated without cause or (ii) terminates his employment for good reason. The severance benefits provided to Mr. Aldrich under either of these circumstances will consist of the following: (i) a payment equal to two (2) times the sum of (A) his annual base salary immediately prior to such termination and (B) his annual short-term incentive award (calculated as the greater of (x) the average short-term incentive awards received for the three years prior to the year in which the termination occurs or (y) the target annual short-term incentive award for the year in which the termination occurs); and (ii) full acceleration of the vesting of all outstanding stock options and restricted stock awards, with such stock options to remain exercisable for a period of two (2) years after the termination date (but not beyond the expiration of their respective maximum terms), and, with respect to any PSAs outstanding, shares subject to such award would have been deemed earned to the extent any such shares would have been earned pursuant to the terms of such award as of the day prior to the date of such termination (without regard to any continued service requirement) (collectively, “Severance Benefits”). In the event of Mr. Aldrich’s death or disability, all outstanding stock options will vest in full and remain exercisable for a period of twelve (12) months following the termination of employment (but not beyond the expiration of their respective maximum terms).</w:t>
      </w:r>
    </w:p>
    <w:p>
      <w:pPr>
        <w:spacing w:after="0" w:line="1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the Aldrich Agreement provides that if Mr. Aldrich voluntarily terminates his employment after January 1, 2010, subject to certain notice requirements and his availability to continue to serve on the Board of Directors of the Company and as chairman of a committee thereof for up to two (2) years, he shall be entitled to the Severance Benefits; provided however, that all Company stock options, stock appreciation rights, restricted stock, and any other equity-based awards, which were both (a) granted to him in the eighteen (18) month period prior to such termination and (b) scheduled to vest more than two (2) years from the date of such termination, will be forfeited.</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Aldrich Agreement is intended to be compliant with Section 409A of the IRC. Additionally, the Aldrich Agreement requires Mr. Aldrich to sign a release of claims in favor of the Company before he is eligible to receive any benefits under the agreement, and contains non-compete and non-solicitation provisions applicable to him while he is employed by the Company and for a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of twenty-four (24) months following the termination of his employment.</w:t>
      </w:r>
    </w:p>
    <w:p>
      <w:pPr>
        <w:spacing w:after="0" w:line="225"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On November 23, 2010, the Company modified the Aldrich Agreement as follows: (1) the initial term of the Agreement was extended for three (3) years until January 22, 2014, at which time the Agreement will renew on an annual basis for up to five (5) additional one year periods, unless at least 90 days prior to the end of the initial term or the then-current additional term, either party provides written notice that the Aldrich Agreement should not be extended; and</w:t>
      </w:r>
    </w:p>
    <w:p>
      <w:pPr>
        <w:jc w:val="both"/>
        <w:ind w:firstLine="8"/>
        <w:spacing w:after="0" w:line="273" w:lineRule="auto"/>
        <w:tabs>
          <w:tab w:leader="none" w:pos="2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order to ensure that any PSAs issued to Mr. Aldrich continue to be treated as performance based compensation under Section 162(m) of the IRC, the Agreement was amended such that if Mr. Aldrich is involuntarily terminated or terminates his employment for good reason or for no reason, he will be entitled to receive only the number of performance shares under outstanding PSAs that he would have received had he actually remained employed through the end of the performance period applicable to such PSAs. All other terms and conditions of the Agreement remain the same.</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i w:val="1"/>
          <w:iCs w:val="1"/>
          <w:u w:val="single" w:color="auto"/>
          <w:color w:val="auto"/>
        </w:rPr>
        <w:t>Other Named Executive Officers</w:t>
      </w:r>
    </w:p>
    <w:p>
      <w:pPr>
        <w:spacing w:after="0" w:line="2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January 2008, the Company entered into Change of Control / Severance Agreements with each of Bruce J. Freyman, Liam K. Griffin, Donald W. Palette and Gregory L. Waters (each a “COC Agreement”). Each COC Agreement sets out severance benefits that become payable if, within twelve (12) months after a change of control, the executive either (i) is involuntarily terminated without cause or (ii) terminates his employment for good reason. The severance benefits provided to the executive in such circumstances will consist of the following: (i) a payment equal to two (2) times the sum of (A) his annual base salary immediately prior to the change of control and (B) his annual short-term incentive award (calculated as the greater of (x) the average short-term incentive awards received for the three years prior to the year in which the change of control occurs or (y) the target annual short-term incentive award for the year in which the change of control occurs); (ii) all then outstanding stock options will remain exercisable for a period of eighteen (18) months after the termination date (but not beyond the expiration of their respective maximum terms); and (iii) continued medical benefits for eighteen (18) months after the termination date. The foregoing payments are subject to a gross-up payment limited to a maximum of $500,000 for any applicable excise taxes incurred under Section 4999 of the IRC. Additionally, in the event of a change of control, each COC Agreement provides for full acceleration of the vesting of all then outstanding stock options and restricted stock awards and partial acceleration of any outstanding performance share awards. In the case of Mr. Freyman’s COC Agreement, the severance payment due will be paid out in bi-weekly installments over a twelve (12) month period.</w:t>
      </w:r>
    </w:p>
    <w:p>
      <w:pPr>
        <w:spacing w:after="0" w:line="16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Each COC Agreement also sets out severance benefits outside a change of control that become payable if, while employed by the Company, the executive is involuntarily terminated without cause. The severance benefits provided to the executive under such circumstance will consist of the following: (i) a payment equal to the sum of (x) his annual base salary and (y) any short-term incentive award then due; and (ii) all then vested outstanding stock options will remain exercisable for a period of twelve (12) months after the termination date (but not beyond the expiration of their respective maximum terms). In the case of Mr. Freyman’s COC Agreement, any severance payment due will be paid out in bi-weekly installments over a twelve (12) month period. In the event of the executive’s death or disability, all outstanding stock options will vest and remain exercisable for a period of twelve (12) months following the termination of employment (but not beyond the expiration of their respective maximum terms).</w:t>
      </w:r>
    </w:p>
    <w:p>
      <w:pPr>
        <w:spacing w:after="0" w:line="17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Each COC Agreement is intended to be compliant with Section 409A of the IRC and has an initial two (2) year term, which is thereafter renewable on an annual basis for up to five (5) additional years upon mutual agreement of the Company and the executive. Additionally, each COC Agreement requires that the executive sign a release of claims in favor of the Company before he is eligible to receive any benefits under the agreement, and, except for Mr. Freyman’s COC Agreement, each contains non-compete and non-solicitation provisions applicable to the executive while he is employed by the Company and for a period of twenty-four (24) months following the termination of his employment. Mr. Freyman’s COC Agreement contains non-solicitation provisions applicable to him while he is employed by the Company and for a period of twelve (12) months following the termination of his employment.</w:t>
      </w:r>
    </w:p>
    <w:p>
      <w:pPr>
        <w:spacing w:after="0" w:line="16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terms “change in control,” “cause,” and “good reason” are each defined in the COC Agreements. Change in control means, in summary: (i) the acquisition by a person or a group of 40% or more of the outstanding stock of Skyworks; (ii) a change, without Board of Directors approval, of a majority of the Board of Directors of Skyworks; (iii) the acquisition of Skyworks by means of a reorganization, merger, consolidation or asset sale; or (iv) the approval of a liquidation or dissolution of Skyworks. Cause means, in summary: (i) deliberate dishonesty that is significantly detrimental to the best interests of Skyworks; (ii) conduct constituting an act of moral turpitude; (iii) willful disloyalty or insubordination; or (iv) incompetent performance or substantial or continuing inattention to or neglect of duties. Good reason means, in summary: (i) a material diminution in base compensation or authority, duties or responsibility, (ii) a material change in office location, or (iii) any action or inaction constituting a material breach by Skyworks of the terms of the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ind w:firstLine="243"/>
        <w:spacing w:after="0" w:line="277" w:lineRule="auto"/>
        <w:rPr>
          <w:sz w:val="20"/>
          <w:szCs w:val="20"/>
          <w:color w:val="auto"/>
        </w:rPr>
      </w:pPr>
      <w:r>
        <w:rPr>
          <w:rFonts w:ascii="Arial" w:cs="Arial" w:eastAsia="Arial" w:hAnsi="Arial"/>
          <w:sz w:val="18"/>
          <w:szCs w:val="18"/>
          <w:color w:val="auto"/>
        </w:rPr>
        <w:t>The following table summarizes the payments and benefits that would be made to the Named Executive Officers under their change of control/severance agreements with the Company in the following circumstances as of September 30, 2011:</w:t>
      </w:r>
    </w:p>
    <w:p>
      <w:pPr>
        <w:spacing w:after="0" w:line="170" w:lineRule="exact"/>
        <w:rPr>
          <w:sz w:val="20"/>
          <w:szCs w:val="20"/>
          <w:color w:val="auto"/>
        </w:rPr>
      </w:pPr>
    </w:p>
    <w:p>
      <w:pPr>
        <w:ind w:left="500" w:hanging="26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termination without cause or for good reason in the absence of a change of control;</w:t>
      </w:r>
    </w:p>
    <w:p>
      <w:pPr>
        <w:spacing w:after="0" w:line="225" w:lineRule="exact"/>
        <w:rPr>
          <w:rFonts w:ascii="Arial" w:cs="Arial" w:eastAsia="Arial" w:hAnsi="Arial"/>
          <w:sz w:val="18"/>
          <w:szCs w:val="18"/>
          <w:b w:val="1"/>
          <w:bCs w:val="1"/>
          <w:color w:val="auto"/>
        </w:rPr>
      </w:pPr>
    </w:p>
    <w:p>
      <w:pPr>
        <w:ind w:left="500" w:hanging="26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termination without cause or for good reason after a change of control;</w:t>
      </w:r>
    </w:p>
    <w:p>
      <w:pPr>
        <w:spacing w:after="0" w:line="225" w:lineRule="exact"/>
        <w:rPr>
          <w:rFonts w:ascii="Arial" w:cs="Arial" w:eastAsia="Arial" w:hAnsi="Arial"/>
          <w:sz w:val="18"/>
          <w:szCs w:val="18"/>
          <w:b w:val="1"/>
          <w:bCs w:val="1"/>
          <w:color w:val="auto"/>
        </w:rPr>
      </w:pPr>
    </w:p>
    <w:p>
      <w:pPr>
        <w:ind w:left="500" w:hanging="26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after a change of control not involving a termination of employment for good reason or for cause; and</w:t>
      </w:r>
    </w:p>
    <w:p>
      <w:pPr>
        <w:spacing w:after="0" w:line="225" w:lineRule="exact"/>
        <w:rPr>
          <w:rFonts w:ascii="Arial" w:cs="Arial" w:eastAsia="Arial" w:hAnsi="Arial"/>
          <w:sz w:val="18"/>
          <w:szCs w:val="18"/>
          <w:b w:val="1"/>
          <w:bCs w:val="1"/>
          <w:color w:val="auto"/>
        </w:rPr>
      </w:pPr>
    </w:p>
    <w:p>
      <w:pPr>
        <w:ind w:left="500" w:hanging="26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 the event of termination of employment because of death or disability.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does not reflect any equity awards made after September 30, 2011.</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Before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rPr>
              <w:t>After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Change in</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Change in</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99"/>
              </w:rPr>
              <w:t>Control:</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Control:</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Termination</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7"/>
              </w:rPr>
              <w:t>Termination</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w/o Cause</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w/o Cause</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or for</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or for</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Upon Change</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Death/</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90"/>
              </w:rPr>
              <w:t>Good Reason</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0"/>
              </w:rPr>
              <w:t>Good Reason</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in Control</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Disability</w:t>
            </w:r>
          </w:p>
        </w:tc>
        <w:tc>
          <w:tcPr>
            <w:tcW w:w="0" w:type="dxa"/>
            <w:vAlign w:val="bottom"/>
          </w:tcPr>
          <w:p>
            <w:pPr>
              <w:spacing w:after="0"/>
              <w:rPr>
                <w:sz w:val="1"/>
                <w:szCs w:val="1"/>
                <w:color w:val="auto"/>
              </w:rPr>
            </w:pPr>
          </w:p>
        </w:tc>
      </w:tr>
      <w:tr>
        <w:trPr>
          <w:trHeight w:val="276"/>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4"/>
                <w:szCs w:val="24"/>
                <w:color w:val="auto"/>
              </w:rPr>
            </w:pPr>
          </w:p>
        </w:tc>
        <w:tc>
          <w:tcPr>
            <w:tcW w:w="222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Benefit</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(1)</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19"/>
        </w:trPr>
        <w:tc>
          <w:tcPr>
            <w:tcW w:w="2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David J. Aldrich</w:t>
            </w:r>
          </w:p>
        </w:tc>
        <w:tc>
          <w:tcPr>
            <w:tcW w:w="2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President and Chief Executive</w:t>
            </w:r>
          </w:p>
        </w:tc>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Salary and Short-Term</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Officer(2)(5)</w:t>
            </w: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Incentive(4)</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3,080,927</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3,851,159</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Accelerated Options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3,109,725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3,109,725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3,109,725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3,109,725</w:t>
            </w:r>
          </w:p>
        </w:tc>
        <w:tc>
          <w:tcPr>
            <w:tcW w:w="0" w:type="dxa"/>
            <w:vAlign w:val="bottom"/>
          </w:tcPr>
          <w:p>
            <w:pPr>
              <w:spacing w:after="0"/>
              <w:rPr>
                <w:sz w:val="1"/>
                <w:szCs w:val="1"/>
                <w:color w:val="auto"/>
              </w:rPr>
            </w:pPr>
          </w:p>
        </w:tc>
      </w:tr>
      <w:tr>
        <w:trPr>
          <w:trHeight w:val="47"/>
        </w:trPr>
        <w:tc>
          <w:tcPr>
            <w:tcW w:w="2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Accelerated Restricted Stock</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w w:val="92"/>
              </w:rPr>
              <w:t>Accelerated Performance Shares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11,229,903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11,229,903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11,229,903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11,229,903</w:t>
            </w: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Medical</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21,401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Excise Tax Gross-Up(3)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4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17,420,555</w:t>
            </w: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18,212,188</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14,339,628</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14,339,628</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Donald W. Palette</w:t>
            </w:r>
          </w:p>
        </w:tc>
        <w:tc>
          <w:tcPr>
            <w:tcW w:w="2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560" w:type="dxa"/>
            <w:vAlign w:val="bottom"/>
            <w:gridSpan w:val="2"/>
            <w:vMerge w:val="continue"/>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60" w:type="dxa"/>
            <w:vAlign w:val="bottom"/>
            <w:gridSpan w:val="2"/>
          </w:tcPr>
          <w:p>
            <w:pPr>
              <w:ind w:left="100"/>
              <w:spacing w:after="0"/>
              <w:rPr>
                <w:sz w:val="20"/>
                <w:szCs w:val="20"/>
                <w:color w:val="auto"/>
              </w:rPr>
            </w:pPr>
            <w:r>
              <w:rPr>
                <w:rFonts w:ascii="Arial" w:cs="Arial" w:eastAsia="Arial" w:hAnsi="Arial"/>
                <w:sz w:val="16"/>
                <w:szCs w:val="16"/>
                <w:color w:val="auto"/>
              </w:rPr>
              <w:t>Vice President and Chief</w:t>
            </w:r>
          </w:p>
        </w:tc>
        <w:tc>
          <w:tcPr>
            <w:tcW w:w="2220" w:type="dxa"/>
            <w:vAlign w:val="bottom"/>
          </w:tcPr>
          <w:p>
            <w:pPr>
              <w:ind w:left="20"/>
              <w:spacing w:after="0"/>
              <w:rPr>
                <w:sz w:val="20"/>
                <w:szCs w:val="20"/>
                <w:color w:val="auto"/>
              </w:rPr>
            </w:pPr>
            <w:r>
              <w:rPr>
                <w:rFonts w:ascii="Arial" w:cs="Arial" w:eastAsia="Arial" w:hAnsi="Arial"/>
                <w:sz w:val="16"/>
                <w:szCs w:val="16"/>
                <w:color w:val="auto"/>
              </w:rPr>
              <w:t>Salary and Short-Term</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60" w:type="dxa"/>
            <w:vAlign w:val="bottom"/>
            <w:gridSpan w:val="2"/>
          </w:tcPr>
          <w:p>
            <w:pPr>
              <w:ind w:left="100"/>
              <w:spacing w:after="0"/>
              <w:rPr>
                <w:sz w:val="20"/>
                <w:szCs w:val="20"/>
                <w:color w:val="auto"/>
              </w:rPr>
            </w:pPr>
            <w:r>
              <w:rPr>
                <w:rFonts w:ascii="Arial" w:cs="Arial" w:eastAsia="Arial" w:hAnsi="Arial"/>
                <w:sz w:val="16"/>
                <w:szCs w:val="16"/>
                <w:color w:val="auto"/>
              </w:rPr>
              <w:t>Financial Officer</w:t>
            </w:r>
          </w:p>
        </w:tc>
        <w:tc>
          <w:tcPr>
            <w:tcW w:w="2220" w:type="dxa"/>
            <w:vAlign w:val="bottom"/>
          </w:tcPr>
          <w:p>
            <w:pPr>
              <w:ind w:left="20"/>
              <w:spacing w:after="0"/>
              <w:rPr>
                <w:sz w:val="20"/>
                <w:szCs w:val="20"/>
                <w:color w:val="auto"/>
              </w:rPr>
            </w:pPr>
            <w:r>
              <w:rPr>
                <w:rFonts w:ascii="Arial" w:cs="Arial" w:eastAsia="Arial" w:hAnsi="Arial"/>
                <w:sz w:val="16"/>
                <w:szCs w:val="16"/>
                <w:color w:val="auto"/>
              </w:rPr>
              <w:t>Incentive(4)</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669,418</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1,338,836</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Accelerated Options</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881,650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881,650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881,650</w:t>
            </w:r>
          </w:p>
        </w:tc>
        <w:tc>
          <w:tcPr>
            <w:tcW w:w="0" w:type="dxa"/>
            <w:vAlign w:val="bottom"/>
          </w:tcPr>
          <w:p>
            <w:pPr>
              <w:spacing w:after="0"/>
              <w:rPr>
                <w:sz w:val="1"/>
                <w:szCs w:val="1"/>
                <w:color w:val="auto"/>
              </w:rPr>
            </w:pPr>
          </w:p>
        </w:tc>
      </w:tr>
      <w:tr>
        <w:trPr>
          <w:trHeight w:val="237"/>
        </w:trPr>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Accelerated Restricted Stock</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2"/>
              </w:rPr>
              <w:t>Accelerated Performance Shares</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3,133,068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3,133,068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3,133,068</w:t>
            </w:r>
          </w:p>
        </w:tc>
        <w:tc>
          <w:tcPr>
            <w:tcW w:w="0" w:type="dxa"/>
            <w:vAlign w:val="bottom"/>
          </w:tcPr>
          <w:p>
            <w:pPr>
              <w:spacing w:after="0"/>
              <w:rPr>
                <w:sz w:val="1"/>
                <w:szCs w:val="1"/>
                <w:color w:val="auto"/>
              </w:rPr>
            </w:pPr>
          </w:p>
        </w:tc>
      </w:tr>
      <w:tr>
        <w:trPr>
          <w:trHeight w:val="224"/>
        </w:trPr>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Medical</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23,775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Excise Tax Gross-Up(3)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669,418</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5,377,329</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b w:val="1"/>
                <w:bCs w:val="1"/>
                <w:color w:val="auto"/>
              </w:rPr>
              <w:t>4,014,718</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4,014,718</w:t>
            </w:r>
          </w:p>
        </w:tc>
        <w:tc>
          <w:tcPr>
            <w:tcW w:w="0" w:type="dxa"/>
            <w:vAlign w:val="bottom"/>
          </w:tcPr>
          <w:p>
            <w:pPr>
              <w:spacing w:after="0"/>
              <w:rPr>
                <w:sz w:val="1"/>
                <w:szCs w:val="1"/>
                <w:color w:val="auto"/>
              </w:rPr>
            </w:pPr>
          </w:p>
        </w:tc>
      </w:tr>
      <w:tr>
        <w:trPr>
          <w:trHeight w:val="73"/>
        </w:trPr>
        <w:tc>
          <w:tcPr>
            <w:tcW w:w="24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560" w:type="dxa"/>
            <w:vAlign w:val="bottom"/>
            <w:gridSpan w:val="2"/>
            <w:shd w:val="clear" w:color="auto" w:fill="CCEEFF"/>
          </w:tcPr>
          <w:p>
            <w:pPr>
              <w:spacing w:after="0" w:line="174" w:lineRule="exact"/>
              <w:rPr>
                <w:sz w:val="20"/>
                <w:szCs w:val="20"/>
                <w:color w:val="auto"/>
              </w:rPr>
            </w:pPr>
            <w:r>
              <w:rPr>
                <w:rFonts w:ascii="Arial" w:cs="Arial" w:eastAsia="Arial" w:hAnsi="Arial"/>
                <w:sz w:val="16"/>
                <w:szCs w:val="16"/>
                <w:color w:val="auto"/>
              </w:rPr>
              <w:t>Gregory L. Waters Executive Vice</w:t>
            </w:r>
          </w:p>
        </w:tc>
        <w:tc>
          <w:tcPr>
            <w:tcW w:w="2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President and General Manager,</w:t>
            </w:r>
          </w:p>
        </w:tc>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Salary and Short-Term</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Front-End Solutions</w:t>
            </w: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Incentive(4)</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749,766</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1,499,532</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Accelerated Options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1,000,275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1,000,275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1,000,275</w:t>
            </w:r>
          </w:p>
        </w:tc>
        <w:tc>
          <w:tcPr>
            <w:tcW w:w="0" w:type="dxa"/>
            <w:vAlign w:val="bottom"/>
          </w:tcPr>
          <w:p>
            <w:pPr>
              <w:spacing w:after="0"/>
              <w:rPr>
                <w:sz w:val="1"/>
                <w:szCs w:val="1"/>
                <w:color w:val="auto"/>
              </w:rPr>
            </w:pPr>
          </w:p>
        </w:tc>
      </w:tr>
      <w:tr>
        <w:trPr>
          <w:trHeight w:val="47"/>
        </w:trPr>
        <w:tc>
          <w:tcPr>
            <w:tcW w:w="2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Accelerated Restricted Stock</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w w:val="92"/>
              </w:rPr>
              <w:t>Accelerated Performance Shares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3,235,350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3,235,350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3,235,350</w:t>
            </w: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Medical</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23,775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Arial" w:cs="Arial" w:eastAsia="Arial" w:hAnsi="Arial"/>
                <w:sz w:val="16"/>
                <w:szCs w:val="16"/>
                <w:color w:val="auto"/>
              </w:rPr>
              <w:t>Excise Tax Gross-Up(3)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4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749,766</w:t>
            </w: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5,758,932</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4,235,625</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4,235,625</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tbl>
      <w:tblPr>
        <w:tblLayout w:type="fixed"/>
        <w:tblInd w:w="420" w:type="dxa"/>
        <w:tblCellMar>
          <w:top w:w="0" w:type="dxa"/>
          <w:left w:w="0" w:type="dxa"/>
          <w:bottom w:w="0" w:type="dxa"/>
          <w:right w:w="0" w:type="dxa"/>
        </w:tblCellMar>
      </w:tblPr>
      <w:tr>
        <w:trPr>
          <w:trHeight w:val="203"/>
        </w:trPr>
        <w:tc>
          <w:tcPr>
            <w:tcW w:w="2440" w:type="dxa"/>
            <w:vAlign w:val="bottom"/>
          </w:tcPr>
          <w:p>
            <w:pPr>
              <w:ind w:left="40"/>
              <w:spacing w:after="0"/>
              <w:rPr>
                <w:sz w:val="20"/>
                <w:szCs w:val="20"/>
                <w:color w:val="auto"/>
              </w:rPr>
            </w:pPr>
            <w:r>
              <w:rPr>
                <w:rFonts w:ascii="Arial" w:cs="Arial" w:eastAsia="Arial" w:hAnsi="Arial"/>
                <w:sz w:val="16"/>
                <w:szCs w:val="16"/>
                <w:color w:val="auto"/>
              </w:rPr>
              <w:t>Liam K. Griffin</w:t>
            </w: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440" w:type="dxa"/>
            <w:vAlign w:val="bottom"/>
          </w:tcPr>
          <w:p>
            <w:pPr>
              <w:ind w:left="100"/>
              <w:spacing w:after="0"/>
              <w:rPr>
                <w:sz w:val="20"/>
                <w:szCs w:val="20"/>
                <w:color w:val="auto"/>
              </w:rPr>
            </w:pPr>
            <w:r>
              <w:rPr>
                <w:rFonts w:ascii="Arial" w:cs="Arial" w:eastAsia="Arial" w:hAnsi="Arial"/>
                <w:sz w:val="16"/>
                <w:szCs w:val="16"/>
                <w:color w:val="auto"/>
              </w:rPr>
              <w:t>Executive Vice President and</w:t>
            </w: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440" w:type="dxa"/>
            <w:vAlign w:val="bottom"/>
          </w:tcPr>
          <w:p>
            <w:pPr>
              <w:ind w:left="100"/>
              <w:spacing w:after="0"/>
              <w:rPr>
                <w:sz w:val="20"/>
                <w:szCs w:val="20"/>
                <w:color w:val="auto"/>
              </w:rPr>
            </w:pPr>
            <w:r>
              <w:rPr>
                <w:rFonts w:ascii="Arial" w:cs="Arial" w:eastAsia="Arial" w:hAnsi="Arial"/>
                <w:sz w:val="16"/>
                <w:szCs w:val="16"/>
                <w:color w:val="auto"/>
              </w:rPr>
              <w:t>General Manager, High</w:t>
            </w:r>
          </w:p>
        </w:tc>
        <w:tc>
          <w:tcPr>
            <w:tcW w:w="2420" w:type="dxa"/>
            <w:vAlign w:val="bottom"/>
          </w:tcPr>
          <w:p>
            <w:pPr>
              <w:ind w:left="140"/>
              <w:spacing w:after="0"/>
              <w:rPr>
                <w:sz w:val="20"/>
                <w:szCs w:val="20"/>
                <w:color w:val="auto"/>
              </w:rPr>
            </w:pPr>
            <w:r>
              <w:rPr>
                <w:rFonts w:ascii="Arial" w:cs="Arial" w:eastAsia="Arial" w:hAnsi="Arial"/>
                <w:sz w:val="16"/>
                <w:szCs w:val="16"/>
                <w:color w:val="auto"/>
              </w:rPr>
              <w:t>Salary and Short-Term</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2440" w:type="dxa"/>
            <w:vAlign w:val="bottom"/>
          </w:tcPr>
          <w:p>
            <w:pPr>
              <w:ind w:left="100"/>
              <w:spacing w:after="0"/>
              <w:rPr>
                <w:sz w:val="20"/>
                <w:szCs w:val="20"/>
                <w:color w:val="auto"/>
              </w:rPr>
            </w:pPr>
            <w:r>
              <w:rPr>
                <w:rFonts w:ascii="Arial" w:cs="Arial" w:eastAsia="Arial" w:hAnsi="Arial"/>
                <w:sz w:val="16"/>
                <w:szCs w:val="16"/>
                <w:color w:val="auto"/>
              </w:rPr>
              <w:t>Performance Analog</w:t>
            </w:r>
          </w:p>
        </w:tc>
        <w:tc>
          <w:tcPr>
            <w:tcW w:w="2420" w:type="dxa"/>
            <w:vAlign w:val="bottom"/>
          </w:tcPr>
          <w:p>
            <w:pPr>
              <w:ind w:left="140"/>
              <w:spacing w:after="0"/>
              <w:rPr>
                <w:sz w:val="20"/>
                <w:szCs w:val="20"/>
                <w:color w:val="auto"/>
              </w:rPr>
            </w:pPr>
            <w:r>
              <w:rPr>
                <w:rFonts w:ascii="Arial" w:cs="Arial" w:eastAsia="Arial" w:hAnsi="Arial"/>
                <w:sz w:val="16"/>
                <w:szCs w:val="16"/>
                <w:color w:val="auto"/>
              </w:rPr>
              <w:t>Incentive(4)</w:t>
            </w:r>
          </w:p>
        </w:tc>
        <w:tc>
          <w:tcPr>
            <w:tcW w:w="52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732,250</w:t>
            </w:r>
          </w:p>
        </w:tc>
        <w:tc>
          <w:tcPr>
            <w:tcW w:w="2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1,464,500</w:t>
            </w:r>
          </w:p>
        </w:tc>
        <w:tc>
          <w:tcPr>
            <w:tcW w:w="52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Accelerated Options</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1,000,275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1,000,275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1,000,275</w:t>
            </w:r>
          </w:p>
        </w:tc>
      </w:tr>
      <w:tr>
        <w:trPr>
          <w:trHeight w:val="237"/>
        </w:trPr>
        <w:tc>
          <w:tcPr>
            <w:tcW w:w="2440" w:type="dxa"/>
            <w:vAlign w:val="bottom"/>
          </w:tcPr>
          <w:p>
            <w:pPr>
              <w:spacing w:after="0"/>
              <w:rPr>
                <w:sz w:val="20"/>
                <w:szCs w:val="20"/>
                <w:color w:val="auto"/>
              </w:rPr>
            </w:pPr>
          </w:p>
        </w:tc>
        <w:tc>
          <w:tcPr>
            <w:tcW w:w="2420" w:type="dxa"/>
            <w:vAlign w:val="bottom"/>
          </w:tcPr>
          <w:p>
            <w:pPr>
              <w:ind w:left="140"/>
              <w:spacing w:after="0"/>
              <w:rPr>
                <w:sz w:val="20"/>
                <w:szCs w:val="20"/>
                <w:color w:val="auto"/>
              </w:rPr>
            </w:pPr>
            <w:r>
              <w:rPr>
                <w:rFonts w:ascii="Arial" w:cs="Arial" w:eastAsia="Arial" w:hAnsi="Arial"/>
                <w:sz w:val="16"/>
                <w:szCs w:val="16"/>
                <w:color w:val="auto"/>
              </w:rPr>
              <w:t>Accelerated Restricted Stock</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5"/>
              </w:rPr>
              <w:t>Accelerated Performance Shares</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3,774,150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3,774,150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3,774,150</w:t>
            </w:r>
          </w:p>
        </w:tc>
      </w:tr>
      <w:tr>
        <w:trPr>
          <w:trHeight w:val="224"/>
        </w:trPr>
        <w:tc>
          <w:tcPr>
            <w:tcW w:w="2440" w:type="dxa"/>
            <w:vAlign w:val="bottom"/>
          </w:tcPr>
          <w:p>
            <w:pPr>
              <w:spacing w:after="0"/>
              <w:rPr>
                <w:sz w:val="19"/>
                <w:szCs w:val="19"/>
                <w:color w:val="auto"/>
              </w:rPr>
            </w:pPr>
          </w:p>
        </w:tc>
        <w:tc>
          <w:tcPr>
            <w:tcW w:w="2420" w:type="dxa"/>
            <w:vAlign w:val="bottom"/>
          </w:tcPr>
          <w:p>
            <w:pPr>
              <w:ind w:left="140"/>
              <w:spacing w:after="0"/>
              <w:rPr>
                <w:sz w:val="20"/>
                <w:szCs w:val="20"/>
                <w:color w:val="auto"/>
              </w:rPr>
            </w:pPr>
            <w:r>
              <w:rPr>
                <w:rFonts w:ascii="Arial" w:cs="Arial" w:eastAsia="Arial" w:hAnsi="Arial"/>
                <w:sz w:val="16"/>
                <w:szCs w:val="16"/>
                <w:color w:val="auto"/>
              </w:rPr>
              <w:t>Medical</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21,401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24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0"/>
        </w:trPr>
        <w:tc>
          <w:tcPr>
            <w:tcW w:w="244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Excise Tax Gross-Up(3)</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2440" w:type="dxa"/>
            <w:vAlign w:val="bottom"/>
          </w:tcPr>
          <w:p>
            <w:pPr>
              <w:spacing w:after="0"/>
              <w:rPr>
                <w:sz w:val="18"/>
                <w:szCs w:val="18"/>
                <w:color w:val="auto"/>
              </w:rPr>
            </w:pPr>
          </w:p>
        </w:tc>
        <w:tc>
          <w:tcPr>
            <w:tcW w:w="242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38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732,250</w:t>
            </w:r>
          </w:p>
        </w:tc>
        <w:tc>
          <w:tcPr>
            <w:tcW w:w="2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6,260,326</w:t>
            </w:r>
          </w:p>
        </w:tc>
        <w:tc>
          <w:tcPr>
            <w:tcW w:w="200" w:type="dxa"/>
            <w:vAlign w:val="bottom"/>
          </w:tcPr>
          <w:p>
            <w:pPr>
              <w:spacing w:after="0"/>
              <w:rPr>
                <w:sz w:val="18"/>
                <w:szCs w:val="18"/>
                <w:color w:val="auto"/>
              </w:rPr>
            </w:pPr>
          </w:p>
        </w:tc>
        <w:tc>
          <w:tcPr>
            <w:tcW w:w="32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4,774,425</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4,774,425</w:t>
            </w:r>
          </w:p>
        </w:tc>
      </w:tr>
      <w:tr>
        <w:trPr>
          <w:trHeight w:val="73"/>
        </w:trPr>
        <w:tc>
          <w:tcPr>
            <w:tcW w:w="2440" w:type="dxa"/>
            <w:vAlign w:val="bottom"/>
            <w:tcBorders>
              <w:bottom w:val="single" w:sz="8" w:color="CCEEFF"/>
            </w:tcBorders>
          </w:tcPr>
          <w:p>
            <w:pPr>
              <w:spacing w:after="0"/>
              <w:rPr>
                <w:sz w:val="6"/>
                <w:szCs w:val="6"/>
                <w:color w:val="auto"/>
              </w:rPr>
            </w:pPr>
          </w:p>
        </w:tc>
        <w:tc>
          <w:tcPr>
            <w:tcW w:w="242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173"/>
        </w:trPr>
        <w:tc>
          <w:tcPr>
            <w:tcW w:w="2440" w:type="dxa"/>
            <w:vAlign w:val="bottom"/>
            <w:shd w:val="clear" w:color="auto" w:fill="CCEEFF"/>
          </w:tcPr>
          <w:p>
            <w:pPr>
              <w:ind w:left="40"/>
              <w:spacing w:after="0" w:line="174" w:lineRule="exact"/>
              <w:rPr>
                <w:sz w:val="20"/>
                <w:szCs w:val="20"/>
                <w:color w:val="auto"/>
              </w:rPr>
            </w:pPr>
            <w:r>
              <w:rPr>
                <w:rFonts w:ascii="Arial" w:cs="Arial" w:eastAsia="Arial" w:hAnsi="Arial"/>
                <w:sz w:val="16"/>
                <w:szCs w:val="16"/>
                <w:color w:val="auto"/>
              </w:rPr>
              <w:t>Bruce J. Freyman</w:t>
            </w:r>
          </w:p>
        </w:tc>
        <w:tc>
          <w:tcPr>
            <w:tcW w:w="2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24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7"/>
              </w:rPr>
              <w:t>Senior Vice President, Worldwide</w:t>
            </w:r>
          </w:p>
        </w:tc>
        <w:tc>
          <w:tcPr>
            <w:tcW w:w="2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Salary and Short-Term</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2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Operations</w:t>
            </w:r>
          </w:p>
        </w:tc>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Incentive(4)</w:t>
            </w:r>
          </w:p>
        </w:tc>
        <w:tc>
          <w:tcPr>
            <w:tcW w:w="520" w:type="dxa"/>
            <w:vAlign w:val="bottom"/>
            <w:tcBorders>
              <w:bottom w:val="single" w:sz="8" w:color="CCEEFF"/>
            </w:tcBorders>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701,278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1,402,556</w:t>
            </w:r>
          </w:p>
        </w:tc>
        <w:tc>
          <w:tcPr>
            <w:tcW w:w="52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2440" w:type="dxa"/>
            <w:vAlign w:val="bottom"/>
          </w:tcPr>
          <w:p>
            <w:pPr>
              <w:spacing w:after="0"/>
              <w:rPr>
                <w:sz w:val="19"/>
                <w:szCs w:val="19"/>
                <w:color w:val="auto"/>
              </w:rPr>
            </w:pPr>
          </w:p>
        </w:tc>
        <w:tc>
          <w:tcPr>
            <w:tcW w:w="2420" w:type="dxa"/>
            <w:vAlign w:val="bottom"/>
          </w:tcPr>
          <w:p>
            <w:pPr>
              <w:ind w:left="140"/>
              <w:spacing w:after="0"/>
              <w:rPr>
                <w:sz w:val="20"/>
                <w:szCs w:val="20"/>
                <w:color w:val="auto"/>
              </w:rPr>
            </w:pPr>
            <w:r>
              <w:rPr>
                <w:rFonts w:ascii="Arial" w:cs="Arial" w:eastAsia="Arial" w:hAnsi="Arial"/>
                <w:sz w:val="16"/>
                <w:szCs w:val="16"/>
                <w:color w:val="auto"/>
              </w:rPr>
              <w:t>Accelerated Options</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913,500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913,500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913,500</w:t>
            </w:r>
          </w:p>
        </w:tc>
      </w:tr>
      <w:tr>
        <w:trPr>
          <w:trHeight w:val="47"/>
        </w:trPr>
        <w:tc>
          <w:tcPr>
            <w:tcW w:w="24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24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Accelerated Restricted Stock</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440" w:type="dxa"/>
            <w:vAlign w:val="bottom"/>
          </w:tcPr>
          <w:p>
            <w:pPr>
              <w:spacing w:after="0"/>
              <w:rPr>
                <w:sz w:val="20"/>
                <w:szCs w:val="20"/>
                <w:color w:val="auto"/>
              </w:rPr>
            </w:pPr>
          </w:p>
        </w:tc>
        <w:tc>
          <w:tcPr>
            <w:tcW w:w="2420" w:type="dxa"/>
            <w:vAlign w:val="bottom"/>
          </w:tcPr>
          <w:p>
            <w:pPr>
              <w:ind w:left="140"/>
              <w:spacing w:after="0"/>
              <w:rPr>
                <w:sz w:val="20"/>
                <w:szCs w:val="20"/>
                <w:color w:val="auto"/>
              </w:rPr>
            </w:pPr>
            <w:r>
              <w:rPr>
                <w:rFonts w:ascii="Arial" w:cs="Arial" w:eastAsia="Arial" w:hAnsi="Arial"/>
                <w:sz w:val="16"/>
                <w:szCs w:val="16"/>
                <w:color w:val="auto"/>
                <w:w w:val="95"/>
              </w:rPr>
              <w:t>Accelerated Performance Shares</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3,196,647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3,196,647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3,196,647</w:t>
            </w:r>
          </w:p>
        </w:tc>
      </w:tr>
      <w:tr>
        <w:trPr>
          <w:trHeight w:val="33"/>
        </w:trPr>
        <w:tc>
          <w:tcPr>
            <w:tcW w:w="2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Medical</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21,401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440" w:type="dxa"/>
            <w:vAlign w:val="bottom"/>
          </w:tcPr>
          <w:p>
            <w:pPr>
              <w:spacing w:after="0"/>
              <w:rPr>
                <w:sz w:val="20"/>
                <w:szCs w:val="20"/>
                <w:color w:val="auto"/>
              </w:rPr>
            </w:pPr>
          </w:p>
        </w:tc>
        <w:tc>
          <w:tcPr>
            <w:tcW w:w="2420" w:type="dxa"/>
            <w:vAlign w:val="bottom"/>
          </w:tcPr>
          <w:p>
            <w:pPr>
              <w:ind w:left="140"/>
              <w:spacing w:after="0"/>
              <w:rPr>
                <w:sz w:val="20"/>
                <w:szCs w:val="20"/>
                <w:color w:val="auto"/>
              </w:rPr>
            </w:pPr>
            <w:r>
              <w:rPr>
                <w:rFonts w:ascii="Arial" w:cs="Arial" w:eastAsia="Arial" w:hAnsi="Arial"/>
                <w:sz w:val="16"/>
                <w:szCs w:val="16"/>
                <w:color w:val="auto"/>
              </w:rPr>
              <w:t>Excise Tax Gross-Up(3)</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4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24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w:t>
            </w:r>
          </w:p>
        </w:tc>
        <w:tc>
          <w:tcPr>
            <w:tcW w:w="520" w:type="dxa"/>
            <w:vAlign w:val="bottom"/>
            <w:tcBorders>
              <w:bottom w:val="single" w:sz="8" w:color="CCEEFF"/>
            </w:tcBorders>
            <w:gridSpan w:val="2"/>
            <w:shd w:val="clear" w:color="auto" w:fill="CCEEFF"/>
          </w:tcPr>
          <w:p>
            <w:pPr>
              <w:jc w:val="right"/>
              <w:ind w:right="224"/>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701,278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5,534,104</w:t>
            </w:r>
          </w:p>
        </w:tc>
        <w:tc>
          <w:tcPr>
            <w:tcW w:w="52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4,110,147</w:t>
            </w:r>
          </w:p>
        </w:tc>
        <w:tc>
          <w:tcPr>
            <w:tcW w:w="46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4,110,147</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ind w:left="300" w:hanging="292"/>
        <w:spacing w:after="0" w:line="290" w:lineRule="auto"/>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Reflects a price of $17.96 per share, which was the closing sale price of the Company’s common stock on the NASDAQ Global Select Market on September 30, 2011. Excludes Mr. Aldrich’s contributions to deferred compensation plan as there have been no employer contributions.</w:t>
      </w:r>
    </w:p>
    <w:p>
      <w:pPr>
        <w:spacing w:after="0" w:line="161" w:lineRule="exact"/>
        <w:rPr>
          <w:rFonts w:ascii="Arial" w:cs="Arial" w:eastAsia="Arial" w:hAnsi="Arial"/>
          <w:sz w:val="17"/>
          <w:szCs w:val="17"/>
          <w:color w:val="auto"/>
        </w:rPr>
      </w:pPr>
    </w:p>
    <w:p>
      <w:pPr>
        <w:ind w:left="300" w:hanging="292"/>
        <w:spacing w:after="0" w:line="27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“Good Reason” termination in change in control circumstances for Mr. Aldrich includes voluntarily terminating employment following such change in control.</w:t>
      </w:r>
    </w:p>
    <w:p>
      <w:pPr>
        <w:spacing w:after="0" w:line="170" w:lineRule="exact"/>
        <w:rPr>
          <w:rFonts w:ascii="Arial" w:cs="Arial" w:eastAsia="Arial" w:hAnsi="Arial"/>
          <w:sz w:val="18"/>
          <w:szCs w:val="18"/>
          <w:color w:val="auto"/>
        </w:rPr>
      </w:pPr>
    </w:p>
    <w:p>
      <w:pPr>
        <w:ind w:left="300" w:hanging="292"/>
        <w:spacing w:after="0" w:line="27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than Mr. Aldrich, the Named Executive Officer’s excise tax gross-up is capped at $500,000. According to the table above, no Named Executive Officer would have received any gross-up in fiscal year 2011.</w:t>
      </w:r>
    </w:p>
    <w:p>
      <w:pPr>
        <w:spacing w:after="0" w:line="170" w:lineRule="exact"/>
        <w:rPr>
          <w:rFonts w:ascii="Arial" w:cs="Arial" w:eastAsia="Arial" w:hAnsi="Arial"/>
          <w:sz w:val="18"/>
          <w:szCs w:val="18"/>
          <w:color w:val="auto"/>
        </w:rPr>
      </w:pPr>
    </w:p>
    <w:p>
      <w:pPr>
        <w:jc w:val="both"/>
        <w:ind w:left="300" w:hanging="292"/>
        <w:spacing w:after="0" w:line="264"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an Incentive Plan payment of the three (3) year average of the actual incentive payments made for fiscal years 2010, 2009 and 2008 since such average is greater than the three (3) year average at the “target” payout level. Amounts shown do not reflect the value of accrued vacation/paid time off to be paid upon termination as required by law.</w:t>
      </w:r>
    </w:p>
    <w:p>
      <w:pPr>
        <w:spacing w:after="0" w:line="181" w:lineRule="exact"/>
        <w:rPr>
          <w:rFonts w:ascii="Arial" w:cs="Arial" w:eastAsia="Arial" w:hAnsi="Arial"/>
          <w:sz w:val="18"/>
          <w:szCs w:val="18"/>
          <w:color w:val="auto"/>
        </w:rPr>
      </w:pPr>
    </w:p>
    <w:p>
      <w:pPr>
        <w:ind w:left="300" w:hanging="292"/>
        <w:spacing w:after="0" w:line="342" w:lineRule="auto"/>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event Mr. Aldrich voluntarily terminated his employment outside of a change of control as of September 30, 2011, he would have received $16,149,616, comprised of the following: cash ($3,080,927); accelerated options ($3,109,725); and accelerated performance share awards ($9,958,964).</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92" w:right="239" w:bottom="1440" w:gutter="0" w:footer="0" w:header="0"/>
        </w:sectPr>
      </w:pPr>
    </w:p>
    <w:bookmarkStart w:id="21" w:name="page22"/>
    <w:bookmarkEnd w:id="21"/>
    <w:p>
      <w:pPr>
        <w:ind w:left="12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Cash Compensation</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Directors who are not employees of the Company are paid, in quarterly installments, an annual retainer of $50,000. Prior to February 1, 2011, additional annual retainers were paid, in quarterly installments, to the Chairman of the Board ($17,500); the Chairman of the Audit Committee ($15,000); the Chairman of the Compensation Committee ($10,000); and the Chairman of the Nominating and Governance Committee ($5,000). Additional annual retainers were also paid, in quarterly installments, to directors who served on committees in roles other than as Chairman as follows: Audit Committee ($5,000); Compensation Committee ($3,000); and Nominating and Corporate Governance Committee ($2,000).</w:t>
      </w:r>
    </w:p>
    <w:p>
      <w:pPr>
        <w:spacing w:after="0" w:line="17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Beginning February 1, 2011, the additional annual retainers (paid in quarterly installments) were increased as follows: the Chairman of the Board ($30,000); the Chairman of the Audit Committee ($20,000); the Chairman of the Compensation Committee ($15,000); the Chairman of the Nominating and Governance Committee ($10,000); non-chair member of Audit Committee ($10,000); non-chair member of Compensation Committee ($7,500); and non-chair member of Nominating and Corporate Governance Committee ($5,000). In addition, the Compensation Committee continues to retain discretion to recommend to the full Board of Directors that additional cash payments be made to a non-employee director(s) for extraordinary service during a fiscal year.</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Equity-Compensation</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6"/>
          <w:szCs w:val="16"/>
          <w:color w:val="auto"/>
        </w:rPr>
        <w:t>Prior to February 1, 2011, when first elected to serve as a non-employee director, such director automatically received a nonqualified stock option to purchase 25,000 shares of common stock, at an exercise price equal to the fair market value of the common stock on the date of grant, and a restricted stock award for 12,500 shares of common stock. In addition, following each annual meeting of stockholders between March 27, 2008 and February 1, 2011, each non-employee director who continued in office received a restricted stock award for 12,500 shares. Beginning on February 1, 2011, newly appointed non-employee directors will receive an initial equity grant comprised of a combination of stock options and restricted stock having an aggregate Black-Scholes value targeted between the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and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of the director equity compensation component of Skyworks Comparator Group, with the stock option having an exercise price equal to the fair market value of the common stock on the date of grant. In addition, following each annual meeting of stockholders, each non-employee director who is continuing in office or re-elected after February 1, 2011, will receive a restricted stock award for 6,000 shares. Unless otherwise determined by the Board of Directors, any nonqualified stock options awarded under the 2008 Director Long-Term Incentive Plan will vest in four</w:t>
      </w:r>
    </w:p>
    <w:p>
      <w:pPr>
        <w:spacing w:after="0" w:line="4" w:lineRule="exact"/>
        <w:rPr>
          <w:sz w:val="20"/>
          <w:szCs w:val="20"/>
          <w:color w:val="auto"/>
        </w:rPr>
      </w:pPr>
    </w:p>
    <w:p>
      <w:pPr>
        <w:jc w:val="both"/>
        <w:ind w:right="20" w:firstLine="8"/>
        <w:spacing w:after="0" w:line="255"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equal annual installments and any restricted stock awards under the 2008 Directors’ Plan will vest in three (3) equal annual installments. In the event of a change of control of the Company, the outstanding options and restricted stock under the 2008 Director Long-Term Incentive Plan shall become fully exercisable and deemed fully vested, respectively.</w:t>
      </w:r>
    </w:p>
    <w:p>
      <w:pPr>
        <w:spacing w:after="0" w:line="190"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No director who is also an employee receives separate compensation for services rendered as a director. David J. Aldrich is currently the only director who is also an employee of the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Director Compensation Table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compensation paid to the Company’s non-employee directors for fiscal year 2011.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640"/>
              <w:spacing w:after="0"/>
              <w:rPr>
                <w:sz w:val="20"/>
                <w:szCs w:val="20"/>
                <w:color w:val="auto"/>
              </w:rPr>
            </w:pPr>
            <w:r>
              <w:rPr>
                <w:rFonts w:ascii="Arial" w:cs="Arial" w:eastAsia="Arial" w:hAnsi="Arial"/>
                <w:sz w:val="14"/>
                <w:szCs w:val="14"/>
                <w:b w:val="1"/>
                <w:bCs w:val="1"/>
                <w:color w:val="auto"/>
              </w:rPr>
              <w:t>Fees</w:t>
            </w:r>
          </w:p>
        </w:tc>
        <w:tc>
          <w:tcPr>
            <w:tcW w:w="280" w:type="dxa"/>
            <w:vAlign w:val="bottom"/>
          </w:tcPr>
          <w:p>
            <w:pPr>
              <w:spacing w:after="0"/>
              <w:rPr>
                <w:sz w:val="14"/>
                <w:szCs w:val="14"/>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Earned or</w:t>
            </w: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560"/>
              <w:spacing w:after="0" w:line="149" w:lineRule="exact"/>
              <w:rPr>
                <w:sz w:val="20"/>
                <w:szCs w:val="20"/>
                <w:color w:val="auto"/>
              </w:rPr>
            </w:pPr>
            <w:r>
              <w:rPr>
                <w:rFonts w:ascii="Arial" w:cs="Arial" w:eastAsia="Arial" w:hAnsi="Arial"/>
                <w:sz w:val="14"/>
                <w:szCs w:val="14"/>
                <w:b w:val="1"/>
                <w:bCs w:val="1"/>
                <w:color w:val="auto"/>
              </w:rPr>
              <w:t>Paid in</w:t>
            </w:r>
          </w:p>
        </w:tc>
        <w:tc>
          <w:tcPr>
            <w:tcW w:w="280" w:type="dxa"/>
            <w:vAlign w:val="bottom"/>
          </w:tcPr>
          <w:p>
            <w:pPr>
              <w:spacing w:after="0"/>
              <w:rPr>
                <w:sz w:val="12"/>
                <w:szCs w:val="12"/>
                <w:color w:val="auto"/>
              </w:rPr>
            </w:pPr>
          </w:p>
        </w:tc>
        <w:tc>
          <w:tcPr>
            <w:tcW w:w="110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108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Awards</w:t>
            </w:r>
          </w:p>
        </w:tc>
        <w:tc>
          <w:tcPr>
            <w:tcW w:w="400" w:type="dxa"/>
            <w:vAlign w:val="bottom"/>
          </w:tcPr>
          <w:p>
            <w:pPr>
              <w:spacing w:after="0"/>
              <w:rPr>
                <w:sz w:val="12"/>
                <w:szCs w:val="12"/>
                <w:color w:val="auto"/>
              </w:rPr>
            </w:pPr>
          </w:p>
        </w:tc>
        <w:tc>
          <w:tcPr>
            <w:tcW w:w="980" w:type="dxa"/>
            <w:vAlign w:val="bottom"/>
            <w:vMerge w:val="restart"/>
          </w:tcPr>
          <w:p>
            <w:pPr>
              <w:jc w:val="center"/>
              <w:ind w:left="17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2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Name</w:t>
            </w:r>
          </w:p>
        </w:tc>
        <w:tc>
          <w:tcPr>
            <w:tcW w:w="3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Cash</w:t>
            </w:r>
          </w:p>
        </w:tc>
        <w:tc>
          <w:tcPr>
            <w:tcW w:w="280" w:type="dxa"/>
            <w:vAlign w:val="bottom"/>
          </w:tcPr>
          <w:p>
            <w:pPr>
              <w:spacing w:after="0"/>
              <w:rPr>
                <w:sz w:val="12"/>
                <w:szCs w:val="12"/>
                <w:color w:val="auto"/>
              </w:rPr>
            </w:pPr>
          </w:p>
        </w:tc>
        <w:tc>
          <w:tcPr>
            <w:tcW w:w="90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(1)</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w:t>
            </w:r>
          </w:p>
        </w:tc>
        <w:tc>
          <w:tcPr>
            <w:tcW w:w="2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David J. McLachlan, Chairman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89,875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162,474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2"/>
              </w:rPr>
              <w:t>252,349</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Timothy R. Furey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560"/>
              <w:spacing w:after="0"/>
              <w:rPr>
                <w:sz w:val="20"/>
                <w:szCs w:val="20"/>
                <w:color w:val="auto"/>
              </w:rPr>
            </w:pPr>
            <w:r>
              <w:rPr>
                <w:rFonts w:ascii="Arial" w:cs="Arial" w:eastAsia="Arial" w:hAnsi="Arial"/>
                <w:sz w:val="18"/>
                <w:szCs w:val="18"/>
                <w:color w:val="auto"/>
              </w:rPr>
              <w:t>68,000</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220"/>
              <w:spacing w:after="0"/>
              <w:rPr>
                <w:sz w:val="20"/>
                <w:szCs w:val="20"/>
                <w:color w:val="auto"/>
              </w:rPr>
            </w:pPr>
            <w:r>
              <w:rPr>
                <w:rFonts w:ascii="Arial" w:cs="Arial" w:eastAsia="Arial" w:hAnsi="Arial"/>
                <w:sz w:val="18"/>
                <w:szCs w:val="18"/>
                <w:color w:val="auto"/>
              </w:rPr>
              <w:t>162,474</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left="134"/>
              <w:spacing w:after="0"/>
              <w:rPr>
                <w:sz w:val="20"/>
                <w:szCs w:val="20"/>
                <w:color w:val="auto"/>
              </w:rPr>
            </w:pPr>
            <w:r>
              <w:rPr>
                <w:rFonts w:ascii="Arial" w:cs="Arial" w:eastAsia="Arial" w:hAnsi="Arial"/>
                <w:sz w:val="18"/>
                <w:szCs w:val="18"/>
                <w:color w:val="auto"/>
                <w:w w:val="92"/>
              </w:rPr>
              <w:t>230,474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Kevin L. Beebe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65,125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162,474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2"/>
              </w:rPr>
              <w:t>227,599</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David P. McGlade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560"/>
              <w:spacing w:after="0"/>
              <w:rPr>
                <w:sz w:val="20"/>
                <w:szCs w:val="20"/>
                <w:color w:val="auto"/>
              </w:rPr>
            </w:pPr>
            <w:r>
              <w:rPr>
                <w:rFonts w:ascii="Arial" w:cs="Arial" w:eastAsia="Arial" w:hAnsi="Arial"/>
                <w:sz w:val="18"/>
                <w:szCs w:val="18"/>
                <w:color w:val="auto"/>
              </w:rPr>
              <w:t>60,625</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220"/>
              <w:spacing w:after="0"/>
              <w:rPr>
                <w:sz w:val="20"/>
                <w:szCs w:val="20"/>
                <w:color w:val="auto"/>
              </w:rPr>
            </w:pPr>
            <w:r>
              <w:rPr>
                <w:rFonts w:ascii="Arial" w:cs="Arial" w:eastAsia="Arial" w:hAnsi="Arial"/>
                <w:sz w:val="18"/>
                <w:szCs w:val="18"/>
                <w:color w:val="auto"/>
              </w:rPr>
              <w:t>162,474</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left="134"/>
              <w:spacing w:after="0"/>
              <w:rPr>
                <w:sz w:val="20"/>
                <w:szCs w:val="20"/>
                <w:color w:val="auto"/>
              </w:rPr>
            </w:pPr>
            <w:r>
              <w:rPr>
                <w:rFonts w:ascii="Arial" w:cs="Arial" w:eastAsia="Arial" w:hAnsi="Arial"/>
                <w:sz w:val="18"/>
                <w:szCs w:val="18"/>
                <w:color w:val="auto"/>
                <w:w w:val="92"/>
              </w:rPr>
              <w:t>223,099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A. Schriesheim</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75,125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162,474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2"/>
              </w:rPr>
              <w:t>237,599</w:t>
            </w:r>
          </w:p>
        </w:tc>
        <w:tc>
          <w:tcPr>
            <w:tcW w:w="0" w:type="dxa"/>
            <w:vAlign w:val="bottom"/>
          </w:tcPr>
          <w:p>
            <w:pPr>
              <w:spacing w:after="0"/>
              <w:rPr>
                <w:sz w:val="1"/>
                <w:szCs w:val="1"/>
                <w:color w:val="auto"/>
              </w:rPr>
            </w:pPr>
          </w:p>
        </w:tc>
      </w:tr>
      <w:tr>
        <w:trPr>
          <w:trHeight w:val="243"/>
        </w:trPr>
        <w:tc>
          <w:tcPr>
            <w:tcW w:w="5040" w:type="dxa"/>
            <w:vAlign w:val="bottom"/>
            <w:gridSpan w:val="2"/>
          </w:tcPr>
          <w:p>
            <w:pPr>
              <w:ind w:left="60"/>
              <w:spacing w:after="0"/>
              <w:rPr>
                <w:sz w:val="20"/>
                <w:szCs w:val="20"/>
                <w:color w:val="auto"/>
              </w:rPr>
            </w:pPr>
            <w:r>
              <w:rPr>
                <w:rFonts w:ascii="Arial" w:cs="Arial" w:eastAsia="Arial" w:hAnsi="Arial"/>
                <w:sz w:val="18"/>
                <w:szCs w:val="18"/>
                <w:color w:val="auto"/>
              </w:rPr>
              <w:t>Balakrishnan S. Iyer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560"/>
              <w:spacing w:after="0"/>
              <w:rPr>
                <w:sz w:val="20"/>
                <w:szCs w:val="20"/>
                <w:color w:val="auto"/>
              </w:rPr>
            </w:pPr>
            <w:r>
              <w:rPr>
                <w:rFonts w:ascii="Arial" w:cs="Arial" w:eastAsia="Arial" w:hAnsi="Arial"/>
                <w:sz w:val="18"/>
                <w:szCs w:val="18"/>
                <w:color w:val="auto"/>
              </w:rPr>
              <w:t>67,500</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220"/>
              <w:spacing w:after="0"/>
              <w:rPr>
                <w:sz w:val="20"/>
                <w:szCs w:val="20"/>
                <w:color w:val="auto"/>
              </w:rPr>
            </w:pPr>
            <w:r>
              <w:rPr>
                <w:rFonts w:ascii="Arial" w:cs="Arial" w:eastAsia="Arial" w:hAnsi="Arial"/>
                <w:sz w:val="18"/>
                <w:szCs w:val="18"/>
                <w:color w:val="auto"/>
              </w:rPr>
              <w:t>162,474</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left="134"/>
              <w:spacing w:after="0"/>
              <w:rPr>
                <w:sz w:val="20"/>
                <w:szCs w:val="20"/>
                <w:color w:val="auto"/>
              </w:rPr>
            </w:pPr>
            <w:r>
              <w:rPr>
                <w:rFonts w:ascii="Arial" w:cs="Arial" w:eastAsia="Arial" w:hAnsi="Arial"/>
                <w:sz w:val="18"/>
                <w:szCs w:val="18"/>
                <w:color w:val="auto"/>
                <w:w w:val="92"/>
              </w:rPr>
              <w:t>229,974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Moiz M. Beguwala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63,000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162,474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2"/>
              </w:rPr>
              <w:t>225,474</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Thomas C. Leonard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56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220"/>
              <w:spacing w:after="0"/>
              <w:rPr>
                <w:sz w:val="20"/>
                <w:szCs w:val="20"/>
                <w:color w:val="auto"/>
              </w:rPr>
            </w:pPr>
            <w:r>
              <w:rPr>
                <w:rFonts w:ascii="Arial" w:cs="Arial" w:eastAsia="Arial" w:hAnsi="Arial"/>
                <w:sz w:val="18"/>
                <w:szCs w:val="18"/>
                <w:color w:val="auto"/>
              </w:rPr>
              <w:t>162,474</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left="134"/>
              <w:spacing w:after="0"/>
              <w:rPr>
                <w:sz w:val="20"/>
                <w:szCs w:val="20"/>
                <w:color w:val="auto"/>
              </w:rPr>
            </w:pPr>
            <w:r>
              <w:rPr>
                <w:rFonts w:ascii="Arial" w:cs="Arial" w:eastAsia="Arial" w:hAnsi="Arial"/>
                <w:sz w:val="18"/>
                <w:szCs w:val="18"/>
                <w:color w:val="auto"/>
                <w:w w:val="92"/>
              </w:rPr>
              <w:t>212,474</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____________</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5620" w:right="2260" w:hanging="5612"/>
        <w:spacing w:after="0" w:line="542" w:lineRule="auto"/>
        <w:tabs>
          <w:tab w:leader="none" w:pos="2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in the Stock Awards column represents the grant date fair values, computed in accordance with the provisions 22</w:t>
      </w:r>
    </w:p>
    <w:p>
      <w:pPr>
        <w:sectPr>
          <w:pgSz w:w="11900" w:h="16838" w:orient="portrait"/>
          <w:cols w:equalWidth="0" w:num="1">
            <w:col w:w="11420"/>
          </w:cols>
          <w:pgMar w:left="240" w:top="125" w:right="239" w:bottom="1440" w:gutter="0" w:footer="0" w:header="0"/>
        </w:sectPr>
      </w:pPr>
    </w:p>
    <w:bookmarkStart w:id="22" w:name="page23"/>
    <w:bookmarkEnd w:id="22"/>
    <w:p>
      <w:pPr>
        <w:ind w:left="300"/>
        <w:spacing w:after="0" w:line="357" w:lineRule="auto"/>
        <w:rPr>
          <w:sz w:val="20"/>
          <w:szCs w:val="20"/>
          <w:color w:val="auto"/>
        </w:rPr>
      </w:pPr>
      <w:r>
        <w:rPr>
          <w:rFonts w:ascii="Arial" w:cs="Arial" w:eastAsia="Arial" w:hAnsi="Arial"/>
          <w:sz w:val="17"/>
          <w:szCs w:val="17"/>
          <w:color w:val="auto"/>
        </w:rPr>
        <w:t>of ASC 718, for awards made during the fiscal year, with estimated forfeiture rates applied. For a description of the assumptions used in calculating the fair value of equity awards under ASC 718, see Note 11 of the Company’s financial statements included in the Original Filing.</w:t>
      </w:r>
    </w:p>
    <w:p>
      <w:pPr>
        <w:spacing w:after="0" w:line="121" w:lineRule="exact"/>
        <w:rPr>
          <w:sz w:val="20"/>
          <w:szCs w:val="20"/>
          <w:color w:val="auto"/>
        </w:rPr>
      </w:pPr>
    </w:p>
    <w:p>
      <w:pPr>
        <w:ind w:left="300" w:hanging="292"/>
        <w:spacing w:after="0" w:line="277"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non-employee members of the Board of Directors who held such position on September 30, 2011, held the following aggregate number of unexercised options as of such date: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ind w:left="6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49"/>
        </w:trPr>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4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Unexercised</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auto"/>
            </w:tcBorders>
            <w:vMerge w:val="continue"/>
          </w:tcPr>
          <w:p>
            <w:pPr>
              <w:spacing w:after="0"/>
              <w:rPr>
                <w:sz w:val="16"/>
                <w:szCs w:val="16"/>
                <w:color w:val="auto"/>
              </w:rPr>
            </w:pPr>
          </w:p>
        </w:tc>
        <w:tc>
          <w:tcPr>
            <w:tcW w:w="422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David J. McLachlan, Chairman</w:t>
            </w:r>
          </w:p>
        </w:tc>
        <w:tc>
          <w:tcPr>
            <w:tcW w:w="65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Timothy R. Furey</w:t>
            </w:r>
          </w:p>
        </w:tc>
        <w:tc>
          <w:tcPr>
            <w:tcW w:w="6520" w:type="dxa"/>
            <w:vAlign w:val="bottom"/>
            <w:gridSpan w:val="3"/>
          </w:tcPr>
          <w:p>
            <w:pPr>
              <w:jc w:val="right"/>
              <w:ind w:right="28"/>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Kevin L. Beebe</w:t>
            </w:r>
          </w:p>
        </w:tc>
        <w:tc>
          <w:tcPr>
            <w:tcW w:w="65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David P. McGlade</w:t>
            </w:r>
          </w:p>
        </w:tc>
        <w:tc>
          <w:tcPr>
            <w:tcW w:w="6520" w:type="dxa"/>
            <w:vAlign w:val="bottom"/>
            <w:gridSpan w:val="3"/>
          </w:tcPr>
          <w:p>
            <w:pPr>
              <w:jc w:val="right"/>
              <w:ind w:right="28"/>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Robert A. Schriesheim</w:t>
            </w:r>
          </w:p>
        </w:tc>
        <w:tc>
          <w:tcPr>
            <w:tcW w:w="65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43"/>
        </w:trPr>
        <w:tc>
          <w:tcPr>
            <w:tcW w:w="3960" w:type="dxa"/>
            <w:vAlign w:val="bottom"/>
          </w:tcPr>
          <w:p>
            <w:pPr>
              <w:ind w:left="60"/>
              <w:spacing w:after="0"/>
              <w:rPr>
                <w:sz w:val="20"/>
                <w:szCs w:val="20"/>
                <w:color w:val="auto"/>
              </w:rPr>
            </w:pPr>
            <w:r>
              <w:rPr>
                <w:rFonts w:ascii="Arial" w:cs="Arial" w:eastAsia="Arial" w:hAnsi="Arial"/>
                <w:sz w:val="18"/>
                <w:szCs w:val="18"/>
                <w:color w:val="auto"/>
              </w:rPr>
              <w:t>Balakrishnan S. Iyer</w:t>
            </w:r>
          </w:p>
        </w:tc>
        <w:tc>
          <w:tcPr>
            <w:tcW w:w="6520" w:type="dxa"/>
            <w:vAlign w:val="bottom"/>
            <w:gridSpan w:val="3"/>
          </w:tcPr>
          <w:p>
            <w:pPr>
              <w:jc w:val="right"/>
              <w:ind w:right="28"/>
              <w:spacing w:after="0"/>
              <w:rPr>
                <w:sz w:val="20"/>
                <w:szCs w:val="20"/>
                <w:color w:val="auto"/>
              </w:rPr>
            </w:pPr>
            <w:r>
              <w:rPr>
                <w:rFonts w:ascii="Arial" w:cs="Arial" w:eastAsia="Arial" w:hAnsi="Arial"/>
                <w:sz w:val="18"/>
                <w:szCs w:val="18"/>
                <w:color w:val="auto"/>
              </w:rPr>
              <w:t>97,423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Moiz M. Beguwala</w:t>
            </w:r>
          </w:p>
        </w:tc>
        <w:tc>
          <w:tcPr>
            <w:tcW w:w="65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81,000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Thomas C. Leonard</w:t>
            </w:r>
          </w:p>
        </w:tc>
        <w:tc>
          <w:tcPr>
            <w:tcW w:w="6520" w:type="dxa"/>
            <w:vAlign w:val="bottom"/>
            <w:gridSpan w:val="3"/>
          </w:tcPr>
          <w:p>
            <w:pPr>
              <w:jc w:val="right"/>
              <w:ind w:right="28"/>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702"/>
        </w:trPr>
        <w:tc>
          <w:tcPr>
            <w:tcW w:w="3960" w:type="dxa"/>
            <w:vAlign w:val="bottom"/>
          </w:tcPr>
          <w:p>
            <w:pPr>
              <w:spacing w:after="0"/>
              <w:rPr>
                <w:sz w:val="24"/>
                <w:szCs w:val="24"/>
                <w:color w:val="auto"/>
              </w:rPr>
            </w:pPr>
          </w:p>
        </w:tc>
        <w:tc>
          <w:tcPr>
            <w:tcW w:w="4220" w:type="dxa"/>
            <w:vAlign w:val="bottom"/>
          </w:tcPr>
          <w:p>
            <w:pPr>
              <w:jc w:val="right"/>
              <w:ind w:right="229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5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Compensation Committee of the Board of Directors currently comprises, and during fiscal year 2011 was comprised of, Messrs. Beebe, Furey (Chairman), McGlade and Schriesheim. No member of this committee was at any time during the past fiscal year an officer or employee of the Company, was formerly an officer of the Company or any of its subsidiaries, or had any employment relationship with the Company or any of its subsidiaries. No executive officer of Skyworks has served as a director or member of the compensation committee (or other committee serving an equivalent function) of any other entity, one of whose executive officers served as a director of or member of the Compensation Committee of Skyworks.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included herein with management, and based on the review and discussions, the Compensation Committee recommended to the Board of Directors that the Compensation Discussion and Analysis be included in this Form 10-K/A.</w:t>
      </w:r>
    </w:p>
    <w:p>
      <w:pPr>
        <w:spacing w:after="0" w:line="18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COMPENSATION COMMITTEE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Kevin L. Beebe</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Timothy R. Furey, Chairman</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David P. McGlade</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Robert A. Schriesheim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80" w:right="660" w:hanging="85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To the Company’s knowledge, the following table sets forth the beneficial ownership of the Company’s common stock as of January 13, 2012, by the following individuals or entities: (i) each person or entity who beneficially owns 5% or more of the outstanding shares of the Company’s common stock as of January 13, 2012; (ii) the Named Executive Officers (as defined herein under the heading </w:t>
      </w:r>
      <w:r>
        <w:rPr>
          <w:rFonts w:ascii="Arial" w:cs="Arial" w:eastAsia="Arial" w:hAnsi="Arial"/>
          <w:sz w:val="17"/>
          <w:szCs w:val="17"/>
          <w:i w:val="1"/>
          <w:iCs w:val="1"/>
          <w:color w:val="auto"/>
        </w:rPr>
        <w:t>“Compensation Tables for Named Executive Officers”</w:t>
      </w:r>
      <w:r>
        <w:rPr>
          <w:rFonts w:ascii="Arial" w:cs="Arial" w:eastAsia="Arial" w:hAnsi="Arial"/>
          <w:sz w:val="17"/>
          <w:szCs w:val="17"/>
          <w:color w:val="auto"/>
        </w:rPr>
        <w:t>); (iii) each director and nominee for director; and (iv) all current executive officers and directors of the Company, as a group.</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January 13, 2012, there were 188,000,179 shares of Skyworks common stock issued and outstanding.</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January 13, 2012, are deemed outstanding. These shares are not, however, deemed outstanding for the purpose of computing the percentage ownership of any other person.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jc w:val="right"/>
              <w:ind w:right="392"/>
              <w:spacing w:after="0"/>
              <w:rPr>
                <w:sz w:val="20"/>
                <w:szCs w:val="20"/>
                <w:color w:val="auto"/>
              </w:rPr>
            </w:pPr>
            <w:r>
              <w:rPr>
                <w:rFonts w:ascii="Arial" w:cs="Arial" w:eastAsia="Arial" w:hAnsi="Arial"/>
                <w:sz w:val="14"/>
                <w:szCs w:val="14"/>
                <w:b w:val="1"/>
                <w:bCs w:val="1"/>
                <w:color w:val="auto"/>
              </w:rPr>
              <w:t>Number of Shares</w:t>
            </w:r>
          </w:p>
        </w:tc>
        <w:tc>
          <w:tcPr>
            <w:tcW w:w="540" w:type="dxa"/>
            <w:vAlign w:val="bottom"/>
          </w:tcPr>
          <w:p>
            <w:pPr>
              <w:spacing w:after="0"/>
              <w:rPr>
                <w:sz w:val="16"/>
                <w:szCs w:val="16"/>
                <w:color w:val="auto"/>
              </w:rPr>
            </w:pPr>
          </w:p>
        </w:tc>
        <w:tc>
          <w:tcPr>
            <w:tcW w:w="1280" w:type="dxa"/>
            <w:vAlign w:val="bottom"/>
          </w:tcPr>
          <w:p>
            <w:pPr>
              <w:jc w:val="right"/>
              <w:ind w:right="332"/>
              <w:spacing w:after="0"/>
              <w:rPr>
                <w:sz w:val="20"/>
                <w:szCs w:val="20"/>
                <w:color w:val="auto"/>
              </w:rPr>
            </w:pPr>
            <w:r>
              <w:rPr>
                <w:rFonts w:ascii="Arial" w:cs="Arial" w:eastAsia="Arial" w:hAnsi="Arial"/>
                <w:sz w:val="14"/>
                <w:szCs w:val="14"/>
                <w:b w:val="1"/>
                <w:bCs w:val="1"/>
                <w:color w:val="auto"/>
              </w:rPr>
              <w:t>Percent</w:t>
            </w:r>
          </w:p>
        </w:tc>
      </w:tr>
      <w:tr>
        <w:trPr>
          <w:trHeight w:val="276"/>
        </w:trPr>
        <w:tc>
          <w:tcPr>
            <w:tcW w:w="20" w:type="dxa"/>
            <w:vAlign w:val="bottom"/>
          </w:tcPr>
          <w:p>
            <w:pPr>
              <w:spacing w:after="0"/>
              <w:rPr>
                <w:sz w:val="24"/>
                <w:szCs w:val="24"/>
                <w:color w:val="auto"/>
              </w:rPr>
            </w:pPr>
          </w:p>
        </w:tc>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Names and Addresses of Beneficial Owners(1)</w:t>
            </w:r>
          </w:p>
        </w:tc>
        <w:tc>
          <w:tcPr>
            <w:tcW w:w="120" w:type="dxa"/>
            <w:vAlign w:val="bottom"/>
            <w:tcBorders>
              <w:bottom w:val="single" w:sz="8" w:color="CCEEFF"/>
            </w:tcBorders>
          </w:tcPr>
          <w:p>
            <w:pPr>
              <w:spacing w:after="0"/>
              <w:rPr>
                <w:sz w:val="24"/>
                <w:szCs w:val="24"/>
                <w:color w:val="auto"/>
              </w:rPr>
            </w:pPr>
          </w:p>
        </w:tc>
        <w:tc>
          <w:tcPr>
            <w:tcW w:w="20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Beneficially Owned (2)</w:t>
            </w:r>
          </w:p>
        </w:tc>
        <w:tc>
          <w:tcPr>
            <w:tcW w:w="54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of Class</w:t>
            </w:r>
          </w:p>
        </w:tc>
      </w:tr>
      <w:tr>
        <w:trPr>
          <w:trHeight w:val="250"/>
        </w:trPr>
        <w:tc>
          <w:tcPr>
            <w:tcW w:w="2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22,555,277</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43"/>
        </w:trPr>
        <w:tc>
          <w:tcPr>
            <w:tcW w:w="20" w:type="dxa"/>
            <w:vAlign w:val="bottom"/>
          </w:tcPr>
          <w:p>
            <w:pPr>
              <w:spacing w:after="0"/>
              <w:rPr>
                <w:sz w:val="21"/>
                <w:szCs w:val="21"/>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FMR LLC.</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16,487,464</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28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9,516,584</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43"/>
        </w:trPr>
        <w:tc>
          <w:tcPr>
            <w:tcW w:w="20" w:type="dxa"/>
            <w:vAlign w:val="bottom"/>
          </w:tcPr>
          <w:p>
            <w:pPr>
              <w:spacing w:after="0"/>
              <w:rPr>
                <w:sz w:val="21"/>
                <w:szCs w:val="21"/>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Frontier Capital Management Co., LLC.</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7,821,962</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128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 Vanguard Group, Inc.</w:t>
            </w: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6,705,180</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43"/>
        </w:trPr>
        <w:tc>
          <w:tcPr>
            <w:tcW w:w="20" w:type="dxa"/>
            <w:vAlign w:val="bottom"/>
          </w:tcPr>
          <w:p>
            <w:pPr>
              <w:spacing w:after="0"/>
              <w:rPr>
                <w:sz w:val="21"/>
                <w:szCs w:val="21"/>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David J. Aldrich</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1,589,494</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Kevin L. Beebe</w:t>
            </w: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148,500</w:t>
            </w: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100" w:type="dxa"/>
            <w:vAlign w:val="bottom"/>
            <w:gridSpan w:val="2"/>
          </w:tcPr>
          <w:p>
            <w:pPr>
              <w:ind w:left="40"/>
              <w:spacing w:after="0"/>
              <w:rPr>
                <w:sz w:val="20"/>
                <w:szCs w:val="20"/>
                <w:color w:val="auto"/>
              </w:rPr>
            </w:pPr>
            <w:r>
              <w:rPr>
                <w:rFonts w:ascii="Arial" w:cs="Arial" w:eastAsia="Arial" w:hAnsi="Arial"/>
                <w:sz w:val="18"/>
                <w:szCs w:val="18"/>
                <w:color w:val="auto"/>
              </w:rPr>
              <w:t>Moiz M. Beguwala</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137,855</w:t>
            </w:r>
          </w:p>
        </w:tc>
        <w:tc>
          <w:tcPr>
            <w:tcW w:w="5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Bruce J. Freyman</w:t>
            </w: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287,469</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Timothy R. Furey</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118,500</w:t>
            </w:r>
          </w:p>
        </w:tc>
        <w:tc>
          <w:tcPr>
            <w:tcW w:w="5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Liam K. Griffin</w:t>
            </w: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200,020</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100" w:type="dxa"/>
            <w:vAlign w:val="bottom"/>
            <w:gridSpan w:val="2"/>
          </w:tcPr>
          <w:p>
            <w:pPr>
              <w:ind w:left="40"/>
              <w:spacing w:after="0"/>
              <w:rPr>
                <w:sz w:val="20"/>
                <w:szCs w:val="20"/>
                <w:color w:val="auto"/>
              </w:rPr>
            </w:pPr>
            <w:r>
              <w:rPr>
                <w:rFonts w:ascii="Arial" w:cs="Arial" w:eastAsia="Arial" w:hAnsi="Arial"/>
                <w:sz w:val="18"/>
                <w:szCs w:val="18"/>
                <w:color w:val="auto"/>
              </w:rPr>
              <w:t>Balakrishnan S. Iyer</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147,005</w:t>
            </w:r>
          </w:p>
        </w:tc>
        <w:tc>
          <w:tcPr>
            <w:tcW w:w="5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Thomas C. Leonard</w:t>
            </w: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79,707</w:t>
            </w: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David P. McGlade</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133,500</w:t>
            </w:r>
          </w:p>
        </w:tc>
        <w:tc>
          <w:tcPr>
            <w:tcW w:w="5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David J. McLachlan</w:t>
            </w: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91,100</w:t>
            </w: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Donald W. Palette</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261,009</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Robert A. Schriesheim</w:t>
            </w: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103,500</w:t>
            </w: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Gregory L. Waters</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316,628</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(15 persons)</w:t>
            </w: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3,855,733</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02"/>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7120" w:type="dxa"/>
            <w:vAlign w:val="bottom"/>
            <w:gridSpan w:val="3"/>
          </w:tcPr>
          <w:p>
            <w:pPr>
              <w:spacing w:after="0"/>
              <w:rPr>
                <w:sz w:val="20"/>
                <w:szCs w:val="20"/>
                <w:color w:val="auto"/>
              </w:rPr>
            </w:pPr>
            <w:r>
              <w:rPr>
                <w:rFonts w:ascii="Arial" w:cs="Arial" w:eastAsia="Arial" w:hAnsi="Arial"/>
                <w:sz w:val="18"/>
                <w:szCs w:val="18"/>
                <w:color w:val="auto"/>
              </w:rPr>
              <w:t>*  Less than 1%</w:t>
            </w:r>
          </w:p>
        </w:tc>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02" w:lineRule="exact"/>
        <w:rPr>
          <w:sz w:val="20"/>
          <w:szCs w:val="20"/>
          <w:color w:val="auto"/>
        </w:rPr>
      </w:pPr>
    </w:p>
    <w:p>
      <w:pPr>
        <w:jc w:val="both"/>
        <w:ind w:left="300" w:hanging="292"/>
        <w:spacing w:after="0" w:line="264"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Unless otherwise indicated in the following notes, each person’s address is the address of the Company’s principal executive offices at Skyworks Solutions, Inc., 20 Sylvan Road, Woburn, MA 01801, and stockholders have sole voting and sole investment power with respect to the shares, except to the extent such power may be shared by a spouse or otherwise subject to applicable community property laws.</w:t>
      </w:r>
    </w:p>
    <w:p>
      <w:pPr>
        <w:spacing w:after="0" w:line="181" w:lineRule="exact"/>
        <w:rPr>
          <w:rFonts w:ascii="Arial" w:cs="Arial" w:eastAsia="Arial" w:hAnsi="Arial"/>
          <w:sz w:val="18"/>
          <w:szCs w:val="18"/>
          <w:color w:val="auto"/>
        </w:rPr>
      </w:pPr>
    </w:p>
    <w:p>
      <w:pPr>
        <w:jc w:val="both"/>
        <w:ind w:left="300" w:hanging="292"/>
        <w:spacing w:after="0" w:line="291" w:lineRule="auto"/>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the number of shares of Company common stock subject to stock options held by that person that are currently exercisable or will become exercisable within sixty (60) days of January 13, 2012 (the “Current Options”), as follows: Mr. Aldrich — 1,100,504 shares under Current Options; Mr. Beebe — 105,000 shares under Current Options; Mr. Beguwala — 81,000 shares under Current Options; Mr. Freyman — 163,750 shares under Current Options; Mr. Furey — 75,000 shares under Current Options; Mr. Griffin — 71,250 shares under Current Options; Mr. Iyer — 97,423 shares under Current Options; Mr. Leonard — 3,750 shares under Current Options; Mr. McGlade — 90,000 shares under Current Options; Mr. McLachlan — 45,000 shares under Current Options; Mr. Palette — 131,250 shares under Current Options; Mr. Schriesheim — 60,000 shares under Current Options; Mr. Waters — 71,250 shares under Current Options; current directors and executive officers as a group (15 persons) — 2,157,427 shares under Current Options.</w:t>
      </w:r>
    </w:p>
    <w:p>
      <w:pPr>
        <w:spacing w:after="0" w:line="167" w:lineRule="exact"/>
        <w:rPr>
          <w:rFonts w:ascii="Arial" w:cs="Arial" w:eastAsia="Arial" w:hAnsi="Arial"/>
          <w:sz w:val="16"/>
          <w:szCs w:val="16"/>
          <w:color w:val="auto"/>
        </w:rPr>
      </w:pPr>
    </w:p>
    <w:p>
      <w:pPr>
        <w:jc w:val="both"/>
        <w:ind w:left="300" w:hanging="292"/>
        <w:spacing w:after="0" w:line="279" w:lineRule="auto"/>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shares beneficially owned by Wellington Management Company, LLP, which has shared voting power as to 17,597,984 shares and shared dispositive power over 22,467,702 shares. With respect to the information relating to Wellington Management Company, LLP, the Company has relied on information supplied by Wellington Management Company, LLP on a Schedule 13G/A filed with the SEC on May 10, 2011. The address and principal business office of Wellington Management Company, LLP is 280 Congress Street, Boston, MA 02210.</w:t>
      </w:r>
    </w:p>
    <w:p>
      <w:pPr>
        <w:spacing w:after="0" w:line="171" w:lineRule="exact"/>
        <w:rPr>
          <w:rFonts w:ascii="Arial" w:cs="Arial" w:eastAsia="Arial" w:hAnsi="Arial"/>
          <w:sz w:val="17"/>
          <w:szCs w:val="17"/>
          <w:color w:val="auto"/>
        </w:rPr>
      </w:pPr>
    </w:p>
    <w:p>
      <w:pPr>
        <w:jc w:val="both"/>
        <w:ind w:left="300" w:hanging="292"/>
        <w:spacing w:after="0" w:line="270" w:lineRule="auto"/>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shares beneficially owned by FMR LLC, an investment adviser registered under Section 203 of the Investment Advisers Act of 1940, as a result of its sole ownership of Fidelity Management &amp; Research Company (“Fidelity Research”) and indirect ownership of Pyramis Global Advisors Trust Company (“PGATC”). Fidelity Research, an investment advisor registered under Section 203 of the Investment Advisors Act of 1940, is the beneficial owner of 16,172,015 shares as a result of acting as investment advisor to various investment companies registered under Section 8 of the Investment Company Act of 1940 that hold the shares. Edward C. Johnson 3d and FMR LLC, through its control of Fidelity Research, and the funds each has sole power to dispose of the 16,172,015 shares owned by the funds. Pyramis Global Advisors, LLC (“PGALLC”), an indirect wholly-owned subsidiary of FMR LLC and an investment advisor registered under Section 203 of the Investment Advisory Act of 1940, is the beneficial owner of 205,620 shares. Edward C. Johnson 3d and FMR LLC, through its control of PGALLC, each has sole dispositive power and sole power to vote or to direct the voting of the 205,620 shares owned by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6" w:right="239" w:bottom="1440" w:gutter="0" w:footer="0" w:header="0"/>
        </w:sectPr>
      </w:pPr>
    </w:p>
    <w:bookmarkStart w:id="25" w:name="page26"/>
    <w:bookmarkEnd w:id="25"/>
    <w:p>
      <w:pPr>
        <w:jc w:val="both"/>
        <w:ind w:left="305"/>
        <w:spacing w:after="0" w:line="318" w:lineRule="auto"/>
        <w:rPr>
          <w:sz w:val="20"/>
          <w:szCs w:val="20"/>
          <w:color w:val="auto"/>
        </w:rPr>
      </w:pPr>
      <w:r>
        <w:rPr>
          <w:rFonts w:ascii="Arial" w:cs="Arial" w:eastAsia="Arial" w:hAnsi="Arial"/>
          <w:sz w:val="17"/>
          <w:szCs w:val="17"/>
          <w:color w:val="auto"/>
        </w:rPr>
        <w:t>institutional accounts or funds advised by PGALLC. PGATC, a bank as defined in Section 3(a)(6) of the Exchange Act, is the beneficial owner of 102,240 shares as a result of its serving as investment manager of institutional accounts owning such shares. Edward C. Johnson 3d and FMR LLC, through its control of PGATC, each has sole dispositive power over 102,240 shares and sole power to vote or to direct the voting of 102,240 shares owned by the institutional accounts managed by PGATC. Strategic Advisers, Inc., an investment adviser registered under Section 203 of the Investment Advisers Act of 1940, is the beneficial owner of 789 shares as a result of acting as an investment adviser to various individuals. FIL Limited, which is a qualified institution under section 240.13d-1(b)(1)(ii), is the beneficial owner of 6,800 shares as a result of providing investment advisor and management services to various institutional accounts managed by PGATC. Of the shares beneficially owned, FMR LLC (through its ownership Fidelity Research and PGATC) has sole voting power with respect to 319,049 shares and sole disposition power with respect to 16,487,464 shares. The address of Fidelity Research, Fidelity Trust and Strategic Advisers, Inc. is 82 Devonshire Street, Boston, MA 02109. The address of PGATC and PGALLC is 900 Salem Street, Smithfield, Rhode Island, 02917. The address of FIL Limited is Pembroke Hall, 42 Crow Lane, Hamilton, Bermuda. With respect to the information relating to the affiliated FMR LLC entities, the Company has relied on information supplied by FMR LLC on a Schedule 13G/A filed with the SEC on May 10, 2011.</w:t>
      </w:r>
    </w:p>
    <w:p>
      <w:pPr>
        <w:spacing w:after="0" w:line="160" w:lineRule="exact"/>
        <w:rPr>
          <w:sz w:val="20"/>
          <w:szCs w:val="20"/>
          <w:color w:val="auto"/>
        </w:rPr>
      </w:pPr>
    </w:p>
    <w:p>
      <w:pPr>
        <w:jc w:val="both"/>
        <w:ind w:left="305" w:hanging="305"/>
        <w:spacing w:after="0" w:line="287" w:lineRule="auto"/>
        <w:tabs>
          <w:tab w:leader="none" w:pos="263"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shares beneficially owned by Blackrock, Inc., which has sole voting control and sole dispositive power as to all such shares. With respect to information relating to Blackrock, Inc., the Company has relied on information supplied by Blackrock, Inc. on a Schedule 13G filed with the SEC on February 8, 2011. The address and principal business office of Blackrock, Inc. is 40 East 52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Street, New York, NY 10022.</w:t>
      </w:r>
    </w:p>
    <w:p>
      <w:pPr>
        <w:spacing w:after="0" w:line="66" w:lineRule="exact"/>
        <w:rPr>
          <w:rFonts w:ascii="Arial" w:cs="Arial" w:eastAsia="Arial" w:hAnsi="Arial"/>
          <w:sz w:val="17"/>
          <w:szCs w:val="17"/>
          <w:color w:val="auto"/>
        </w:rPr>
      </w:pPr>
    </w:p>
    <w:p>
      <w:pPr>
        <w:jc w:val="both"/>
        <w:ind w:left="305" w:hanging="292"/>
        <w:spacing w:after="0" w:line="259" w:lineRule="auto"/>
        <w:tabs>
          <w:tab w:leader="none" w:pos="305"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Consists of shares beneficially owned by Frontier Capital Management Co., LLC, which has sole voting power as to 4,912,212 shares and sole dispositive power over all such shares. With respect to the information relating to Frontier Capital Management Co., LLC, the Company has relied on information supplied by Frontier Capital Management Co., LLC on a Schedule 13G/A filed with the SEC on February 15, 2011. The address and principal business office of the Frontier Capital Management Co., LLC is 99 Summer Street, Boston, MA 02110.</w:t>
      </w:r>
    </w:p>
    <w:p>
      <w:pPr>
        <w:spacing w:after="0" w:line="186" w:lineRule="exact"/>
        <w:rPr>
          <w:rFonts w:ascii="Arial" w:cs="Arial" w:eastAsia="Arial" w:hAnsi="Arial"/>
          <w:sz w:val="18"/>
          <w:szCs w:val="18"/>
          <w:color w:val="auto"/>
        </w:rPr>
      </w:pPr>
    </w:p>
    <w:p>
      <w:pPr>
        <w:jc w:val="both"/>
        <w:ind w:left="305" w:hanging="292"/>
        <w:spacing w:after="0" w:line="255" w:lineRule="auto"/>
        <w:tabs>
          <w:tab w:leader="none" w:pos="305"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Consists of shares beneficially owned by The Vanguard Group, Inc., which has sole voting control as to 121,087 shares, sole dispositive power as to 6,584,093 shares, and shared dispositive power as to 121,087 shares. Vanguard Fiduciary Trust Company, a wholly owned subsidiary of The Vanguard Group, Inc., which serves as investment manager of collective trust accounts, is also deemed to be the beneficial owner of 121,087 shares. With respect to the information relating to The Vanguard Group, Inc., the Company has relied on information supplied by The Vanguard Group, Inc. on a Schedule 13G/A filed with the SEC on February 10, 2011. The address and principal business office of the Vanguard Group, Inc. is 100 Vanguard Blvd., Malvern, PA 19355.</w:t>
      </w:r>
    </w:p>
    <w:p>
      <w:pPr>
        <w:spacing w:after="0" w:line="193" w:lineRule="exact"/>
        <w:rPr>
          <w:rFonts w:ascii="Arial" w:cs="Arial" w:eastAsia="Arial" w:hAnsi="Arial"/>
          <w:sz w:val="18"/>
          <w:szCs w:val="18"/>
          <w:color w:val="auto"/>
        </w:rPr>
      </w:pPr>
    </w:p>
    <w:p>
      <w:pPr>
        <w:ind w:left="305" w:hanging="292"/>
        <w:spacing w:after="0"/>
        <w:tabs>
          <w:tab w:leader="none" w:pos="305"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Includes shares held in the Company’s 401(k) Savings and Investment Plan as of January 13, 2012.</w:t>
      </w:r>
    </w:p>
    <w:p>
      <w:pPr>
        <w:spacing w:after="0" w:line="225" w:lineRule="exact"/>
        <w:rPr>
          <w:sz w:val="20"/>
          <w:szCs w:val="20"/>
          <w:color w:val="auto"/>
        </w:rPr>
      </w:pPr>
    </w:p>
    <w:p>
      <w:pPr>
        <w:ind w:left="265"/>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ind w:left="5" w:firstLine="243"/>
        <w:spacing w:after="0" w:line="277" w:lineRule="auto"/>
        <w:rPr>
          <w:sz w:val="20"/>
          <w:szCs w:val="20"/>
          <w:color w:val="auto"/>
        </w:rPr>
      </w:pPr>
      <w:r>
        <w:rPr>
          <w:rFonts w:ascii="Arial" w:cs="Arial" w:eastAsia="Arial" w:hAnsi="Arial"/>
          <w:sz w:val="18"/>
          <w:szCs w:val="18"/>
          <w:color w:val="auto"/>
        </w:rPr>
        <w:t>The Company currently maintains eight (8) stock-based compensation plans under which our securities are authorized for issuance to our employees and/or directors:</w:t>
      </w:r>
    </w:p>
    <w:p>
      <w:pPr>
        <w:spacing w:after="0" w:line="170" w:lineRule="exact"/>
        <w:rPr>
          <w:sz w:val="20"/>
          <w:szCs w:val="20"/>
          <w:color w:val="auto"/>
        </w:rPr>
      </w:pPr>
    </w:p>
    <w:p>
      <w:pPr>
        <w:ind w:left="545" w:hanging="248"/>
        <w:spacing w:after="0"/>
        <w:tabs>
          <w:tab w:leader="none" w:pos="545"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1996 Long-Term Incentive Plan</w:t>
      </w:r>
    </w:p>
    <w:p>
      <w:pPr>
        <w:spacing w:after="0" w:line="225" w:lineRule="exact"/>
        <w:rPr>
          <w:rFonts w:ascii="Arial" w:cs="Arial" w:eastAsia="Arial" w:hAnsi="Arial"/>
          <w:sz w:val="18"/>
          <w:szCs w:val="18"/>
          <w:b w:val="1"/>
          <w:bCs w:val="1"/>
          <w:color w:val="auto"/>
        </w:rPr>
      </w:pPr>
    </w:p>
    <w:p>
      <w:pPr>
        <w:ind w:left="545" w:hanging="248"/>
        <w:spacing w:after="0"/>
        <w:tabs>
          <w:tab w:leader="none" w:pos="545"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1999 Employee Long-Term Incentive Plan</w:t>
      </w:r>
    </w:p>
    <w:p>
      <w:pPr>
        <w:spacing w:after="0" w:line="225" w:lineRule="exact"/>
        <w:rPr>
          <w:rFonts w:ascii="Arial" w:cs="Arial" w:eastAsia="Arial" w:hAnsi="Arial"/>
          <w:sz w:val="18"/>
          <w:szCs w:val="18"/>
          <w:b w:val="1"/>
          <w:bCs w:val="1"/>
          <w:color w:val="auto"/>
        </w:rPr>
      </w:pPr>
    </w:p>
    <w:p>
      <w:pPr>
        <w:ind w:left="545" w:hanging="248"/>
        <w:spacing w:after="0"/>
        <w:tabs>
          <w:tab w:leader="none" w:pos="545"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Directors’ 2001 Stock Option Plan</w:t>
      </w:r>
    </w:p>
    <w:p>
      <w:pPr>
        <w:spacing w:after="0" w:line="225" w:lineRule="exact"/>
        <w:rPr>
          <w:rFonts w:ascii="Arial" w:cs="Arial" w:eastAsia="Arial" w:hAnsi="Arial"/>
          <w:sz w:val="18"/>
          <w:szCs w:val="18"/>
          <w:b w:val="1"/>
          <w:bCs w:val="1"/>
          <w:color w:val="auto"/>
        </w:rPr>
      </w:pPr>
    </w:p>
    <w:p>
      <w:pPr>
        <w:ind w:left="545" w:hanging="248"/>
        <w:spacing w:after="0"/>
        <w:tabs>
          <w:tab w:leader="none" w:pos="545"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Non-Qualified Employee Stock Purchase Plan</w:t>
      </w:r>
    </w:p>
    <w:p>
      <w:pPr>
        <w:spacing w:after="0" w:line="225" w:lineRule="exact"/>
        <w:rPr>
          <w:rFonts w:ascii="Arial" w:cs="Arial" w:eastAsia="Arial" w:hAnsi="Arial"/>
          <w:sz w:val="18"/>
          <w:szCs w:val="18"/>
          <w:b w:val="1"/>
          <w:bCs w:val="1"/>
          <w:color w:val="auto"/>
        </w:rPr>
      </w:pPr>
    </w:p>
    <w:p>
      <w:pPr>
        <w:ind w:left="545" w:hanging="248"/>
        <w:spacing w:after="0"/>
        <w:tabs>
          <w:tab w:leader="none" w:pos="545"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2002 Employee Stock Purchase Plan</w:t>
      </w:r>
    </w:p>
    <w:p>
      <w:pPr>
        <w:spacing w:after="0" w:line="225" w:lineRule="exact"/>
        <w:rPr>
          <w:rFonts w:ascii="Arial" w:cs="Arial" w:eastAsia="Arial" w:hAnsi="Arial"/>
          <w:sz w:val="18"/>
          <w:szCs w:val="18"/>
          <w:b w:val="1"/>
          <w:bCs w:val="1"/>
          <w:color w:val="auto"/>
        </w:rPr>
      </w:pPr>
    </w:p>
    <w:p>
      <w:pPr>
        <w:ind w:left="545" w:hanging="248"/>
        <w:spacing w:after="0"/>
        <w:tabs>
          <w:tab w:leader="none" w:pos="545"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Washington Sub, Inc. 2002 Stock Option Plan</w:t>
      </w:r>
    </w:p>
    <w:p>
      <w:pPr>
        <w:spacing w:after="0" w:line="225" w:lineRule="exact"/>
        <w:rPr>
          <w:rFonts w:ascii="Arial" w:cs="Arial" w:eastAsia="Arial" w:hAnsi="Arial"/>
          <w:sz w:val="18"/>
          <w:szCs w:val="18"/>
          <w:b w:val="1"/>
          <w:bCs w:val="1"/>
          <w:color w:val="auto"/>
        </w:rPr>
      </w:pPr>
    </w:p>
    <w:p>
      <w:pPr>
        <w:ind w:left="545" w:hanging="248"/>
        <w:spacing w:after="0"/>
        <w:tabs>
          <w:tab w:leader="none" w:pos="545"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2005 Long-Term Incentive Plan, and</w:t>
      </w:r>
    </w:p>
    <w:p>
      <w:pPr>
        <w:spacing w:after="0" w:line="225" w:lineRule="exact"/>
        <w:rPr>
          <w:rFonts w:ascii="Arial" w:cs="Arial" w:eastAsia="Arial" w:hAnsi="Arial"/>
          <w:sz w:val="18"/>
          <w:szCs w:val="18"/>
          <w:b w:val="1"/>
          <w:bCs w:val="1"/>
          <w:color w:val="auto"/>
        </w:rPr>
      </w:pPr>
    </w:p>
    <w:p>
      <w:pPr>
        <w:ind w:left="545" w:hanging="248"/>
        <w:spacing w:after="0"/>
        <w:tabs>
          <w:tab w:leader="none" w:pos="545"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2008 Director Long-Term Incentive Plan.</w:t>
      </w:r>
    </w:p>
    <w:p>
      <w:pPr>
        <w:spacing w:after="0" w:line="225" w:lineRule="exact"/>
        <w:rPr>
          <w:sz w:val="20"/>
          <w:szCs w:val="20"/>
          <w:color w:val="auto"/>
        </w:rPr>
      </w:pPr>
    </w:p>
    <w:p>
      <w:pPr>
        <w:ind w:left="5" w:firstLine="243"/>
        <w:spacing w:after="0" w:line="277" w:lineRule="auto"/>
        <w:rPr>
          <w:sz w:val="20"/>
          <w:szCs w:val="20"/>
          <w:color w:val="auto"/>
        </w:rPr>
      </w:pPr>
      <w:r>
        <w:rPr>
          <w:rFonts w:ascii="Arial" w:cs="Arial" w:eastAsia="Arial" w:hAnsi="Arial"/>
          <w:sz w:val="18"/>
          <w:szCs w:val="18"/>
          <w:color w:val="auto"/>
        </w:rPr>
        <w:t>Except for the 1999 Employee Long-Term Incentive Plan, the Washington Sub, Inc. 2002 Stock Option Plan and the Non-Qualified Employee Stock Purchase Plan, each of the foregoing stock-based compensation plans was approved by our stockholders.</w:t>
      </w:r>
    </w:p>
    <w:p>
      <w:pPr>
        <w:spacing w:after="0" w:line="197"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5"/>
          </w:cols>
          <w:pgMar w:left="235" w:top="152" w:right="2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A description of the material features of each non-stockholder approved plan is provided below under the headings “1999 Employee Long-Term Incentive Plan,” “Washington Sub, Inc. 2002 Stock Option Plan” and “Non-Qualified Employee Stock Purchase Plan.”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information about these plans as of September 30, 2011.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restart"/>
          </w:tcPr>
          <w:p>
            <w:pPr>
              <w:jc w:val="center"/>
              <w:ind w:left="882"/>
              <w:spacing w:after="0"/>
              <w:rPr>
                <w:sz w:val="20"/>
                <w:szCs w:val="20"/>
                <w:color w:val="auto"/>
              </w:rPr>
            </w:pPr>
            <w:r>
              <w:rPr>
                <w:rFonts w:ascii="Arial" w:cs="Arial" w:eastAsia="Arial" w:hAnsi="Arial"/>
                <w:sz w:val="14"/>
                <w:szCs w:val="14"/>
                <w:b w:val="1"/>
                <w:bCs w:val="1"/>
                <w:color w:val="auto"/>
                <w:w w:val="92"/>
              </w:rPr>
              <w:t>Number of Securities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3"/>
          </w:tcPr>
          <w:p>
            <w:pPr>
              <w:jc w:val="center"/>
              <w:ind w:left="603"/>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gridSpan w:val="2"/>
            <w:vMerge w:val="restart"/>
          </w:tcPr>
          <w:p>
            <w:pPr>
              <w:jc w:val="center"/>
              <w:ind w:left="21"/>
              <w:spacing w:after="0"/>
              <w:rPr>
                <w:sz w:val="20"/>
                <w:szCs w:val="20"/>
                <w:color w:val="auto"/>
              </w:rPr>
            </w:pPr>
            <w:r>
              <w:rPr>
                <w:rFonts w:ascii="Arial" w:cs="Arial" w:eastAsia="Arial" w:hAnsi="Arial"/>
                <w:sz w:val="14"/>
                <w:szCs w:val="14"/>
                <w:b w:val="1"/>
                <w:bCs w:val="1"/>
                <w:color w:val="auto"/>
                <w:w w:val="92"/>
              </w:rPr>
              <w:t>Weighted-Average</w:t>
            </w:r>
          </w:p>
        </w:tc>
        <w:tc>
          <w:tcPr>
            <w:tcW w:w="2380" w:type="dxa"/>
            <w:vAlign w:val="bottom"/>
            <w:gridSpan w:val="3"/>
          </w:tcPr>
          <w:p>
            <w:pPr>
              <w:jc w:val="center"/>
              <w:ind w:left="603"/>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left="882"/>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380" w:type="dxa"/>
            <w:vAlign w:val="bottom"/>
            <w:gridSpan w:val="3"/>
          </w:tcPr>
          <w:p>
            <w:pPr>
              <w:jc w:val="center"/>
              <w:ind w:left="603"/>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left="882"/>
              <w:spacing w:after="0" w:line="149" w:lineRule="exact"/>
              <w:rPr>
                <w:sz w:val="20"/>
                <w:szCs w:val="20"/>
                <w:color w:val="auto"/>
              </w:rPr>
            </w:pPr>
            <w:r>
              <w:rPr>
                <w:rFonts w:ascii="Arial" w:cs="Arial" w:eastAsia="Arial" w:hAnsi="Arial"/>
                <w:sz w:val="14"/>
                <w:szCs w:val="14"/>
                <w:b w:val="1"/>
                <w:bCs w:val="1"/>
                <w:color w:val="auto"/>
                <w:w w:val="88"/>
              </w:rPr>
              <w:t>Exercise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gridSpan w:val="2"/>
          </w:tcPr>
          <w:p>
            <w:pPr>
              <w:jc w:val="center"/>
              <w:ind w:left="21"/>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380" w:type="dxa"/>
            <w:vAlign w:val="bottom"/>
            <w:gridSpan w:val="3"/>
          </w:tcPr>
          <w:p>
            <w:pPr>
              <w:jc w:val="center"/>
              <w:ind w:left="603"/>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left="882"/>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gridSpan w:val="2"/>
          </w:tcPr>
          <w:p>
            <w:pPr>
              <w:jc w:val="center"/>
              <w:ind w:left="21"/>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380" w:type="dxa"/>
            <w:vAlign w:val="bottom"/>
            <w:gridSpan w:val="3"/>
          </w:tcPr>
          <w:p>
            <w:pPr>
              <w:jc w:val="center"/>
              <w:ind w:left="603"/>
              <w:spacing w:after="0" w:line="149" w:lineRule="exact"/>
              <w:rPr>
                <w:sz w:val="20"/>
                <w:szCs w:val="20"/>
                <w:color w:val="auto"/>
              </w:rPr>
            </w:pPr>
            <w:r>
              <w:rPr>
                <w:rFonts w:ascii="Arial" w:cs="Arial" w:eastAsia="Arial" w:hAnsi="Arial"/>
                <w:sz w:val="14"/>
                <w:szCs w:val="14"/>
                <w:b w:val="1"/>
                <w:bCs w:val="1"/>
                <w:color w:val="auto"/>
                <w:w w:val="93"/>
              </w:rPr>
              <w:t>Plans (Excluding</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260" w:type="dxa"/>
            <w:vAlign w:val="bottom"/>
            <w:gridSpan w:val="2"/>
          </w:tcPr>
          <w:p>
            <w:pPr>
              <w:jc w:val="center"/>
              <w:ind w:left="882"/>
              <w:spacing w:after="0" w:line="149" w:lineRule="exact"/>
              <w:rPr>
                <w:sz w:val="20"/>
                <w:szCs w:val="20"/>
                <w:color w:val="auto"/>
              </w:rPr>
            </w:pPr>
            <w:r>
              <w:rPr>
                <w:rFonts w:ascii="Arial" w:cs="Arial" w:eastAsia="Arial" w:hAnsi="Arial"/>
                <w:sz w:val="14"/>
                <w:szCs w:val="14"/>
                <w:b w:val="1"/>
                <w:bCs w:val="1"/>
                <w:color w:val="auto"/>
                <w:w w:val="94"/>
              </w:rPr>
              <w:t>Options, Warrants,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gridSpan w:val="2"/>
          </w:tcPr>
          <w:p>
            <w:pPr>
              <w:jc w:val="center"/>
              <w:ind w:left="21"/>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2380" w:type="dxa"/>
            <w:vAlign w:val="bottom"/>
            <w:gridSpan w:val="3"/>
          </w:tcPr>
          <w:p>
            <w:pPr>
              <w:jc w:val="center"/>
              <w:ind w:left="603"/>
              <w:spacing w:after="0" w:line="149" w:lineRule="exact"/>
              <w:rPr>
                <w:sz w:val="20"/>
                <w:szCs w:val="20"/>
                <w:color w:val="auto"/>
              </w:rPr>
            </w:pPr>
            <w:r>
              <w:rPr>
                <w:rFonts w:ascii="Arial" w:cs="Arial" w:eastAsia="Arial" w:hAnsi="Arial"/>
                <w:sz w:val="14"/>
                <w:szCs w:val="14"/>
                <w:b w:val="1"/>
                <w:bCs w:val="1"/>
                <w:color w:val="auto"/>
                <w:w w:val="91"/>
              </w:rPr>
              <w:t>Securities Reflected in</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6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and Rights (a)</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and Rights (b)</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w w:val="99"/>
              </w:rPr>
              <w:t>Column(a)) (c)</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w:t>
            </w:r>
          </w:p>
        </w:tc>
        <w:tc>
          <w:tcPr>
            <w:tcW w:w="2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holders</w:t>
            </w:r>
          </w:p>
        </w:tc>
        <w:tc>
          <w:tcPr>
            <w:tcW w:w="2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8,618,983</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17,282,053</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9"/>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w:t>
            </w:r>
          </w:p>
        </w:tc>
        <w:tc>
          <w:tcPr>
            <w:tcW w:w="2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holders</w:t>
            </w:r>
          </w:p>
        </w:tc>
        <w:tc>
          <w:tcPr>
            <w:tcW w:w="2200" w:type="dxa"/>
            <w:vAlign w:val="bottom"/>
          </w:tcPr>
          <w:p>
            <w:pPr>
              <w:jc w:val="right"/>
              <w:ind w:right="42"/>
              <w:spacing w:after="0"/>
              <w:rPr>
                <w:sz w:val="20"/>
                <w:szCs w:val="20"/>
                <w:color w:val="auto"/>
              </w:rPr>
            </w:pPr>
            <w:r>
              <w:rPr>
                <w:rFonts w:ascii="Arial" w:cs="Arial" w:eastAsia="Arial" w:hAnsi="Arial"/>
                <w:sz w:val="18"/>
                <w:szCs w:val="18"/>
                <w:color w:val="auto"/>
              </w:rPr>
              <w:t>3,783,738</w:t>
            </w:r>
          </w:p>
        </w:tc>
        <w:tc>
          <w:tcPr>
            <w:tcW w:w="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12,402,721</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17,282,053</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831,827 unvested restricted shares and 3,841,105 unvested shares under performance shares awards.</w:t>
      </w:r>
    </w:p>
    <w:p>
      <w:pPr>
        <w:spacing w:after="0" w:line="210"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97,801 options held by non-employees (excluding non-employee directors).</w:t>
      </w:r>
    </w:p>
    <w:p>
      <w:pPr>
        <w:spacing w:after="0" w:line="225" w:lineRule="exact"/>
        <w:rPr>
          <w:rFonts w:ascii="Arial" w:cs="Arial" w:eastAsia="Arial" w:hAnsi="Arial"/>
          <w:sz w:val="18"/>
          <w:szCs w:val="18"/>
          <w:color w:val="auto"/>
        </w:rPr>
      </w:pPr>
    </w:p>
    <w:p>
      <w:pPr>
        <w:ind w:left="300" w:hanging="292"/>
        <w:spacing w:after="0" w:line="277"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further grants will be made under the 1994 Non-Qualified Stock Option Plan, the 1996 Long-Term Incentive Plan or the Directors’ 2001 Stock Option Plan.</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further grants will be made under the Washington Sub Inc. 2002 Stock Option Plan or the 1999 Employee Long-Term Incentive Plan.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1999 Employee Long-Term Incentive Plan</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Company’s 1999 Employee Long-Term Incentive Plan (the “1999 Employee Plan”) provided for the grant of non-qualified stock options to purchase shares of the Company’s common stock to employees, other than officers and non-employee directors. The term of these options may not exceed 10 years. The 1999 Employee Plan contains provisions, which permit restrictions on vesting or transferability, as well as continued exercisability upon a participant’s termination of employment with the Company, of options granted thereunder. The 1999 Employee Plan provides for full acceleration of the vesting of options granted thereunder upon a “change in control” of the Company, as defined in the 1999 Employee Plan. The Board of Directors generally may amend, suspend or terminate the 1999 Employee Plan in whole or in part at any time; provided that any amendment that affects outstanding options be consented to by the holder of the options. As of April 26, 2009, no additional grants were issuable under the 1999 Employee Long-Term Incentive Plan.</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Washington Sub, Inc. 2002 Stock Option Plan</w:t>
      </w:r>
    </w:p>
    <w:p>
      <w:pPr>
        <w:spacing w:after="0" w:line="2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 Washington Sub, Inc. 2002 Stock Option Plan (the “Washington Sub Plan”) became effective on June 25, 2002. At the time of the spin-off of Conexant’s wireless business and merger of such business into Alpha Industries, Inc., outstanding Conexant options granted pursuant to certain Conexant stock-based compensation plans were converted so that following the spin-off and merger each holder of those certain Conexant options held (i) options to purchase shares of Conexant common stock and (ii) options to purchase shares of Skyworks common stock. The purpose of the Washington Sub Plan is to provide a means for the Company to perform its obligations with respect to these converted stock options. The only participants in the Washington Sub Plan are those persons who, at the time of the spin-off and merger, held outstanding options granted pursuant to certain Conexant stock option plans. No further options to purchase shares of Skyworks common stock have been or will be granted under the Washington Sub Plan. The Washington Sub Plan contains a number of sub-plans, which contain terms and conditions that are applicable to certain portions of the options subject to the Washington Sub Plan, depending upon the Conexant stock option plan from which the Skyworks options granted under the Washington Sub Plan were derived. The outstanding options under the Washington Sub Plan generally have the same terms and conditions as the original Conexant options from which they are derived. Most of the sub-plans of the Washington Sub Plan contain provisions related to the effect of a participant’s termination of employment with the Company, if any, and/or with Conexant on options granted pursuant to such sub-plan. Several of the sub-plans under the Washington Sub Plan contain specific provisions related to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ind w:left="140"/>
        <w:spacing w:after="0"/>
        <w:rPr>
          <w:sz w:val="20"/>
          <w:szCs w:val="20"/>
          <w:color w:val="auto"/>
        </w:rPr>
      </w:pPr>
      <w:r>
        <w:rPr>
          <w:rFonts w:ascii="Arial" w:cs="Arial" w:eastAsia="Arial" w:hAnsi="Arial"/>
          <w:sz w:val="18"/>
          <w:szCs w:val="18"/>
          <w:i w:val="1"/>
          <w:iCs w:val="1"/>
          <w:color w:val="auto"/>
        </w:rPr>
        <w:t>Non-Qualified ESPP</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also maintains a Non-Qualified Employee Stock Purchase Plan to provide employees of the Company and participating subsidiaries with an opportunity to acquire a proprietary interest in the Company through the purchase, by means of payroll deductions, of shares of the Company’s common stock at a discount from the market price of the common stock at the time of purchase. The Non-Qualified Employee Stock Purchase Plan is intended for use primarily by employees of the Company located outside the United States. Under the plan, eligible employees may purchase common stock through payroll deductions of up to 10% of compensation. The price per share is the lower of 85% of the market price at the beginning or end of each six-month offering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i w:val="1"/>
          <w:iCs w:val="1"/>
          <w:color w:val="auto"/>
        </w:rPr>
        <w:t>Certain Relationships and Related Transactions</w:t>
      </w:r>
      <w:r>
        <w:rPr>
          <w:rFonts w:ascii="Arial" w:cs="Arial" w:eastAsia="Arial" w:hAnsi="Arial"/>
          <w:sz w:val="16"/>
          <w:szCs w:val="16"/>
          <w:color w:val="auto"/>
        </w:rPr>
        <w:t>: Other than compensation agreements and other arrangements which are described above in Item 11</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since October 3, 2009,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In January 2008, the Board of Directors adopted a written related person transaction approval policy which sets forth the Company’s policies and procedures for the review, approval or ratification of any transaction required to be reported in its filings with the SEC. The Company’s policy with regard to related 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in advance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w:t>
      </w:r>
    </w:p>
    <w:p>
      <w:pPr>
        <w:spacing w:after="0" w:line="16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i w:val="1"/>
          <w:iCs w:val="1"/>
          <w:color w:val="auto"/>
        </w:rPr>
        <w:t>Director Independence</w:t>
      </w:r>
      <w:r>
        <w:rPr>
          <w:rFonts w:ascii="Arial" w:cs="Arial" w:eastAsia="Arial" w:hAnsi="Arial"/>
          <w:sz w:val="17"/>
          <w:szCs w:val="17"/>
          <w:color w:val="auto"/>
        </w:rPr>
        <w:t>: Each year, the Board of Directors reviews the relationships that each director has with the Company and with other parties. Only</w:t>
      </w:r>
      <w:r>
        <w:rPr>
          <w:rFonts w:ascii="Arial" w:cs="Arial" w:eastAsia="Arial" w:hAnsi="Arial"/>
          <w:sz w:val="17"/>
          <w:szCs w:val="17"/>
          <w:i w:val="1"/>
          <w:iCs w:val="1"/>
          <w:color w:val="auto"/>
        </w:rPr>
        <w:t xml:space="preserve"> </w:t>
      </w:r>
      <w:r>
        <w:rPr>
          <w:rFonts w:ascii="Arial" w:cs="Arial" w:eastAsia="Arial" w:hAnsi="Arial"/>
          <w:sz w:val="17"/>
          <w:szCs w:val="17"/>
          <w:color w:val="auto"/>
        </w:rPr>
        <w:t>those directors who do not have any of the categorical relationships that preclude them from being independent within the meaning of applicable NASDAQ Rules and who the Board of Directors affirmatively determines have no relationships that would interfere with the exercise of independent judgment in carrying out the responsibilities of a director, are considered to be independent directors. The Board of Directors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of Directors has determined that a majority of the members of the Board of Directors, namely, Kevin L. Beebe, Moiz M. Beguwala, Timothy R. Furey, Balakrishnan S. Iyer, Thomas C. Leonard, David J. McLachlan, David P. McGlade and Robert A. Schriesheim, do not have any relationships that would interfere with the exercise of independent judgment in carrying out their responsibilities as a director and are independent directors of the Company within the meaning of applicable NASDAQ Rules.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KPMG LLP provided audit services to the Company consisting of the annual audit of the Company’s 2011 consolidated financial statements contained in the Company’s Annual Report on Form 10-K and reviews of the financial statements contained in the Company’s Quarterly Reports on Form 10-Q for fiscal year 2011. The following table summarizes the fees of KPMG LLP billed to the Company for the last two fiscal years.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Fee Category</w:t>
            </w:r>
          </w:p>
        </w:tc>
        <w:tc>
          <w:tcPr>
            <w:tcW w:w="2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Fiscal Year</w:t>
            </w:r>
          </w:p>
        </w:tc>
        <w:tc>
          <w:tcPr>
            <w:tcW w:w="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Fiscal Year</w:t>
            </w:r>
          </w:p>
        </w:tc>
        <w:tc>
          <w:tcPr>
            <w:tcW w:w="1180" w:type="dxa"/>
            <w:vAlign w:val="bottom"/>
          </w:tcPr>
          <w:p>
            <w:pPr>
              <w:jc w:val="right"/>
              <w:ind w:right="115"/>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Audit Fees (1)</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1,534,600</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1,352,000</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Audit-Related Fees (2)</w:t>
            </w:r>
          </w:p>
        </w:tc>
        <w:tc>
          <w:tcPr>
            <w:tcW w:w="38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83,000</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Fees (3)</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77,500</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37,000</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All Other Fees (4)</w:t>
            </w:r>
          </w:p>
        </w:tc>
        <w:tc>
          <w:tcPr>
            <w:tcW w:w="38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27,000</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Fees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1,722,100</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1,391,000</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00" w:hanging="292"/>
        <w:spacing w:after="0" w:line="254"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financial statements, review of the interim financial statements included in our quarterly reports on Form 10-Q, statutory audits and related filings in various foreign locations and audit procedures related to acquisition activity during fiscal year 2011. Fiscal year 2011 and 2010 audit fees also included fees for services incurred in connection with rendering an opinion under Section 404 of the Sarbanes Oxley Act.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jc w:val="both"/>
        <w:ind w:left="300" w:hanging="292"/>
        <w:spacing w:after="0" w:line="286" w:lineRule="auto"/>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Audit related fees consist of fees for assurance and related services that are reasonably related to the performance of the audit and the review of our financial statements and which are not reported under “Audit Fees.” Audit-related fees reported in fiscal year 2011 relate to the review of registration statements auditor consents to incorporate by reference prior year financial statement opinions in Form S-4 and Form S-8 fillings.</w:t>
      </w:r>
    </w:p>
    <w:p>
      <w:pPr>
        <w:spacing w:after="0" w:line="165" w:lineRule="exact"/>
        <w:rPr>
          <w:rFonts w:ascii="Arial" w:cs="Arial" w:eastAsia="Arial" w:hAnsi="Arial"/>
          <w:sz w:val="17"/>
          <w:szCs w:val="17"/>
          <w:color w:val="auto"/>
        </w:rPr>
      </w:pPr>
    </w:p>
    <w:p>
      <w:pPr>
        <w:jc w:val="both"/>
        <w:ind w:left="300" w:hanging="292"/>
        <w:spacing w:after="0" w:line="264"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fees consist of fees for tax compliance, tax advice and tax planning services. Tax compliance services, which relate to the review of our U.S. tax returns, accounted for $47,000 and $37,000 of the total tax fees for fiscal year 2011 and 2010, respectively. Fiscal year 2011 tax fees also include approximately $30,000 of fees for tax advice and planning services related to acquisition activity during the year.</w:t>
      </w:r>
    </w:p>
    <w:p>
      <w:pPr>
        <w:spacing w:after="0" w:line="181" w:lineRule="exact"/>
        <w:rPr>
          <w:rFonts w:ascii="Arial" w:cs="Arial" w:eastAsia="Arial" w:hAnsi="Arial"/>
          <w:sz w:val="18"/>
          <w:szCs w:val="18"/>
          <w:color w:val="auto"/>
        </w:rPr>
      </w:pPr>
    </w:p>
    <w:p>
      <w:pPr>
        <w:ind w:left="300" w:right="20" w:hanging="292"/>
        <w:spacing w:after="0" w:line="277"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other fees for fiscal year 2011 include fees for limited due diligence support provided in connection with a potential acquisition in addition to fees incurred for licenses to accounting research software in 2011 and 2010.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2003, the Audit Committee adopted a formal policy concerning approval of audit and non-audit services to be provided to the Company by its independent registered public accounting firm, KPMG LLP. The policy requires that all services to be provided by KPMG LLP, including audit services and permitted audit-related and non-audit services, must be pre-approved by the Audit Committee. The Audit Committee pre-approved all audit and non-audit services provided by KPMG LLP during fiscal 2011 and fiscal 2010.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list of Exhibits filed as part of this report are set forth on the Exhibit Index immediately preceding such exhibits, and is incorporated herein by this reference. This list includes a subset containing each management contract, compensatory plan, or arrangement required to be filed as an exhibit to this report.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2012</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SKYWORKS SOLUTIONS, INC.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David J. Aldrich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3440430</wp:posOffset>
            </wp:positionH>
            <wp:positionV relativeFrom="paragraph">
              <wp:posOffset>-10160</wp:posOffset>
            </wp:positionV>
            <wp:extent cx="1152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5252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Aldrich</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20" w:type="dxa"/>
            <w:vAlign w:val="bottom"/>
          </w:tcPr>
          <w:p>
            <w:pPr>
              <w:jc w:val="center"/>
              <w:ind w:left="132"/>
              <w:spacing w:after="0"/>
              <w:rPr>
                <w:sz w:val="20"/>
                <w:szCs w:val="20"/>
                <w:color w:val="auto"/>
              </w:rPr>
            </w:pPr>
            <w:r>
              <w:rPr>
                <w:rFonts w:ascii="Arial" w:cs="Arial" w:eastAsia="Arial" w:hAnsi="Arial"/>
                <w:sz w:val="14"/>
                <w:szCs w:val="14"/>
                <w:b w:val="1"/>
                <w:bCs w:val="1"/>
                <w:color w:val="auto"/>
                <w:w w:val="94"/>
              </w:rPr>
              <w:t>Exhibit</w:t>
            </w:r>
          </w:p>
        </w:tc>
        <w:tc>
          <w:tcPr>
            <w:tcW w:w="476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3360" w:type="dxa"/>
            <w:vAlign w:val="bottom"/>
            <w:gridSpan w:val="3"/>
          </w:tcPr>
          <w:p>
            <w:pPr>
              <w:ind w:left="860"/>
              <w:spacing w:after="0"/>
              <w:rPr>
                <w:sz w:val="20"/>
                <w:szCs w:val="20"/>
                <w:color w:val="auto"/>
              </w:rPr>
            </w:pPr>
            <w:r>
              <w:rPr>
                <w:rFonts w:ascii="Arial" w:cs="Arial" w:eastAsia="Arial" w:hAnsi="Arial"/>
                <w:sz w:val="14"/>
                <w:szCs w:val="14"/>
                <w:b w:val="1"/>
                <w:bCs w:val="1"/>
                <w:color w:val="auto"/>
              </w:rPr>
              <w:t>Incorporated by Reference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98"/>
              </w:rPr>
              <w:t>Number</w:t>
            </w:r>
          </w:p>
        </w:tc>
        <w:tc>
          <w:tcPr>
            <w:tcW w:w="47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File No.</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Filing Date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8"/>
        </w:trPr>
        <w:tc>
          <w:tcPr>
            <w:tcW w:w="1220" w:type="dxa"/>
            <w:vAlign w:val="bottom"/>
          </w:tcPr>
          <w:p>
            <w:pPr>
              <w:jc w:val="center"/>
              <w:ind w:left="132"/>
              <w:spacing w:after="0"/>
              <w:rPr>
                <w:sz w:val="20"/>
                <w:szCs w:val="20"/>
                <w:color w:val="auto"/>
              </w:rPr>
            </w:pPr>
            <w:r>
              <w:rPr>
                <w:rFonts w:ascii="Arial" w:cs="Arial" w:eastAsia="Arial" w:hAnsi="Arial"/>
                <w:sz w:val="18"/>
                <w:szCs w:val="18"/>
                <w:color w:val="auto"/>
              </w:rPr>
              <w:t>2.A</w:t>
            </w:r>
          </w:p>
        </w:tc>
        <w:tc>
          <w:tcPr>
            <w:tcW w:w="4760" w:type="dxa"/>
            <w:vAlign w:val="bottom"/>
          </w:tcPr>
          <w:p>
            <w:pPr>
              <w:ind w:left="240"/>
              <w:spacing w:after="0"/>
              <w:rPr>
                <w:sz w:val="20"/>
                <w:szCs w:val="20"/>
                <w:color w:val="auto"/>
              </w:rPr>
            </w:pPr>
            <w:r>
              <w:rPr>
                <w:rFonts w:ascii="Arial" w:cs="Arial" w:eastAsia="Arial" w:hAnsi="Arial"/>
                <w:sz w:val="18"/>
                <w:szCs w:val="18"/>
                <w:color w:val="auto"/>
                <w:w w:val="94"/>
              </w:rPr>
              <w:t>Agreement and Plan of Merger dated as of May 17, 2011 by</w:t>
            </w: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10-Q/A</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11/17/2011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and among the Company, Silver Bullet Acquisition Corp,</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w w:val="96"/>
              </w:rPr>
              <w:t>SiGe Semiconductor, Inc. and Shareholder Representative</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Services, solely in its capacity as the representative and</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agent of the Company Stockholders</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tcPr>
          <w:p>
            <w:pPr>
              <w:jc w:val="center"/>
              <w:ind w:left="132"/>
              <w:spacing w:after="0"/>
              <w:rPr>
                <w:sz w:val="20"/>
                <w:szCs w:val="20"/>
                <w:color w:val="auto"/>
              </w:rPr>
            </w:pPr>
            <w:r>
              <w:rPr>
                <w:rFonts w:ascii="Arial" w:cs="Arial" w:eastAsia="Arial" w:hAnsi="Arial"/>
                <w:sz w:val="18"/>
                <w:szCs w:val="18"/>
                <w:color w:val="auto"/>
                <w:w w:val="88"/>
              </w:rPr>
              <w:t>2.B</w:t>
            </w:r>
          </w:p>
        </w:tc>
        <w:tc>
          <w:tcPr>
            <w:tcW w:w="4760" w:type="dxa"/>
            <w:vAlign w:val="bottom"/>
          </w:tcPr>
          <w:p>
            <w:pPr>
              <w:ind w:left="240"/>
              <w:spacing w:after="0"/>
              <w:rPr>
                <w:sz w:val="20"/>
                <w:szCs w:val="20"/>
                <w:color w:val="auto"/>
              </w:rPr>
            </w:pPr>
            <w:r>
              <w:rPr>
                <w:rFonts w:ascii="Arial" w:cs="Arial" w:eastAsia="Arial" w:hAnsi="Arial"/>
                <w:sz w:val="18"/>
                <w:szCs w:val="18"/>
                <w:color w:val="auto"/>
                <w:w w:val="94"/>
              </w:rPr>
              <w:t>Agreement and Plan of Merger dated May 26, 2011, by and</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333-174953</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Annex 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8/9/2011</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among the Company, PowerCo Acquisition Corp. and</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Advanced Analogic Technologies Incorporated</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20" w:type="dxa"/>
            <w:vAlign w:val="bottom"/>
          </w:tcPr>
          <w:p>
            <w:pPr>
              <w:jc w:val="center"/>
              <w:ind w:left="132"/>
              <w:spacing w:after="0"/>
              <w:rPr>
                <w:sz w:val="20"/>
                <w:szCs w:val="20"/>
                <w:color w:val="auto"/>
              </w:rPr>
            </w:pPr>
            <w:r>
              <w:rPr>
                <w:rFonts w:ascii="Arial" w:cs="Arial" w:eastAsia="Arial" w:hAnsi="Arial"/>
                <w:sz w:val="18"/>
                <w:szCs w:val="18"/>
                <w:color w:val="auto"/>
              </w:rPr>
              <w:t>3.A</w:t>
            </w:r>
          </w:p>
        </w:tc>
        <w:tc>
          <w:tcPr>
            <w:tcW w:w="4760" w:type="dxa"/>
            <w:vAlign w:val="bottom"/>
          </w:tcPr>
          <w:p>
            <w:pPr>
              <w:ind w:left="240"/>
              <w:spacing w:after="0"/>
              <w:rPr>
                <w:sz w:val="20"/>
                <w:szCs w:val="20"/>
                <w:color w:val="auto"/>
              </w:rPr>
            </w:pPr>
            <w:r>
              <w:rPr>
                <w:rFonts w:ascii="Arial" w:cs="Arial" w:eastAsia="Arial" w:hAnsi="Arial"/>
                <w:sz w:val="18"/>
                <w:szCs w:val="18"/>
                <w:color w:val="auto"/>
              </w:rPr>
              <w:t>Restated Certificate of Incorporation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3.A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8/9/2011</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Pr>
          <w:p>
            <w:pPr>
              <w:jc w:val="center"/>
              <w:ind w:left="132"/>
              <w:spacing w:after="0"/>
              <w:rPr>
                <w:sz w:val="20"/>
                <w:szCs w:val="20"/>
                <w:color w:val="auto"/>
              </w:rPr>
            </w:pPr>
            <w:r>
              <w:rPr>
                <w:rFonts w:ascii="Arial" w:cs="Arial" w:eastAsia="Arial" w:hAnsi="Arial"/>
                <w:sz w:val="18"/>
                <w:szCs w:val="18"/>
                <w:color w:val="auto"/>
                <w:w w:val="88"/>
              </w:rPr>
              <w:t>3.B</w:t>
            </w:r>
          </w:p>
        </w:tc>
        <w:tc>
          <w:tcPr>
            <w:tcW w:w="4760" w:type="dxa"/>
            <w:vAlign w:val="bottom"/>
          </w:tcPr>
          <w:p>
            <w:pPr>
              <w:ind w:left="240"/>
              <w:spacing w:after="0"/>
              <w:rPr>
                <w:sz w:val="20"/>
                <w:szCs w:val="20"/>
                <w:color w:val="auto"/>
              </w:rPr>
            </w:pPr>
            <w:r>
              <w:rPr>
                <w:rFonts w:ascii="Arial" w:cs="Arial" w:eastAsia="Arial" w:hAnsi="Arial"/>
                <w:sz w:val="18"/>
                <w:szCs w:val="18"/>
                <w:color w:val="auto"/>
              </w:rPr>
              <w:t>Second Amended and Restated By-laws, As Amended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3.B</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8/9/2011</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Pr>
          <w:p>
            <w:pPr>
              <w:jc w:val="center"/>
              <w:ind w:left="132"/>
              <w:spacing w:after="0"/>
              <w:rPr>
                <w:sz w:val="20"/>
                <w:szCs w:val="20"/>
                <w:color w:val="auto"/>
              </w:rPr>
            </w:pPr>
            <w:r>
              <w:rPr>
                <w:rFonts w:ascii="Arial" w:cs="Arial" w:eastAsia="Arial" w:hAnsi="Arial"/>
                <w:sz w:val="18"/>
                <w:szCs w:val="18"/>
                <w:color w:val="auto"/>
              </w:rPr>
              <w:t>4.A</w:t>
            </w:r>
          </w:p>
        </w:tc>
        <w:tc>
          <w:tcPr>
            <w:tcW w:w="4760" w:type="dxa"/>
            <w:vAlign w:val="bottom"/>
          </w:tcPr>
          <w:p>
            <w:pPr>
              <w:ind w:left="240"/>
              <w:spacing w:after="0"/>
              <w:rPr>
                <w:sz w:val="20"/>
                <w:szCs w:val="20"/>
                <w:color w:val="auto"/>
              </w:rPr>
            </w:pPr>
            <w:r>
              <w:rPr>
                <w:rFonts w:ascii="Arial" w:cs="Arial" w:eastAsia="Arial" w:hAnsi="Arial"/>
                <w:sz w:val="18"/>
                <w:szCs w:val="18"/>
                <w:color w:val="auto"/>
              </w:rPr>
              <w:t>Specimen Certificate of Common Stock</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S-3</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333-92394</w:t>
            </w:r>
          </w:p>
        </w:tc>
        <w:tc>
          <w:tcPr>
            <w:tcW w:w="1000" w:type="dxa"/>
            <w:vAlign w:val="bottom"/>
          </w:tcPr>
          <w:p>
            <w:pPr>
              <w:jc w:val="right"/>
              <w:ind w:right="351"/>
              <w:spacing w:after="0"/>
              <w:rPr>
                <w:sz w:val="20"/>
                <w:szCs w:val="20"/>
                <w:color w:val="auto"/>
              </w:rPr>
            </w:pPr>
            <w:r>
              <w:rPr>
                <w:rFonts w:ascii="Arial" w:cs="Arial" w:eastAsia="Arial" w:hAnsi="Arial"/>
                <w:sz w:val="18"/>
                <w:szCs w:val="18"/>
                <w:color w:val="auto"/>
              </w:rPr>
              <w:t>4</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7/15/2002</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20" w:type="dxa"/>
            <w:vAlign w:val="bottom"/>
          </w:tcPr>
          <w:p>
            <w:pPr>
              <w:jc w:val="center"/>
              <w:ind w:left="132"/>
              <w:spacing w:after="0"/>
              <w:rPr>
                <w:sz w:val="20"/>
                <w:szCs w:val="20"/>
                <w:color w:val="auto"/>
              </w:rPr>
            </w:pPr>
            <w:r>
              <w:rPr>
                <w:rFonts w:ascii="Arial" w:cs="Arial" w:eastAsia="Arial" w:hAnsi="Arial"/>
                <w:sz w:val="18"/>
                <w:szCs w:val="18"/>
                <w:color w:val="auto"/>
                <w:w w:val="88"/>
              </w:rPr>
              <w:t>4.B</w:t>
            </w:r>
          </w:p>
        </w:tc>
        <w:tc>
          <w:tcPr>
            <w:tcW w:w="4760" w:type="dxa"/>
            <w:vAlign w:val="bottom"/>
          </w:tcPr>
          <w:p>
            <w:pPr>
              <w:ind w:left="240"/>
              <w:spacing w:after="0"/>
              <w:rPr>
                <w:sz w:val="20"/>
                <w:szCs w:val="20"/>
                <w:color w:val="auto"/>
              </w:rPr>
            </w:pPr>
            <w:r>
              <w:rPr>
                <w:rFonts w:ascii="Arial" w:cs="Arial" w:eastAsia="Arial" w:hAnsi="Arial"/>
                <w:sz w:val="18"/>
                <w:szCs w:val="18"/>
                <w:color w:val="auto"/>
                <w:w w:val="93"/>
              </w:rPr>
              <w:t>Indenture dated as of March 2, 2007 between the Registrant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4.1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3/5/2007</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and U.S. Bank National Association, as Trustee</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tcPr>
          <w:p>
            <w:pPr>
              <w:jc w:val="center"/>
              <w:ind w:left="132"/>
              <w:spacing w:after="0"/>
              <w:rPr>
                <w:sz w:val="20"/>
                <w:szCs w:val="20"/>
                <w:color w:val="auto"/>
              </w:rPr>
            </w:pPr>
            <w:r>
              <w:rPr>
                <w:rFonts w:ascii="Arial" w:cs="Arial" w:eastAsia="Arial" w:hAnsi="Arial"/>
                <w:sz w:val="18"/>
                <w:szCs w:val="18"/>
                <w:color w:val="auto"/>
                <w:w w:val="99"/>
              </w:rPr>
              <w:t>10.A*</w:t>
            </w:r>
          </w:p>
        </w:tc>
        <w:tc>
          <w:tcPr>
            <w:tcW w:w="4760" w:type="dxa"/>
            <w:vAlign w:val="bottom"/>
          </w:tcPr>
          <w:p>
            <w:pPr>
              <w:ind w:left="240"/>
              <w:spacing w:after="0"/>
              <w:rPr>
                <w:sz w:val="20"/>
                <w:szCs w:val="20"/>
                <w:color w:val="auto"/>
              </w:rPr>
            </w:pPr>
            <w:r>
              <w:rPr>
                <w:rFonts w:ascii="Arial" w:cs="Arial" w:eastAsia="Arial" w:hAnsi="Arial"/>
                <w:sz w:val="18"/>
                <w:szCs w:val="18"/>
                <w:color w:val="auto"/>
                <w:w w:val="98"/>
              </w:rPr>
              <w:t>Skyworks Solutions, Inc., Long-Term Compensation Plan</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10.B</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12/14/2005</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w w:val="91"/>
              </w:rPr>
              <w:t>dated September 24, 1990; amended March 28, 1991; and as</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further amended October 27, 1994</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tcPr>
          <w:p>
            <w:pPr>
              <w:jc w:val="center"/>
              <w:ind w:left="132"/>
              <w:spacing w:after="0"/>
              <w:rPr>
                <w:sz w:val="20"/>
                <w:szCs w:val="20"/>
                <w:color w:val="auto"/>
              </w:rPr>
            </w:pPr>
            <w:r>
              <w:rPr>
                <w:rFonts w:ascii="Arial" w:cs="Arial" w:eastAsia="Arial" w:hAnsi="Arial"/>
                <w:sz w:val="18"/>
                <w:szCs w:val="18"/>
                <w:color w:val="auto"/>
                <w:w w:val="99"/>
              </w:rPr>
              <w:t>10.B*</w:t>
            </w:r>
          </w:p>
        </w:tc>
        <w:tc>
          <w:tcPr>
            <w:tcW w:w="4760" w:type="dxa"/>
            <w:vAlign w:val="bottom"/>
          </w:tcPr>
          <w:p>
            <w:pPr>
              <w:ind w:left="240"/>
              <w:spacing w:after="0"/>
              <w:rPr>
                <w:sz w:val="20"/>
                <w:szCs w:val="20"/>
                <w:color w:val="auto"/>
              </w:rPr>
            </w:pPr>
            <w:r>
              <w:rPr>
                <w:rFonts w:ascii="Arial" w:cs="Arial" w:eastAsia="Arial" w:hAnsi="Arial"/>
                <w:sz w:val="18"/>
                <w:szCs w:val="18"/>
                <w:color w:val="auto"/>
                <w:w w:val="97"/>
              </w:rPr>
              <w:t>Skyworks Solutions, Inc. 1994 Non-Qualified Stock Option</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10.C</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12/14/2005</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Plan for Non-Employee Directors</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tcPr>
          <w:p>
            <w:pPr>
              <w:jc w:val="center"/>
              <w:ind w:left="132"/>
              <w:spacing w:after="0"/>
              <w:rPr>
                <w:sz w:val="20"/>
                <w:szCs w:val="20"/>
                <w:color w:val="auto"/>
              </w:rPr>
            </w:pPr>
            <w:r>
              <w:rPr>
                <w:rFonts w:ascii="Arial" w:cs="Arial" w:eastAsia="Arial" w:hAnsi="Arial"/>
                <w:sz w:val="18"/>
                <w:szCs w:val="18"/>
                <w:color w:val="auto"/>
                <w:w w:val="97"/>
              </w:rPr>
              <w:t>10.C*</w:t>
            </w:r>
          </w:p>
        </w:tc>
        <w:tc>
          <w:tcPr>
            <w:tcW w:w="4760" w:type="dxa"/>
            <w:vAlign w:val="bottom"/>
          </w:tcPr>
          <w:p>
            <w:pPr>
              <w:ind w:left="240"/>
              <w:spacing w:after="0"/>
              <w:rPr>
                <w:sz w:val="20"/>
                <w:szCs w:val="20"/>
                <w:color w:val="auto"/>
              </w:rPr>
            </w:pPr>
            <w:r>
              <w:rPr>
                <w:rFonts w:ascii="Arial" w:cs="Arial" w:eastAsia="Arial" w:hAnsi="Arial"/>
                <w:sz w:val="18"/>
                <w:szCs w:val="18"/>
                <w:color w:val="auto"/>
              </w:rPr>
              <w:t>Skyworks Solutions, Inc. Executive Compensation Plan</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10.D</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12/14/2005</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w w:val="93"/>
              </w:rPr>
              <w:t>dated January 1, 1995 and Trust for the Skyworks Solutions,</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w w:val="98"/>
              </w:rPr>
              <w:t>Inc. Executive Compensation Plan dated January 3, 1995</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tcPr>
          <w:p>
            <w:pPr>
              <w:jc w:val="center"/>
              <w:ind w:left="132"/>
              <w:spacing w:after="0"/>
              <w:rPr>
                <w:sz w:val="20"/>
                <w:szCs w:val="20"/>
                <w:color w:val="auto"/>
              </w:rPr>
            </w:pPr>
            <w:r>
              <w:rPr>
                <w:rFonts w:ascii="Arial" w:cs="Arial" w:eastAsia="Arial" w:hAnsi="Arial"/>
                <w:sz w:val="18"/>
                <w:szCs w:val="18"/>
                <w:color w:val="auto"/>
                <w:w w:val="97"/>
              </w:rPr>
              <w:t>10.D*</w:t>
            </w:r>
          </w:p>
        </w:tc>
        <w:tc>
          <w:tcPr>
            <w:tcW w:w="4760" w:type="dxa"/>
            <w:vAlign w:val="bottom"/>
          </w:tcPr>
          <w:p>
            <w:pPr>
              <w:ind w:left="240"/>
              <w:spacing w:after="0"/>
              <w:rPr>
                <w:sz w:val="20"/>
                <w:szCs w:val="20"/>
                <w:color w:val="auto"/>
              </w:rPr>
            </w:pPr>
            <w:r>
              <w:rPr>
                <w:rFonts w:ascii="Arial" w:cs="Arial" w:eastAsia="Arial" w:hAnsi="Arial"/>
                <w:sz w:val="18"/>
                <w:szCs w:val="18"/>
                <w:color w:val="auto"/>
                <w:w w:val="97"/>
              </w:rPr>
              <w:t>Skyworks Solutions, Inc. 1997 Non-Qualified Stock Option</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10.E</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12/14/2005</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Plan for Non-Employee Directors</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20" w:type="dxa"/>
            <w:vAlign w:val="bottom"/>
          </w:tcPr>
          <w:p>
            <w:pPr>
              <w:jc w:val="center"/>
              <w:ind w:left="132"/>
              <w:spacing w:after="0"/>
              <w:rPr>
                <w:sz w:val="20"/>
                <w:szCs w:val="20"/>
                <w:color w:val="auto"/>
              </w:rPr>
            </w:pPr>
            <w:r>
              <w:rPr>
                <w:rFonts w:ascii="Arial" w:cs="Arial" w:eastAsia="Arial" w:hAnsi="Arial"/>
                <w:sz w:val="18"/>
                <w:szCs w:val="18"/>
                <w:color w:val="auto"/>
                <w:w w:val="99"/>
              </w:rPr>
              <w:t>10.E*</w:t>
            </w:r>
          </w:p>
        </w:tc>
        <w:tc>
          <w:tcPr>
            <w:tcW w:w="4760" w:type="dxa"/>
            <w:vAlign w:val="bottom"/>
          </w:tcPr>
          <w:p>
            <w:pPr>
              <w:ind w:left="240"/>
              <w:spacing w:after="0"/>
              <w:rPr>
                <w:sz w:val="20"/>
                <w:szCs w:val="20"/>
                <w:color w:val="auto"/>
              </w:rPr>
            </w:pPr>
            <w:r>
              <w:rPr>
                <w:rFonts w:ascii="Arial" w:cs="Arial" w:eastAsia="Arial" w:hAnsi="Arial"/>
                <w:sz w:val="18"/>
                <w:szCs w:val="18"/>
                <w:color w:val="auto"/>
                <w:w w:val="99"/>
              </w:rPr>
              <w:t>Skyworks Solutions, Inc. 1996 Long-Term Incentive Plan</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10.F</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12/13/2006</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20" w:type="dxa"/>
            <w:vAlign w:val="bottom"/>
          </w:tcPr>
          <w:p>
            <w:pPr>
              <w:jc w:val="center"/>
              <w:ind w:left="132"/>
              <w:spacing w:after="0"/>
              <w:rPr>
                <w:sz w:val="20"/>
                <w:szCs w:val="20"/>
                <w:color w:val="auto"/>
              </w:rPr>
            </w:pPr>
            <w:r>
              <w:rPr>
                <w:rFonts w:ascii="Arial" w:cs="Arial" w:eastAsia="Arial" w:hAnsi="Arial"/>
                <w:sz w:val="18"/>
                <w:szCs w:val="18"/>
                <w:color w:val="auto"/>
                <w:w w:val="92"/>
              </w:rPr>
              <w:t>10.F*</w:t>
            </w:r>
          </w:p>
        </w:tc>
        <w:tc>
          <w:tcPr>
            <w:tcW w:w="4760" w:type="dxa"/>
            <w:vAlign w:val="bottom"/>
          </w:tcPr>
          <w:p>
            <w:pPr>
              <w:ind w:left="240"/>
              <w:spacing w:after="0"/>
              <w:rPr>
                <w:sz w:val="20"/>
                <w:szCs w:val="20"/>
                <w:color w:val="auto"/>
              </w:rPr>
            </w:pPr>
            <w:r>
              <w:rPr>
                <w:rFonts w:ascii="Arial" w:cs="Arial" w:eastAsia="Arial" w:hAnsi="Arial"/>
                <w:sz w:val="18"/>
                <w:szCs w:val="18"/>
                <w:color w:val="auto"/>
              </w:rPr>
              <w:t>Skyworks Solutions, Inc. 1999 Employee Long-Term</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10.L</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12/23/2002</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Incentive Plan</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20" w:type="dxa"/>
            <w:vAlign w:val="bottom"/>
          </w:tcPr>
          <w:p>
            <w:pPr>
              <w:jc w:val="center"/>
              <w:ind w:left="132"/>
              <w:spacing w:after="0"/>
              <w:rPr>
                <w:sz w:val="20"/>
                <w:szCs w:val="20"/>
                <w:color w:val="auto"/>
              </w:rPr>
            </w:pPr>
            <w:r>
              <w:rPr>
                <w:rFonts w:ascii="Arial" w:cs="Arial" w:eastAsia="Arial" w:hAnsi="Arial"/>
                <w:sz w:val="18"/>
                <w:szCs w:val="18"/>
                <w:color w:val="auto"/>
                <w:w w:val="95"/>
              </w:rPr>
              <w:t>10.G*</w:t>
            </w:r>
          </w:p>
        </w:tc>
        <w:tc>
          <w:tcPr>
            <w:tcW w:w="4760" w:type="dxa"/>
            <w:vAlign w:val="bottom"/>
          </w:tcPr>
          <w:p>
            <w:pPr>
              <w:ind w:left="240"/>
              <w:spacing w:after="0"/>
              <w:rPr>
                <w:sz w:val="20"/>
                <w:szCs w:val="20"/>
                <w:color w:val="auto"/>
              </w:rPr>
            </w:pPr>
            <w:r>
              <w:rPr>
                <w:rFonts w:ascii="Arial" w:cs="Arial" w:eastAsia="Arial" w:hAnsi="Arial"/>
                <w:sz w:val="18"/>
                <w:szCs w:val="18"/>
                <w:color w:val="auto"/>
              </w:rPr>
              <w:t>Washington Sub Inc., 2002 Stock Option Plan</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S-3</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333-92394</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99.A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7/15/2002</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20" w:type="dxa"/>
            <w:vAlign w:val="bottom"/>
          </w:tcPr>
          <w:p>
            <w:pPr>
              <w:jc w:val="center"/>
              <w:ind w:left="132"/>
              <w:spacing w:after="0"/>
              <w:rPr>
                <w:sz w:val="20"/>
                <w:szCs w:val="20"/>
                <w:color w:val="auto"/>
              </w:rPr>
            </w:pPr>
            <w:r>
              <w:rPr>
                <w:rFonts w:ascii="Arial" w:cs="Arial" w:eastAsia="Arial" w:hAnsi="Arial"/>
                <w:sz w:val="18"/>
                <w:szCs w:val="18"/>
                <w:color w:val="auto"/>
                <w:w w:val="97"/>
              </w:rPr>
              <w:t>10.H*</w:t>
            </w:r>
          </w:p>
        </w:tc>
        <w:tc>
          <w:tcPr>
            <w:tcW w:w="4760" w:type="dxa"/>
            <w:vAlign w:val="bottom"/>
          </w:tcPr>
          <w:p>
            <w:pPr>
              <w:ind w:left="240"/>
              <w:spacing w:after="0"/>
              <w:rPr>
                <w:sz w:val="20"/>
                <w:szCs w:val="20"/>
                <w:color w:val="auto"/>
              </w:rPr>
            </w:pPr>
            <w:r>
              <w:rPr>
                <w:rFonts w:ascii="Arial" w:cs="Arial" w:eastAsia="Arial" w:hAnsi="Arial"/>
                <w:sz w:val="18"/>
                <w:szCs w:val="18"/>
                <w:color w:val="auto"/>
              </w:rPr>
              <w:t>Skyworks Solutions, Inc. Non-Qualified Employee Stock</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10.H</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Purchase Plan</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tcPr>
          <w:p>
            <w:pPr>
              <w:jc w:val="center"/>
              <w:ind w:left="132"/>
              <w:spacing w:after="0"/>
              <w:rPr>
                <w:sz w:val="20"/>
                <w:szCs w:val="20"/>
                <w:color w:val="auto"/>
              </w:rPr>
            </w:pPr>
            <w:r>
              <w:rPr>
                <w:rFonts w:ascii="Arial" w:cs="Arial" w:eastAsia="Arial" w:hAnsi="Arial"/>
                <w:sz w:val="18"/>
                <w:szCs w:val="18"/>
                <w:color w:val="auto"/>
                <w:w w:val="97"/>
              </w:rPr>
              <w:t>10.I*</w:t>
            </w:r>
          </w:p>
        </w:tc>
        <w:tc>
          <w:tcPr>
            <w:tcW w:w="4760" w:type="dxa"/>
            <w:vAlign w:val="bottom"/>
          </w:tcPr>
          <w:p>
            <w:pPr>
              <w:ind w:left="240"/>
              <w:spacing w:after="0"/>
              <w:rPr>
                <w:sz w:val="20"/>
                <w:szCs w:val="20"/>
                <w:color w:val="auto"/>
              </w:rPr>
            </w:pPr>
            <w:r>
              <w:rPr>
                <w:rFonts w:ascii="Arial" w:cs="Arial" w:eastAsia="Arial" w:hAnsi="Arial"/>
                <w:sz w:val="18"/>
                <w:szCs w:val="18"/>
                <w:color w:val="auto"/>
              </w:rPr>
              <w:t>Skyworks Solutions Inc. 2002 Qualified Employee Stock</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10.L</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2/7/2007</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Purchase Plan (as amended 1/31/2006)</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tcPr>
          <w:p>
            <w:pPr>
              <w:jc w:val="center"/>
              <w:ind w:left="132"/>
              <w:spacing w:after="0"/>
              <w:rPr>
                <w:sz w:val="20"/>
                <w:szCs w:val="20"/>
                <w:color w:val="auto"/>
              </w:rPr>
            </w:pPr>
            <w:r>
              <w:rPr>
                <w:rFonts w:ascii="Arial" w:cs="Arial" w:eastAsia="Arial" w:hAnsi="Arial"/>
                <w:sz w:val="18"/>
                <w:szCs w:val="18"/>
                <w:color w:val="auto"/>
                <w:w w:val="82"/>
              </w:rPr>
              <w:t>10.J</w:t>
            </w:r>
          </w:p>
        </w:tc>
        <w:tc>
          <w:tcPr>
            <w:tcW w:w="4760" w:type="dxa"/>
            <w:vAlign w:val="bottom"/>
          </w:tcPr>
          <w:p>
            <w:pPr>
              <w:ind w:left="240"/>
              <w:spacing w:after="0"/>
              <w:rPr>
                <w:sz w:val="20"/>
                <w:szCs w:val="20"/>
                <w:color w:val="auto"/>
              </w:rPr>
            </w:pPr>
            <w:r>
              <w:rPr>
                <w:rFonts w:ascii="Arial" w:cs="Arial" w:eastAsia="Arial" w:hAnsi="Arial"/>
                <w:sz w:val="18"/>
                <w:szCs w:val="18"/>
                <w:color w:val="auto"/>
                <w:w w:val="97"/>
              </w:rPr>
              <w:t>Credit and Security Agreement, dated as of July 15, 2003,</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8/11/2003</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w w:val="94"/>
              </w:rPr>
              <w:t>by and between Skyworks USA, Inc. and Wells Fargo Bank,</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N.A</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tcPr>
          <w:p>
            <w:pPr>
              <w:jc w:val="center"/>
              <w:ind w:left="132"/>
              <w:spacing w:after="0"/>
              <w:rPr>
                <w:sz w:val="20"/>
                <w:szCs w:val="20"/>
                <w:color w:val="auto"/>
              </w:rPr>
            </w:pPr>
            <w:r>
              <w:rPr>
                <w:rFonts w:ascii="Arial" w:cs="Arial" w:eastAsia="Arial" w:hAnsi="Arial"/>
                <w:sz w:val="18"/>
                <w:szCs w:val="18"/>
                <w:color w:val="auto"/>
                <w:w w:val="97"/>
              </w:rPr>
              <w:t>10.K</w:t>
            </w:r>
          </w:p>
        </w:tc>
        <w:tc>
          <w:tcPr>
            <w:tcW w:w="4760" w:type="dxa"/>
            <w:vAlign w:val="bottom"/>
          </w:tcPr>
          <w:p>
            <w:pPr>
              <w:ind w:left="240"/>
              <w:spacing w:after="0"/>
              <w:rPr>
                <w:sz w:val="20"/>
                <w:szCs w:val="20"/>
                <w:color w:val="auto"/>
              </w:rPr>
            </w:pPr>
            <w:r>
              <w:rPr>
                <w:rFonts w:ascii="Arial" w:cs="Arial" w:eastAsia="Arial" w:hAnsi="Arial"/>
                <w:sz w:val="18"/>
                <w:szCs w:val="18"/>
                <w:color w:val="auto"/>
              </w:rPr>
              <w:t>Servicing Agreement, dated as of July 15, 2003, by and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10.B</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8/11/2003</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between the Company and Skyworks USA, Inc.</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220" w:type="dxa"/>
            <w:vAlign w:val="bottom"/>
          </w:tcPr>
          <w:p>
            <w:pPr>
              <w:spacing w:after="0"/>
              <w:rPr>
                <w:sz w:val="24"/>
                <w:szCs w:val="24"/>
                <w:color w:val="auto"/>
              </w:rPr>
            </w:pPr>
          </w:p>
        </w:tc>
        <w:tc>
          <w:tcPr>
            <w:tcW w:w="4760" w:type="dxa"/>
            <w:vAlign w:val="bottom"/>
          </w:tcPr>
          <w:p>
            <w:pPr>
              <w:ind w:left="4240"/>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400" w:top="121" w:right="37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40" w:type="dxa"/>
            <w:vAlign w:val="bottom"/>
          </w:tcPr>
          <w:p>
            <w:pPr>
              <w:jc w:val="center"/>
              <w:ind w:left="112"/>
              <w:spacing w:after="0"/>
              <w:rPr>
                <w:sz w:val="20"/>
                <w:szCs w:val="20"/>
                <w:color w:val="auto"/>
              </w:rPr>
            </w:pPr>
            <w:r>
              <w:rPr>
                <w:rFonts w:ascii="Arial" w:cs="Arial" w:eastAsia="Arial" w:hAnsi="Arial"/>
                <w:sz w:val="14"/>
                <w:szCs w:val="14"/>
                <w:b w:val="1"/>
                <w:bCs w:val="1"/>
                <w:color w:val="auto"/>
                <w:w w:val="94"/>
              </w:rPr>
              <w:t>Exhibit</w:t>
            </w:r>
          </w:p>
        </w:tc>
        <w:tc>
          <w:tcPr>
            <w:tcW w:w="470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Exhibit Description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3300" w:type="dxa"/>
            <w:vAlign w:val="bottom"/>
            <w:gridSpan w:val="3"/>
          </w:tcPr>
          <w:p>
            <w:pPr>
              <w:ind w:left="800"/>
              <w:spacing w:after="0"/>
              <w:rPr>
                <w:sz w:val="20"/>
                <w:szCs w:val="20"/>
                <w:color w:val="auto"/>
              </w:rPr>
            </w:pPr>
            <w:r>
              <w:rPr>
                <w:rFonts w:ascii="Arial" w:cs="Arial" w:eastAsia="Arial" w:hAnsi="Arial"/>
                <w:sz w:val="14"/>
                <w:szCs w:val="14"/>
                <w:b w:val="1"/>
                <w:bCs w:val="1"/>
                <w:color w:val="auto"/>
              </w:rPr>
              <w:t>Incorporated by Reference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1240" w:type="dxa"/>
            <w:vAlign w:val="bottom"/>
            <w:tcBorders>
              <w:bottom w:val="single" w:sz="8" w:color="auto"/>
            </w:tcBorders>
          </w:tcPr>
          <w:p>
            <w:pPr>
              <w:jc w:val="center"/>
              <w:ind w:left="112"/>
              <w:spacing w:after="0"/>
              <w:rPr>
                <w:sz w:val="20"/>
                <w:szCs w:val="20"/>
                <w:color w:val="auto"/>
              </w:rPr>
            </w:pPr>
            <w:r>
              <w:rPr>
                <w:rFonts w:ascii="Arial" w:cs="Arial" w:eastAsia="Arial" w:hAnsi="Arial"/>
                <w:sz w:val="14"/>
                <w:szCs w:val="14"/>
                <w:b w:val="1"/>
                <w:bCs w:val="1"/>
                <w:color w:val="auto"/>
                <w:w w:val="98"/>
              </w:rPr>
              <w:t>Number</w:t>
            </w:r>
          </w:p>
        </w:tc>
        <w:tc>
          <w:tcPr>
            <w:tcW w:w="47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Filing Date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8"/>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1"/>
              </w:rPr>
              <w:t>10.L</w:t>
            </w:r>
          </w:p>
        </w:tc>
        <w:tc>
          <w:tcPr>
            <w:tcW w:w="4700" w:type="dxa"/>
            <w:vAlign w:val="bottom"/>
          </w:tcPr>
          <w:p>
            <w:pPr>
              <w:ind w:left="220"/>
              <w:spacing w:after="0"/>
              <w:rPr>
                <w:sz w:val="20"/>
                <w:szCs w:val="20"/>
                <w:color w:val="auto"/>
              </w:rPr>
            </w:pPr>
            <w:r>
              <w:rPr>
                <w:rFonts w:ascii="Arial" w:cs="Arial" w:eastAsia="Arial" w:hAnsi="Arial"/>
                <w:sz w:val="18"/>
                <w:szCs w:val="18"/>
                <w:color w:val="auto"/>
                <w:w w:val="91"/>
              </w:rPr>
              <w:t>Receivables Purchase Agreement, dated as of July 15, 2003,</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10.C</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8/11/2003</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by and between Skyworks USA, Inc. and the Company</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rPr>
              <w:t>10.M*</w:t>
            </w:r>
          </w:p>
        </w:tc>
        <w:tc>
          <w:tcPr>
            <w:tcW w:w="4700" w:type="dxa"/>
            <w:vAlign w:val="bottom"/>
          </w:tcPr>
          <w:p>
            <w:pPr>
              <w:ind w:left="220"/>
              <w:spacing w:after="0"/>
              <w:rPr>
                <w:sz w:val="20"/>
                <w:szCs w:val="20"/>
                <w:color w:val="auto"/>
              </w:rPr>
            </w:pPr>
            <w:r>
              <w:rPr>
                <w:rFonts w:ascii="Arial" w:cs="Arial" w:eastAsia="Arial" w:hAnsi="Arial"/>
                <w:sz w:val="18"/>
                <w:szCs w:val="18"/>
                <w:color w:val="auto"/>
                <w:w w:val="98"/>
              </w:rPr>
              <w:t>Skyworks Solutions, Inc. 2005 Long-Term Incentive Plan</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APPENDIX</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3/30/2009</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(as amended and restated 5/12/2009)</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7"/>
              </w:rPr>
              <w:t>10.N*</w:t>
            </w:r>
          </w:p>
        </w:tc>
        <w:tc>
          <w:tcPr>
            <w:tcW w:w="4700" w:type="dxa"/>
            <w:vAlign w:val="bottom"/>
          </w:tcPr>
          <w:p>
            <w:pPr>
              <w:ind w:left="220"/>
              <w:spacing w:after="0"/>
              <w:rPr>
                <w:sz w:val="20"/>
                <w:szCs w:val="20"/>
                <w:color w:val="auto"/>
              </w:rPr>
            </w:pPr>
            <w:r>
              <w:rPr>
                <w:rFonts w:ascii="Arial" w:cs="Arial" w:eastAsia="Arial" w:hAnsi="Arial"/>
                <w:sz w:val="18"/>
                <w:szCs w:val="18"/>
                <w:color w:val="auto"/>
                <w:w w:val="94"/>
              </w:rPr>
              <w:t>Skyworks Solutions, Inc. Directors' 2001 Stock Option Plan</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5/4/2005</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5"/>
              </w:rPr>
              <w:t>10.O*</w:t>
            </w:r>
          </w:p>
        </w:tc>
        <w:tc>
          <w:tcPr>
            <w:tcW w:w="4700" w:type="dxa"/>
            <w:vAlign w:val="bottom"/>
          </w:tcPr>
          <w:p>
            <w:pPr>
              <w:ind w:left="220"/>
              <w:spacing w:after="0"/>
              <w:rPr>
                <w:sz w:val="20"/>
                <w:szCs w:val="20"/>
                <w:color w:val="auto"/>
              </w:rPr>
            </w:pPr>
            <w:r>
              <w:rPr>
                <w:rFonts w:ascii="Arial" w:cs="Arial" w:eastAsia="Arial" w:hAnsi="Arial"/>
                <w:sz w:val="18"/>
                <w:szCs w:val="18"/>
                <w:color w:val="auto"/>
              </w:rPr>
              <w:t>Form of Notice of Grant of Stock Option under the</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5/4/2005</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Company's 2001 Directors' Plan</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0"/>
              </w:rPr>
              <w:t>10.P*</w:t>
            </w:r>
          </w:p>
        </w:tc>
        <w:tc>
          <w:tcPr>
            <w:tcW w:w="4700" w:type="dxa"/>
            <w:vAlign w:val="bottom"/>
          </w:tcPr>
          <w:p>
            <w:pPr>
              <w:ind w:left="220"/>
              <w:spacing w:after="0"/>
              <w:rPr>
                <w:sz w:val="20"/>
                <w:szCs w:val="20"/>
                <w:color w:val="auto"/>
              </w:rPr>
            </w:pPr>
            <w:r>
              <w:rPr>
                <w:rFonts w:ascii="Arial" w:cs="Arial" w:eastAsia="Arial" w:hAnsi="Arial"/>
                <w:sz w:val="18"/>
                <w:szCs w:val="18"/>
                <w:color w:val="auto"/>
              </w:rPr>
              <w:t>Form of Notice of Stock Option Agreement under the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10.A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5/11/2005</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Company's 2005 Long-Term Incentive Plan</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5"/>
              </w:rPr>
              <w:t>10.Q*</w:t>
            </w:r>
          </w:p>
        </w:tc>
        <w:tc>
          <w:tcPr>
            <w:tcW w:w="4700" w:type="dxa"/>
            <w:vAlign w:val="bottom"/>
          </w:tcPr>
          <w:p>
            <w:pPr>
              <w:ind w:left="220"/>
              <w:spacing w:after="0"/>
              <w:rPr>
                <w:sz w:val="20"/>
                <w:szCs w:val="20"/>
                <w:color w:val="auto"/>
              </w:rPr>
            </w:pPr>
            <w:r>
              <w:rPr>
                <w:rFonts w:ascii="Arial" w:cs="Arial" w:eastAsia="Arial" w:hAnsi="Arial"/>
                <w:sz w:val="18"/>
                <w:szCs w:val="18"/>
                <w:color w:val="auto"/>
                <w:w w:val="99"/>
              </w:rPr>
              <w:t>Form of Notice of Restricted Stock Agreement under the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10.B</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5/11/2005</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Company's 2005 Long-Term Incentive Plan</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7"/>
              </w:rPr>
              <w:t>10.R*</w:t>
            </w:r>
          </w:p>
        </w:tc>
        <w:tc>
          <w:tcPr>
            <w:tcW w:w="4700" w:type="dxa"/>
            <w:vAlign w:val="bottom"/>
          </w:tcPr>
          <w:p>
            <w:pPr>
              <w:ind w:left="220"/>
              <w:spacing w:after="0"/>
              <w:rPr>
                <w:sz w:val="20"/>
                <w:szCs w:val="20"/>
                <w:color w:val="auto"/>
              </w:rPr>
            </w:pPr>
            <w:r>
              <w:rPr>
                <w:rFonts w:ascii="Arial" w:cs="Arial" w:eastAsia="Arial" w:hAnsi="Arial"/>
                <w:sz w:val="18"/>
                <w:szCs w:val="18"/>
                <w:color w:val="auto"/>
              </w:rPr>
              <w:t>Amended and Restated Change in Control/Severance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10.W</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w w:val="93"/>
              </w:rPr>
              <w:t>Agreement, dated January 22, 2008, between the Company</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and David J. Aldrich</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0"/>
              </w:rPr>
              <w:t>10.S*</w:t>
            </w:r>
          </w:p>
        </w:tc>
        <w:tc>
          <w:tcPr>
            <w:tcW w:w="4700" w:type="dxa"/>
            <w:vAlign w:val="bottom"/>
          </w:tcPr>
          <w:p>
            <w:pPr>
              <w:ind w:left="220"/>
              <w:spacing w:after="0"/>
              <w:rPr>
                <w:sz w:val="20"/>
                <w:szCs w:val="20"/>
                <w:color w:val="auto"/>
              </w:rPr>
            </w:pPr>
            <w:r>
              <w:rPr>
                <w:rFonts w:ascii="Arial" w:cs="Arial" w:eastAsia="Arial" w:hAnsi="Arial"/>
                <w:sz w:val="18"/>
                <w:szCs w:val="18"/>
                <w:color w:val="auto"/>
              </w:rPr>
              <w:t>Amendment dated November 23,2010 to Amended and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10.KK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2/8/2011</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w w:val="96"/>
              </w:rPr>
              <w:t>Restated Change in Control/Severance Agreement, dated</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w w:val="93"/>
              </w:rPr>
              <w:t>January 22, 2008, between the Company and David Aldrich</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rPr>
              <w:t>10.T*</w:t>
            </w:r>
          </w:p>
        </w:tc>
        <w:tc>
          <w:tcPr>
            <w:tcW w:w="4700" w:type="dxa"/>
            <w:vAlign w:val="bottom"/>
          </w:tcPr>
          <w:p>
            <w:pPr>
              <w:ind w:left="220"/>
              <w:spacing w:after="0"/>
              <w:rPr>
                <w:sz w:val="20"/>
                <w:szCs w:val="20"/>
                <w:color w:val="auto"/>
              </w:rPr>
            </w:pPr>
            <w:r>
              <w:rPr>
                <w:rFonts w:ascii="Arial" w:cs="Arial" w:eastAsia="Arial" w:hAnsi="Arial"/>
                <w:sz w:val="18"/>
                <w:szCs w:val="18"/>
                <w:color w:val="auto"/>
                <w:w w:val="92"/>
              </w:rPr>
              <w:t>Change in Control/Severance Agreement, dated January 22,</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10.X</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2008, between the Company and Liam K. Griffin</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7"/>
              </w:rPr>
              <w:t>10.U*</w:t>
            </w:r>
          </w:p>
        </w:tc>
        <w:tc>
          <w:tcPr>
            <w:tcW w:w="4700" w:type="dxa"/>
            <w:vAlign w:val="bottom"/>
          </w:tcPr>
          <w:p>
            <w:pPr>
              <w:ind w:left="220"/>
              <w:spacing w:after="0"/>
              <w:rPr>
                <w:sz w:val="20"/>
                <w:szCs w:val="20"/>
                <w:color w:val="auto"/>
              </w:rPr>
            </w:pPr>
            <w:r>
              <w:rPr>
                <w:rFonts w:ascii="Arial" w:cs="Arial" w:eastAsia="Arial" w:hAnsi="Arial"/>
                <w:sz w:val="18"/>
                <w:szCs w:val="18"/>
                <w:color w:val="auto"/>
                <w:w w:val="92"/>
              </w:rPr>
              <w:t>Change in Control/Severance Agreement, dated January 22,</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10.AA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2008, between the Company and George M. LeVan</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9"/>
              </w:rPr>
              <w:t>10.V*</w:t>
            </w:r>
          </w:p>
        </w:tc>
        <w:tc>
          <w:tcPr>
            <w:tcW w:w="4700" w:type="dxa"/>
            <w:vAlign w:val="bottom"/>
          </w:tcPr>
          <w:p>
            <w:pPr>
              <w:ind w:left="220"/>
              <w:spacing w:after="0"/>
              <w:rPr>
                <w:sz w:val="20"/>
                <w:szCs w:val="20"/>
                <w:color w:val="auto"/>
              </w:rPr>
            </w:pPr>
            <w:r>
              <w:rPr>
                <w:rFonts w:ascii="Arial" w:cs="Arial" w:eastAsia="Arial" w:hAnsi="Arial"/>
                <w:sz w:val="18"/>
                <w:szCs w:val="18"/>
                <w:color w:val="auto"/>
                <w:w w:val="92"/>
              </w:rPr>
              <w:t>Change in Control/Severance Agreement, dated January 22,</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10.BB</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2008, between the Company and Gregory L. Waters</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7"/>
              </w:rPr>
              <w:t>10.W*</w:t>
            </w:r>
          </w:p>
        </w:tc>
        <w:tc>
          <w:tcPr>
            <w:tcW w:w="4700" w:type="dxa"/>
            <w:vAlign w:val="bottom"/>
          </w:tcPr>
          <w:p>
            <w:pPr>
              <w:ind w:left="220"/>
              <w:spacing w:after="0"/>
              <w:rPr>
                <w:sz w:val="20"/>
                <w:szCs w:val="20"/>
                <w:color w:val="auto"/>
              </w:rPr>
            </w:pPr>
            <w:r>
              <w:rPr>
                <w:rFonts w:ascii="Arial" w:cs="Arial" w:eastAsia="Arial" w:hAnsi="Arial"/>
                <w:sz w:val="18"/>
                <w:szCs w:val="18"/>
                <w:color w:val="auto"/>
                <w:w w:val="92"/>
              </w:rPr>
              <w:t>Change in Control/Severance Agreement, dated January 22,</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10.DD</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2008, between the Company and Mark V. B. Tremallo</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9"/>
              </w:rPr>
              <w:t>10.X*</w:t>
            </w:r>
          </w:p>
        </w:tc>
        <w:tc>
          <w:tcPr>
            <w:tcW w:w="4700" w:type="dxa"/>
            <w:vAlign w:val="bottom"/>
          </w:tcPr>
          <w:p>
            <w:pPr>
              <w:ind w:left="220"/>
              <w:spacing w:after="0"/>
              <w:rPr>
                <w:sz w:val="20"/>
                <w:szCs w:val="20"/>
                <w:color w:val="auto"/>
              </w:rPr>
            </w:pPr>
            <w:r>
              <w:rPr>
                <w:rFonts w:ascii="Arial" w:cs="Arial" w:eastAsia="Arial" w:hAnsi="Arial"/>
                <w:sz w:val="18"/>
                <w:szCs w:val="18"/>
                <w:color w:val="auto"/>
                <w:w w:val="95"/>
              </w:rPr>
              <w:t>Form of Restricted Stock Agreement under the Company's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11/15/2005</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2005 Long-Term Incentive Plan</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9"/>
              </w:rPr>
              <w:t>10.Y*</w:t>
            </w:r>
          </w:p>
        </w:tc>
        <w:tc>
          <w:tcPr>
            <w:tcW w:w="4700" w:type="dxa"/>
            <w:vAlign w:val="bottom"/>
          </w:tcPr>
          <w:p>
            <w:pPr>
              <w:ind w:left="220"/>
              <w:spacing w:after="0"/>
              <w:rPr>
                <w:sz w:val="20"/>
                <w:szCs w:val="20"/>
                <w:color w:val="auto"/>
              </w:rPr>
            </w:pPr>
            <w:r>
              <w:rPr>
                <w:rFonts w:ascii="Arial" w:cs="Arial" w:eastAsia="Arial" w:hAnsi="Arial"/>
                <w:sz w:val="18"/>
                <w:szCs w:val="18"/>
                <w:color w:val="auto"/>
              </w:rPr>
              <w:t>Skyworks Solutions Inc. Cash Compensation Plan for</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10.HH</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8/8/2007</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Directors</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88"/>
              </w:rPr>
              <w:t>10.Z</w:t>
            </w:r>
          </w:p>
        </w:tc>
        <w:tc>
          <w:tcPr>
            <w:tcW w:w="4700" w:type="dxa"/>
            <w:vAlign w:val="bottom"/>
          </w:tcPr>
          <w:p>
            <w:pPr>
              <w:ind w:left="220"/>
              <w:spacing w:after="0"/>
              <w:rPr>
                <w:sz w:val="20"/>
                <w:szCs w:val="20"/>
                <w:color w:val="auto"/>
              </w:rPr>
            </w:pPr>
            <w:r>
              <w:rPr>
                <w:rFonts w:ascii="Arial" w:cs="Arial" w:eastAsia="Arial" w:hAnsi="Arial"/>
                <w:sz w:val="18"/>
                <w:szCs w:val="18"/>
                <w:color w:val="auto"/>
              </w:rPr>
              <w:t>Registration Rights Agreement dated March 2, 2007</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10.HH</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3/5/2007</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w w:val="94"/>
              </w:rPr>
              <w:t>between the Registrant and Credit Suisse Securities (USA)</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LLC</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9"/>
              </w:rPr>
              <w:t>10.AA*</w:t>
            </w:r>
          </w:p>
        </w:tc>
        <w:tc>
          <w:tcPr>
            <w:tcW w:w="4700" w:type="dxa"/>
            <w:vAlign w:val="bottom"/>
          </w:tcPr>
          <w:p>
            <w:pPr>
              <w:ind w:left="220"/>
              <w:spacing w:after="0"/>
              <w:rPr>
                <w:sz w:val="20"/>
                <w:szCs w:val="20"/>
                <w:color w:val="auto"/>
              </w:rPr>
            </w:pPr>
            <w:r>
              <w:rPr>
                <w:rFonts w:ascii="Arial" w:cs="Arial" w:eastAsia="Arial" w:hAnsi="Arial"/>
                <w:sz w:val="18"/>
                <w:szCs w:val="18"/>
                <w:color w:val="auto"/>
                <w:w w:val="92"/>
              </w:rPr>
              <w:t>Change in Control/Severance Agreement, dated January 22,</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6"/>
              </w:rPr>
              <w:t>10.II</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2008, between the Company and Donald W. Palette</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9"/>
              </w:rPr>
              <w:t>10.BB*</w:t>
            </w:r>
          </w:p>
        </w:tc>
        <w:tc>
          <w:tcPr>
            <w:tcW w:w="4700" w:type="dxa"/>
            <w:vAlign w:val="bottom"/>
          </w:tcPr>
          <w:p>
            <w:pPr>
              <w:ind w:left="220"/>
              <w:spacing w:after="0"/>
              <w:rPr>
                <w:sz w:val="20"/>
                <w:szCs w:val="20"/>
                <w:color w:val="auto"/>
              </w:rPr>
            </w:pPr>
            <w:r>
              <w:rPr>
                <w:rFonts w:ascii="Arial" w:cs="Arial" w:eastAsia="Arial" w:hAnsi="Arial"/>
                <w:sz w:val="18"/>
                <w:szCs w:val="18"/>
                <w:color w:val="auto"/>
              </w:rPr>
              <w:t>Form of Performance Share Agreement Under the 2005</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83"/>
              </w:rPr>
              <w:t>10.JJ</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2/6/2008</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Long-Term Incentive Plan</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40" w:type="dxa"/>
            <w:vAlign w:val="bottom"/>
          </w:tcPr>
          <w:p>
            <w:pPr>
              <w:jc w:val="center"/>
              <w:ind w:left="112"/>
              <w:spacing w:after="0"/>
              <w:rPr>
                <w:sz w:val="20"/>
                <w:szCs w:val="20"/>
                <w:color w:val="auto"/>
              </w:rPr>
            </w:pPr>
            <w:r>
              <w:rPr>
                <w:rFonts w:ascii="Arial" w:cs="Arial" w:eastAsia="Arial" w:hAnsi="Arial"/>
                <w:sz w:val="18"/>
                <w:szCs w:val="18"/>
                <w:color w:val="auto"/>
                <w:w w:val="96"/>
              </w:rPr>
              <w:t>10.CC*</w:t>
            </w:r>
          </w:p>
        </w:tc>
        <w:tc>
          <w:tcPr>
            <w:tcW w:w="4700" w:type="dxa"/>
            <w:vAlign w:val="bottom"/>
          </w:tcPr>
          <w:p>
            <w:pPr>
              <w:ind w:left="220"/>
              <w:spacing w:after="0"/>
              <w:rPr>
                <w:sz w:val="20"/>
                <w:szCs w:val="20"/>
                <w:color w:val="auto"/>
              </w:rPr>
            </w:pPr>
            <w:r>
              <w:rPr>
                <w:rFonts w:ascii="Arial" w:cs="Arial" w:eastAsia="Arial" w:hAnsi="Arial"/>
                <w:sz w:val="18"/>
                <w:szCs w:val="18"/>
                <w:color w:val="auto"/>
                <w:w w:val="92"/>
              </w:rPr>
              <w:t>Change in Control/Severance Agreement, dated January 22,</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10.KK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2008, between the Company and Bruce Freyman</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240" w:type="dxa"/>
            <w:vAlign w:val="bottom"/>
          </w:tcPr>
          <w:p>
            <w:pPr>
              <w:spacing w:after="0"/>
              <w:rPr>
                <w:sz w:val="24"/>
                <w:szCs w:val="24"/>
                <w:color w:val="auto"/>
              </w:rPr>
            </w:pPr>
          </w:p>
        </w:tc>
        <w:tc>
          <w:tcPr>
            <w:tcW w:w="4700" w:type="dxa"/>
            <w:vAlign w:val="bottom"/>
          </w:tcPr>
          <w:p>
            <w:pPr>
              <w:ind w:left="4220"/>
              <w:spacing w:after="0"/>
              <w:rPr>
                <w:sz w:val="20"/>
                <w:szCs w:val="20"/>
                <w:color w:val="auto"/>
              </w:rPr>
            </w:pPr>
            <w:r>
              <w:rPr>
                <w:rFonts w:ascii="Arial" w:cs="Arial" w:eastAsia="Arial" w:hAnsi="Arial"/>
                <w:sz w:val="18"/>
                <w:szCs w:val="18"/>
                <w:color w:val="auto"/>
              </w:rPr>
              <w:t>32</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400" w:top="279" w:right="379" w:bottom="1440" w:gutter="0" w:footer="0" w:header="0"/>
        </w:sectPr>
      </w:pPr>
    </w:p>
    <w:bookmarkStart w:id="32" w:name="page33"/>
    <w:bookmarkEnd w:id="32"/>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560" w:type="dxa"/>
            <w:vAlign w:val="bottom"/>
          </w:tcPr>
          <w:p>
            <w:pPr>
              <w:jc w:val="center"/>
              <w:ind w:right="968"/>
              <w:spacing w:after="0"/>
              <w:rPr>
                <w:sz w:val="20"/>
                <w:szCs w:val="20"/>
                <w:color w:val="auto"/>
              </w:rPr>
            </w:pPr>
            <w:r>
              <w:rPr>
                <w:rFonts w:ascii="Arial" w:cs="Arial" w:eastAsia="Arial" w:hAnsi="Arial"/>
                <w:sz w:val="14"/>
                <w:szCs w:val="14"/>
                <w:b w:val="1"/>
                <w:bCs w:val="1"/>
                <w:color w:val="auto"/>
                <w:w w:val="94"/>
              </w:rPr>
              <w:t>Exhibit</w:t>
            </w:r>
          </w:p>
        </w:tc>
        <w:tc>
          <w:tcPr>
            <w:tcW w:w="324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Exhibit Description</w:t>
            </w:r>
          </w:p>
        </w:tc>
        <w:tc>
          <w:tcPr>
            <w:tcW w:w="16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Form</w:t>
            </w:r>
          </w:p>
        </w:tc>
        <w:tc>
          <w:tcPr>
            <w:tcW w:w="3280" w:type="dxa"/>
            <w:vAlign w:val="bottom"/>
            <w:gridSpan w:val="3"/>
          </w:tcPr>
          <w:p>
            <w:pPr>
              <w:ind w:left="820"/>
              <w:spacing w:after="0"/>
              <w:rPr>
                <w:sz w:val="20"/>
                <w:szCs w:val="20"/>
                <w:color w:val="auto"/>
              </w:rPr>
            </w:pPr>
            <w:r>
              <w:rPr>
                <w:rFonts w:ascii="Arial" w:cs="Arial" w:eastAsia="Arial" w:hAnsi="Arial"/>
                <w:sz w:val="14"/>
                <w:szCs w:val="14"/>
                <w:b w:val="1"/>
                <w:bCs w:val="1"/>
                <w:color w:val="auto"/>
              </w:rPr>
              <w:t>Incorporated by Reference</w:t>
            </w:r>
          </w:p>
        </w:tc>
        <w:tc>
          <w:tcPr>
            <w:tcW w:w="760" w:type="dxa"/>
            <w:vAlign w:val="bottom"/>
          </w:tcPr>
          <w:p>
            <w:pPr>
              <w:jc w:val="center"/>
              <w:ind w:left="10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6"/>
        </w:trPr>
        <w:tc>
          <w:tcPr>
            <w:tcW w:w="1560" w:type="dxa"/>
            <w:vAlign w:val="bottom"/>
          </w:tcPr>
          <w:p>
            <w:pPr>
              <w:jc w:val="center"/>
              <w:ind w:right="968"/>
              <w:spacing w:after="0"/>
              <w:rPr>
                <w:sz w:val="20"/>
                <w:szCs w:val="20"/>
                <w:color w:val="auto"/>
              </w:rPr>
            </w:pPr>
            <w:r>
              <w:rPr>
                <w:rFonts w:ascii="Arial" w:cs="Arial" w:eastAsia="Arial" w:hAnsi="Arial"/>
                <w:sz w:val="14"/>
                <w:szCs w:val="14"/>
                <w:b w:val="1"/>
                <w:bCs w:val="1"/>
                <w:color w:val="auto"/>
                <w:w w:val="98"/>
              </w:rPr>
              <w:t>Number</w:t>
            </w:r>
          </w:p>
        </w:tc>
        <w:tc>
          <w:tcPr>
            <w:tcW w:w="324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File No.</w:t>
            </w:r>
          </w:p>
        </w:tc>
        <w:tc>
          <w:tcPr>
            <w:tcW w:w="102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Filing Date</w:t>
            </w:r>
          </w:p>
        </w:tc>
        <w:tc>
          <w:tcPr>
            <w:tcW w:w="760" w:type="dxa"/>
            <w:vAlign w:val="bottom"/>
          </w:tcPr>
          <w:p>
            <w:pPr>
              <w:jc w:val="center"/>
              <w:ind w:left="10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7620</wp:posOffset>
            </wp:positionV>
            <wp:extent cx="70580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0560"/>
          </w:cols>
          <w:pgMar w:left="800" w:top="279" w:right="539" w:bottom="1440" w:gutter="0" w:footer="0" w:header="0"/>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96"/>
              </w:rPr>
              <w:t>10.DD*</w:t>
            </w:r>
          </w:p>
        </w:tc>
        <w:tc>
          <w:tcPr>
            <w:tcW w:w="4560" w:type="dxa"/>
            <w:vAlign w:val="bottom"/>
          </w:tcPr>
          <w:p>
            <w:pPr>
              <w:ind w:left="200"/>
              <w:spacing w:after="0"/>
              <w:rPr>
                <w:sz w:val="20"/>
                <w:szCs w:val="20"/>
                <w:color w:val="auto"/>
              </w:rPr>
            </w:pPr>
            <w:r>
              <w:rPr>
                <w:rFonts w:ascii="Arial" w:cs="Arial" w:eastAsia="Arial" w:hAnsi="Arial"/>
                <w:sz w:val="18"/>
                <w:szCs w:val="18"/>
                <w:color w:val="auto"/>
                <w:w w:val="89"/>
              </w:rPr>
              <w:t>Change in Control/Severance Agreement, dated January 22,</w:t>
            </w:r>
          </w:p>
        </w:tc>
      </w:tr>
      <w:tr>
        <w:trPr>
          <w:trHeight w:val="230"/>
        </w:trPr>
        <w:tc>
          <w:tcPr>
            <w:tcW w:w="86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2008, between the Company and Stan Swearingen</w:t>
            </w:r>
          </w:p>
        </w:tc>
      </w:tr>
      <w:tr>
        <w:trPr>
          <w:trHeight w:val="270"/>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92"/>
              </w:rPr>
              <w:t>10.EE*</w:t>
            </w:r>
          </w:p>
        </w:tc>
        <w:tc>
          <w:tcPr>
            <w:tcW w:w="4560" w:type="dxa"/>
            <w:vAlign w:val="bottom"/>
          </w:tcPr>
          <w:p>
            <w:pPr>
              <w:ind w:left="200"/>
              <w:spacing w:after="0"/>
              <w:rPr>
                <w:sz w:val="20"/>
                <w:szCs w:val="20"/>
                <w:color w:val="auto"/>
              </w:rPr>
            </w:pPr>
            <w:r>
              <w:rPr>
                <w:rFonts w:ascii="Arial" w:cs="Arial" w:eastAsia="Arial" w:hAnsi="Arial"/>
                <w:sz w:val="18"/>
                <w:szCs w:val="18"/>
                <w:color w:val="auto"/>
              </w:rPr>
              <w:t>2008 Director Long-Term Incentive Plan</w:t>
            </w:r>
          </w:p>
        </w:tc>
      </w:tr>
      <w:tr>
        <w:trPr>
          <w:trHeight w:val="256"/>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96"/>
              </w:rPr>
              <w:t>10.FF*</w:t>
            </w:r>
          </w:p>
        </w:tc>
        <w:tc>
          <w:tcPr>
            <w:tcW w:w="4560" w:type="dxa"/>
            <w:vAlign w:val="bottom"/>
          </w:tcPr>
          <w:p>
            <w:pPr>
              <w:ind w:left="200"/>
              <w:spacing w:after="0"/>
              <w:rPr>
                <w:sz w:val="20"/>
                <w:szCs w:val="20"/>
                <w:color w:val="auto"/>
              </w:rPr>
            </w:pPr>
            <w:r>
              <w:rPr>
                <w:rFonts w:ascii="Arial" w:cs="Arial" w:eastAsia="Arial" w:hAnsi="Arial"/>
                <w:sz w:val="18"/>
                <w:szCs w:val="18"/>
                <w:color w:val="auto"/>
                <w:w w:val="92"/>
              </w:rPr>
              <w:t>Form of Restricted Stock Agreement under the Company's</w:t>
            </w:r>
          </w:p>
        </w:tc>
      </w:tr>
      <w:tr>
        <w:trPr>
          <w:trHeight w:val="230"/>
        </w:trPr>
        <w:tc>
          <w:tcPr>
            <w:tcW w:w="86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2008 Director Long-Term Incentive Plan</w:t>
            </w:r>
          </w:p>
        </w:tc>
      </w:tr>
      <w:tr>
        <w:trPr>
          <w:trHeight w:val="256"/>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93"/>
              </w:rPr>
              <w:t>10.GG*</w:t>
            </w:r>
          </w:p>
        </w:tc>
        <w:tc>
          <w:tcPr>
            <w:tcW w:w="4560" w:type="dxa"/>
            <w:vAlign w:val="bottom"/>
          </w:tcPr>
          <w:p>
            <w:pPr>
              <w:ind w:left="200"/>
              <w:spacing w:after="0"/>
              <w:rPr>
                <w:sz w:val="20"/>
                <w:szCs w:val="20"/>
                <w:color w:val="auto"/>
              </w:rPr>
            </w:pPr>
            <w:r>
              <w:rPr>
                <w:rFonts w:ascii="Arial" w:cs="Arial" w:eastAsia="Arial" w:hAnsi="Arial"/>
                <w:sz w:val="18"/>
                <w:szCs w:val="18"/>
                <w:color w:val="auto"/>
                <w:w w:val="96"/>
              </w:rPr>
              <w:t>Form of Nonstatutory Stock Option Agreement under the</w:t>
            </w:r>
          </w:p>
        </w:tc>
      </w:tr>
      <w:tr>
        <w:trPr>
          <w:trHeight w:val="230"/>
        </w:trPr>
        <w:tc>
          <w:tcPr>
            <w:tcW w:w="86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Company's 2008 Director Long-Term Incentive Plan</w:t>
            </w:r>
          </w:p>
        </w:tc>
      </w:tr>
      <w:tr>
        <w:trPr>
          <w:trHeight w:val="256"/>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96"/>
              </w:rPr>
              <w:t>10.HH*</w:t>
            </w:r>
          </w:p>
        </w:tc>
        <w:tc>
          <w:tcPr>
            <w:tcW w:w="4560" w:type="dxa"/>
            <w:vAlign w:val="bottom"/>
          </w:tcPr>
          <w:p>
            <w:pPr>
              <w:ind w:left="200"/>
              <w:spacing w:after="0"/>
              <w:rPr>
                <w:sz w:val="20"/>
                <w:szCs w:val="20"/>
                <w:color w:val="auto"/>
              </w:rPr>
            </w:pPr>
            <w:r>
              <w:rPr>
                <w:rFonts w:ascii="Arial" w:cs="Arial" w:eastAsia="Arial" w:hAnsi="Arial"/>
                <w:sz w:val="18"/>
                <w:szCs w:val="18"/>
                <w:color w:val="auto"/>
                <w:w w:val="95"/>
              </w:rPr>
              <w:t>Skyworks Solutions, Inc. 2002 Employee Stock Purchase</w:t>
            </w:r>
          </w:p>
        </w:tc>
      </w:tr>
      <w:tr>
        <w:trPr>
          <w:trHeight w:val="230"/>
        </w:trPr>
        <w:tc>
          <w:tcPr>
            <w:tcW w:w="86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Plan</w:t>
            </w:r>
          </w:p>
        </w:tc>
      </w:tr>
      <w:tr>
        <w:trPr>
          <w:trHeight w:val="270"/>
        </w:trPr>
        <w:tc>
          <w:tcPr>
            <w:tcW w:w="860" w:type="dxa"/>
            <w:vAlign w:val="bottom"/>
          </w:tcPr>
          <w:p>
            <w:pPr>
              <w:jc w:val="center"/>
              <w:ind w:right="130"/>
              <w:spacing w:after="0"/>
              <w:rPr>
                <w:sz w:val="20"/>
                <w:szCs w:val="20"/>
                <w:color w:val="auto"/>
              </w:rPr>
            </w:pPr>
            <w:r>
              <w:rPr>
                <w:rFonts w:ascii="Arial" w:cs="Arial" w:eastAsia="Arial" w:hAnsi="Arial"/>
                <w:sz w:val="18"/>
                <w:szCs w:val="18"/>
                <w:color w:val="auto"/>
              </w:rPr>
              <w:t>10.II*</w:t>
            </w:r>
          </w:p>
        </w:tc>
        <w:tc>
          <w:tcPr>
            <w:tcW w:w="4560" w:type="dxa"/>
            <w:vAlign w:val="bottom"/>
          </w:tcPr>
          <w:p>
            <w:pPr>
              <w:ind w:left="200"/>
              <w:spacing w:after="0"/>
              <w:rPr>
                <w:sz w:val="20"/>
                <w:szCs w:val="20"/>
                <w:color w:val="auto"/>
              </w:rPr>
            </w:pPr>
            <w:r>
              <w:rPr>
                <w:rFonts w:ascii="Arial" w:cs="Arial" w:eastAsia="Arial" w:hAnsi="Arial"/>
                <w:sz w:val="18"/>
                <w:szCs w:val="18"/>
                <w:color w:val="auto"/>
              </w:rPr>
              <w:t>Fiscal 2010 Executive Incentive Compensation Plan</w:t>
            </w:r>
          </w:p>
        </w:tc>
      </w:tr>
      <w:tr>
        <w:trPr>
          <w:trHeight w:val="256"/>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87"/>
              </w:rPr>
              <w:t>10.JJ*</w:t>
            </w:r>
          </w:p>
        </w:tc>
        <w:tc>
          <w:tcPr>
            <w:tcW w:w="4560" w:type="dxa"/>
            <w:vAlign w:val="bottom"/>
          </w:tcPr>
          <w:p>
            <w:pPr>
              <w:ind w:left="200"/>
              <w:spacing w:after="0"/>
              <w:rPr>
                <w:sz w:val="20"/>
                <w:szCs w:val="20"/>
                <w:color w:val="auto"/>
              </w:rPr>
            </w:pPr>
            <w:r>
              <w:rPr>
                <w:rFonts w:ascii="Arial" w:cs="Arial" w:eastAsia="Arial" w:hAnsi="Arial"/>
                <w:sz w:val="18"/>
                <w:szCs w:val="18"/>
                <w:color w:val="auto"/>
              </w:rPr>
              <w:t>Form of Executive Performance Award Forfeiture and</w:t>
            </w:r>
          </w:p>
        </w:tc>
      </w:tr>
      <w:tr>
        <w:trPr>
          <w:trHeight w:val="230"/>
        </w:trPr>
        <w:tc>
          <w:tcPr>
            <w:tcW w:w="86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Replacement Agreement Dated June 4, 2009.</w:t>
            </w:r>
          </w:p>
        </w:tc>
      </w:tr>
      <w:tr>
        <w:trPr>
          <w:trHeight w:val="270"/>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97"/>
              </w:rPr>
              <w:t>10.KK</w:t>
            </w:r>
          </w:p>
        </w:tc>
        <w:tc>
          <w:tcPr>
            <w:tcW w:w="4560" w:type="dxa"/>
            <w:vAlign w:val="bottom"/>
          </w:tcPr>
          <w:p>
            <w:pPr>
              <w:ind w:left="200"/>
              <w:spacing w:after="0"/>
              <w:rPr>
                <w:sz w:val="20"/>
                <w:szCs w:val="20"/>
                <w:color w:val="auto"/>
              </w:rPr>
            </w:pPr>
            <w:r>
              <w:rPr>
                <w:rFonts w:ascii="Arial" w:cs="Arial" w:eastAsia="Arial" w:hAnsi="Arial"/>
                <w:sz w:val="18"/>
                <w:szCs w:val="18"/>
                <w:color w:val="auto"/>
              </w:rPr>
              <w:t>2011 Executive Incentive Plan</w:t>
            </w:r>
          </w:p>
        </w:tc>
      </w:tr>
      <w:tr>
        <w:trPr>
          <w:trHeight w:val="256"/>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97"/>
              </w:rPr>
              <w:t>10.LL</w:t>
            </w:r>
          </w:p>
        </w:tc>
        <w:tc>
          <w:tcPr>
            <w:tcW w:w="4560" w:type="dxa"/>
            <w:vAlign w:val="bottom"/>
          </w:tcPr>
          <w:p>
            <w:pPr>
              <w:ind w:left="200"/>
              <w:spacing w:after="0"/>
              <w:rPr>
                <w:sz w:val="20"/>
                <w:szCs w:val="20"/>
                <w:color w:val="auto"/>
              </w:rPr>
            </w:pPr>
            <w:r>
              <w:rPr>
                <w:rFonts w:ascii="Arial" w:cs="Arial" w:eastAsia="Arial" w:hAnsi="Arial"/>
                <w:sz w:val="18"/>
                <w:szCs w:val="18"/>
                <w:color w:val="auto"/>
              </w:rPr>
              <w:t>Termination and Settlement Letter Agreement, dated</w:t>
            </w:r>
          </w:p>
        </w:tc>
      </w:tr>
      <w:tr>
        <w:trPr>
          <w:trHeight w:val="216"/>
        </w:trPr>
        <w:tc>
          <w:tcPr>
            <w:tcW w:w="86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December 17, 2010 related to Credit and Security</w:t>
            </w:r>
          </w:p>
        </w:tc>
      </w:tr>
      <w:tr>
        <w:trPr>
          <w:trHeight w:val="216"/>
        </w:trPr>
        <w:tc>
          <w:tcPr>
            <w:tcW w:w="86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w w:val="99"/>
              </w:rPr>
              <w:t>Agreement, dated as of July 15, 2003, by and between</w:t>
            </w:r>
          </w:p>
        </w:tc>
      </w:tr>
      <w:tr>
        <w:trPr>
          <w:trHeight w:val="216"/>
        </w:trPr>
        <w:tc>
          <w:tcPr>
            <w:tcW w:w="86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w w:val="92"/>
              </w:rPr>
              <w:t>Skyworks USA, Inc. and Wells Fargo Bank, N.A., Servicing</w:t>
            </w:r>
          </w:p>
        </w:tc>
      </w:tr>
      <w:tr>
        <w:trPr>
          <w:trHeight w:val="216"/>
        </w:trPr>
        <w:tc>
          <w:tcPr>
            <w:tcW w:w="86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w w:val="93"/>
              </w:rPr>
              <w:t>Agreement, dated as of July 15, 2003, by and between the</w:t>
            </w:r>
          </w:p>
        </w:tc>
      </w:tr>
      <w:tr>
        <w:trPr>
          <w:trHeight w:val="216"/>
        </w:trPr>
        <w:tc>
          <w:tcPr>
            <w:tcW w:w="86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Company and Skyworks USA, Inc. and Receivables</w:t>
            </w:r>
          </w:p>
        </w:tc>
      </w:tr>
      <w:tr>
        <w:trPr>
          <w:trHeight w:val="216"/>
        </w:trPr>
        <w:tc>
          <w:tcPr>
            <w:tcW w:w="86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w w:val="97"/>
              </w:rPr>
              <w:t>Purchase Agreement, dated as of July 15, 2003, by and</w:t>
            </w:r>
          </w:p>
        </w:tc>
      </w:tr>
      <w:tr>
        <w:trPr>
          <w:trHeight w:val="230"/>
        </w:trPr>
        <w:tc>
          <w:tcPr>
            <w:tcW w:w="86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between Skyworks USA, Inc. and the Company</w:t>
            </w:r>
          </w:p>
        </w:tc>
      </w:tr>
      <w:tr>
        <w:trPr>
          <w:trHeight w:val="256"/>
        </w:trPr>
        <w:tc>
          <w:tcPr>
            <w:tcW w:w="860" w:type="dxa"/>
            <w:vAlign w:val="bottom"/>
          </w:tcPr>
          <w:p>
            <w:pPr>
              <w:jc w:val="center"/>
              <w:ind w:right="130"/>
              <w:spacing w:after="0"/>
              <w:rPr>
                <w:sz w:val="20"/>
                <w:szCs w:val="20"/>
                <w:color w:val="auto"/>
              </w:rPr>
            </w:pPr>
            <w:r>
              <w:rPr>
                <w:rFonts w:ascii="Arial" w:cs="Arial" w:eastAsia="Arial" w:hAnsi="Arial"/>
                <w:sz w:val="18"/>
                <w:szCs w:val="18"/>
                <w:color w:val="auto"/>
              </w:rPr>
              <w:t>10.MM*</w:t>
            </w:r>
          </w:p>
        </w:tc>
        <w:tc>
          <w:tcPr>
            <w:tcW w:w="4560" w:type="dxa"/>
            <w:vAlign w:val="bottom"/>
          </w:tcPr>
          <w:p>
            <w:pPr>
              <w:ind w:left="200"/>
              <w:spacing w:after="0"/>
              <w:rPr>
                <w:sz w:val="20"/>
                <w:szCs w:val="20"/>
                <w:color w:val="auto"/>
              </w:rPr>
            </w:pPr>
            <w:r>
              <w:rPr>
                <w:rFonts w:ascii="Arial" w:cs="Arial" w:eastAsia="Arial" w:hAnsi="Arial"/>
                <w:sz w:val="18"/>
                <w:szCs w:val="18"/>
                <w:color w:val="auto"/>
                <w:w w:val="91"/>
              </w:rPr>
              <w:t>Amended and Restated 2005 Long-Term Incentive Plan, as</w:t>
            </w:r>
          </w:p>
        </w:tc>
      </w:tr>
      <w:tr>
        <w:trPr>
          <w:trHeight w:val="230"/>
        </w:trPr>
        <w:tc>
          <w:tcPr>
            <w:tcW w:w="86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Amended</w:t>
            </w:r>
          </w:p>
        </w:tc>
      </w:tr>
      <w:tr>
        <w:trPr>
          <w:trHeight w:val="256"/>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96"/>
              </w:rPr>
              <w:t>10.NN*</w:t>
            </w:r>
          </w:p>
        </w:tc>
        <w:tc>
          <w:tcPr>
            <w:tcW w:w="4560" w:type="dxa"/>
            <w:vAlign w:val="bottom"/>
          </w:tcPr>
          <w:p>
            <w:pPr>
              <w:ind w:left="200"/>
              <w:spacing w:after="0"/>
              <w:rPr>
                <w:sz w:val="20"/>
                <w:szCs w:val="20"/>
                <w:color w:val="auto"/>
              </w:rPr>
            </w:pPr>
            <w:r>
              <w:rPr>
                <w:rFonts w:ascii="Arial" w:cs="Arial" w:eastAsia="Arial" w:hAnsi="Arial"/>
                <w:sz w:val="18"/>
                <w:szCs w:val="18"/>
                <w:color w:val="auto"/>
                <w:w w:val="91"/>
              </w:rPr>
              <w:t>Amended and Restated 2008 Director Long-Term Incentive</w:t>
            </w:r>
          </w:p>
        </w:tc>
      </w:tr>
      <w:tr>
        <w:trPr>
          <w:trHeight w:val="230"/>
        </w:trPr>
        <w:tc>
          <w:tcPr>
            <w:tcW w:w="86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Plan</w:t>
            </w:r>
          </w:p>
        </w:tc>
      </w:tr>
      <w:tr>
        <w:trPr>
          <w:trHeight w:val="270"/>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93"/>
              </w:rPr>
              <w:t>10.OO*</w:t>
            </w:r>
          </w:p>
        </w:tc>
        <w:tc>
          <w:tcPr>
            <w:tcW w:w="4560" w:type="dxa"/>
            <w:vAlign w:val="bottom"/>
          </w:tcPr>
          <w:p>
            <w:pPr>
              <w:ind w:left="200"/>
              <w:spacing w:after="0"/>
              <w:rPr>
                <w:sz w:val="20"/>
                <w:szCs w:val="20"/>
                <w:color w:val="auto"/>
              </w:rPr>
            </w:pPr>
            <w:r>
              <w:rPr>
                <w:rFonts w:ascii="Arial" w:cs="Arial" w:eastAsia="Arial" w:hAnsi="Arial"/>
                <w:sz w:val="18"/>
                <w:szCs w:val="18"/>
                <w:color w:val="auto"/>
              </w:rPr>
              <w:t>2002 Employee Stock Purchase Plan, as Amended</w:t>
            </w:r>
          </w:p>
        </w:tc>
      </w:tr>
      <w:tr>
        <w:trPr>
          <w:trHeight w:val="270"/>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92"/>
              </w:rPr>
              <w:t>10.PP*</w:t>
            </w:r>
          </w:p>
        </w:tc>
        <w:tc>
          <w:tcPr>
            <w:tcW w:w="4560" w:type="dxa"/>
            <w:vAlign w:val="bottom"/>
          </w:tcPr>
          <w:p>
            <w:pPr>
              <w:ind w:left="200"/>
              <w:spacing w:after="0"/>
              <w:rPr>
                <w:sz w:val="20"/>
                <w:szCs w:val="20"/>
                <w:color w:val="auto"/>
              </w:rPr>
            </w:pPr>
            <w:r>
              <w:rPr>
                <w:rFonts w:ascii="Arial" w:cs="Arial" w:eastAsia="Arial" w:hAnsi="Arial"/>
                <w:sz w:val="18"/>
                <w:szCs w:val="18"/>
                <w:color w:val="auto"/>
                <w:w w:val="90"/>
              </w:rPr>
              <w:t>Non-Qualified Employee Stock Purchase Plan, as Amended</w:t>
            </w:r>
          </w:p>
        </w:tc>
      </w:tr>
      <w:tr>
        <w:trPr>
          <w:trHeight w:val="270"/>
        </w:trPr>
        <w:tc>
          <w:tcPr>
            <w:tcW w:w="860" w:type="dxa"/>
            <w:vAlign w:val="bottom"/>
          </w:tcPr>
          <w:p>
            <w:pPr>
              <w:jc w:val="center"/>
              <w:ind w:right="150"/>
              <w:spacing w:after="0"/>
              <w:rPr>
                <w:sz w:val="20"/>
                <w:szCs w:val="20"/>
                <w:color w:val="auto"/>
              </w:rPr>
            </w:pPr>
            <w:r>
              <w:rPr>
                <w:rFonts w:ascii="Arial" w:cs="Arial" w:eastAsia="Arial" w:hAnsi="Arial"/>
                <w:sz w:val="18"/>
                <w:szCs w:val="18"/>
                <w:color w:val="auto"/>
                <w:w w:val="89"/>
              </w:rPr>
              <w:t>12</w:t>
            </w:r>
          </w:p>
        </w:tc>
        <w:tc>
          <w:tcPr>
            <w:tcW w:w="4560" w:type="dxa"/>
            <w:vAlign w:val="bottom"/>
          </w:tcPr>
          <w:p>
            <w:pPr>
              <w:ind w:left="200"/>
              <w:spacing w:after="0"/>
              <w:rPr>
                <w:sz w:val="20"/>
                <w:szCs w:val="20"/>
                <w:color w:val="auto"/>
              </w:rPr>
            </w:pPr>
            <w:r>
              <w:rPr>
                <w:rFonts w:ascii="Arial" w:cs="Arial" w:eastAsia="Arial" w:hAnsi="Arial"/>
                <w:sz w:val="18"/>
                <w:szCs w:val="18"/>
                <w:color w:val="auto"/>
              </w:rPr>
              <w:t>Computation of Ratio of Earnings to Fixed Charges</w:t>
            </w:r>
          </w:p>
        </w:tc>
      </w:tr>
    </w:tbl>
    <w:p>
      <w:pPr>
        <w:spacing w:after="0" w:line="40" w:lineRule="exact"/>
        <w:rPr>
          <w:sz w:val="20"/>
          <w:szCs w:val="20"/>
          <w:color w:val="auto"/>
        </w:rPr>
      </w:pPr>
    </w:p>
    <w:p>
      <w:pPr>
        <w:ind w:left="1060" w:hanging="831"/>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Subsidiaries of the Company</w:t>
      </w:r>
    </w:p>
    <w:p>
      <w:pPr>
        <w:spacing w:after="0" w:line="63"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23.1</w:t>
      </w:r>
      <w:r>
        <w:rPr>
          <w:rFonts w:ascii="Arial" w:cs="Arial" w:eastAsia="Arial" w:hAnsi="Arial"/>
          <w:sz w:val="16"/>
          <w:szCs w:val="16"/>
          <w:color w:val="auto"/>
        </w:rPr>
        <w:t>Consent of KPMG LLP</w:t>
      </w:r>
    </w:p>
    <w:p>
      <w:pPr>
        <w:spacing w:after="0" w:line="63"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4460" w:type="dxa"/>
            <w:vAlign w:val="bottom"/>
          </w:tcPr>
          <w:p>
            <w:pPr>
              <w:ind w:left="280"/>
              <w:spacing w:after="0"/>
              <w:rPr>
                <w:sz w:val="20"/>
                <w:szCs w:val="20"/>
                <w:color w:val="auto"/>
              </w:rPr>
            </w:pPr>
            <w:r>
              <w:rPr>
                <w:rFonts w:ascii="Arial" w:cs="Arial" w:eastAsia="Arial" w:hAnsi="Arial"/>
                <w:sz w:val="18"/>
                <w:szCs w:val="18"/>
                <w:color w:val="auto"/>
                <w:w w:val="97"/>
              </w:rPr>
              <w:t>Certification of the Company's Chief Executive Officer</w:t>
            </w:r>
          </w:p>
        </w:tc>
      </w:tr>
      <w:tr>
        <w:trPr>
          <w:trHeight w:val="216"/>
        </w:trPr>
        <w:tc>
          <w:tcPr>
            <w:tcW w:w="620" w:type="dxa"/>
            <w:vAlign w:val="bottom"/>
          </w:tcPr>
          <w:p>
            <w:pPr>
              <w:spacing w:after="0"/>
              <w:rPr>
                <w:sz w:val="18"/>
                <w:szCs w:val="18"/>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w w:val="90"/>
              </w:rPr>
              <w:t>pursuant to Securities and Exchange Act Rules 13a-14(a)</w:t>
            </w:r>
          </w:p>
        </w:tc>
      </w:tr>
      <w:tr>
        <w:trPr>
          <w:trHeight w:val="216"/>
        </w:trPr>
        <w:tc>
          <w:tcPr>
            <w:tcW w:w="620" w:type="dxa"/>
            <w:vAlign w:val="bottom"/>
          </w:tcPr>
          <w:p>
            <w:pPr>
              <w:spacing w:after="0"/>
              <w:rPr>
                <w:sz w:val="18"/>
                <w:szCs w:val="18"/>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w w:val="90"/>
              </w:rPr>
              <w:t>and 15d-14(a), as adopted pursuant to Section 302 of the</w:t>
            </w:r>
          </w:p>
        </w:tc>
      </w:tr>
      <w:tr>
        <w:trPr>
          <w:trHeight w:val="230"/>
        </w:trPr>
        <w:tc>
          <w:tcPr>
            <w:tcW w:w="620" w:type="dxa"/>
            <w:vAlign w:val="bottom"/>
          </w:tcPr>
          <w:p>
            <w:pPr>
              <w:spacing w:after="0"/>
              <w:rPr>
                <w:sz w:val="20"/>
                <w:szCs w:val="20"/>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rPr>
              <w:t>Sarbanes-Oxley Act of 2002</w:t>
            </w:r>
          </w:p>
        </w:tc>
      </w:tr>
      <w:tr>
        <w:trPr>
          <w:trHeight w:val="25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4460" w:type="dxa"/>
            <w:vAlign w:val="bottom"/>
          </w:tcPr>
          <w:p>
            <w:pPr>
              <w:ind w:left="280"/>
              <w:spacing w:after="0"/>
              <w:rPr>
                <w:sz w:val="20"/>
                <w:szCs w:val="20"/>
                <w:color w:val="auto"/>
              </w:rPr>
            </w:pPr>
            <w:r>
              <w:rPr>
                <w:rFonts w:ascii="Arial" w:cs="Arial" w:eastAsia="Arial" w:hAnsi="Arial"/>
                <w:sz w:val="18"/>
                <w:szCs w:val="18"/>
                <w:color w:val="auto"/>
                <w:w w:val="98"/>
              </w:rPr>
              <w:t>Certification of the Company's Chief Financial Officer</w:t>
            </w:r>
          </w:p>
        </w:tc>
      </w:tr>
      <w:tr>
        <w:trPr>
          <w:trHeight w:val="216"/>
        </w:trPr>
        <w:tc>
          <w:tcPr>
            <w:tcW w:w="620" w:type="dxa"/>
            <w:vAlign w:val="bottom"/>
          </w:tcPr>
          <w:p>
            <w:pPr>
              <w:spacing w:after="0"/>
              <w:rPr>
                <w:sz w:val="18"/>
                <w:szCs w:val="18"/>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w w:val="90"/>
              </w:rPr>
              <w:t>pursuant to Securities and Exchange Act Rules 13a-14(a)</w:t>
            </w:r>
          </w:p>
        </w:tc>
      </w:tr>
      <w:tr>
        <w:trPr>
          <w:trHeight w:val="216"/>
        </w:trPr>
        <w:tc>
          <w:tcPr>
            <w:tcW w:w="620" w:type="dxa"/>
            <w:vAlign w:val="bottom"/>
          </w:tcPr>
          <w:p>
            <w:pPr>
              <w:spacing w:after="0"/>
              <w:rPr>
                <w:sz w:val="18"/>
                <w:szCs w:val="18"/>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w w:val="90"/>
              </w:rPr>
              <w:t>and 15d-14(a), as adopted pursuant to Section 302 of the</w:t>
            </w:r>
          </w:p>
        </w:tc>
      </w:tr>
      <w:tr>
        <w:trPr>
          <w:trHeight w:val="230"/>
        </w:trPr>
        <w:tc>
          <w:tcPr>
            <w:tcW w:w="620" w:type="dxa"/>
            <w:vAlign w:val="bottom"/>
          </w:tcPr>
          <w:p>
            <w:pPr>
              <w:spacing w:after="0"/>
              <w:rPr>
                <w:sz w:val="20"/>
                <w:szCs w:val="20"/>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rPr>
              <w:t>Sarbanes-Oxley Act of 2002</w:t>
            </w:r>
          </w:p>
        </w:tc>
      </w:tr>
      <w:tr>
        <w:trPr>
          <w:trHeight w:val="486"/>
        </w:trPr>
        <w:tc>
          <w:tcPr>
            <w:tcW w:w="620" w:type="dxa"/>
            <w:vAlign w:val="bottom"/>
          </w:tcPr>
          <w:p>
            <w:pPr>
              <w:spacing w:after="0"/>
              <w:rPr>
                <w:sz w:val="24"/>
                <w:szCs w:val="24"/>
                <w:color w:val="auto"/>
              </w:rPr>
            </w:pPr>
          </w:p>
        </w:tc>
        <w:tc>
          <w:tcPr>
            <w:tcW w:w="4460" w:type="dxa"/>
            <w:vAlign w:val="bottom"/>
          </w:tcPr>
          <w:p>
            <w:pPr>
              <w:ind w:left="4280"/>
              <w:spacing w:after="0"/>
              <w:rPr>
                <w:sz w:val="20"/>
                <w:szCs w:val="20"/>
                <w:color w:val="auto"/>
              </w:rPr>
            </w:pPr>
            <w:r>
              <w:rPr>
                <w:rFonts w:ascii="Arial" w:cs="Arial" w:eastAsia="Arial" w:hAnsi="Arial"/>
                <w:sz w:val="18"/>
                <w:szCs w:val="18"/>
                <w:color w:val="auto"/>
                <w:w w:val="79"/>
              </w:rPr>
              <w:t>33</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001-05560</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10.LL</w:t>
            </w: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1"/>
              </w:rPr>
              <w:t>5/7/2008</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001-05560</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10.MM</w:t>
            </w: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1"/>
              </w:rPr>
              <w:t>5/7/2008</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001-05560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10.NN</w:t>
            </w: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1"/>
              </w:rPr>
              <w:t>5/7/2008</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001-05560</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10.OO</w:t>
            </w: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1"/>
              </w:rPr>
              <w:t>5/7/2008</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001-05560</w:t>
            </w: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10.PP</w:t>
            </w: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1"/>
              </w:rPr>
              <w:t>5/7/2008</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001-05560</w:t>
            </w: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10.II</w:t>
            </w: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1"/>
              </w:rPr>
              <w:t>2/9/2010</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001-05560</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10.QQ</w:t>
            </w: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89"/>
              </w:rPr>
              <w:t>8/11/2009</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001-05560</w:t>
            </w: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10.II</w:t>
            </w: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1"/>
              </w:rPr>
              <w:t>2/8/2011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001-05560</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10.MM</w:t>
            </w: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1"/>
              </w:rPr>
              <w:t>2/8/2011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860" w:type="dxa"/>
            <w:vAlign w:val="bottom"/>
          </w:tcPr>
          <w:p>
            <w:pPr>
              <w:ind w:left="260"/>
              <w:spacing w:after="0"/>
              <w:rPr>
                <w:sz w:val="20"/>
                <w:szCs w:val="20"/>
                <w:color w:val="auto"/>
              </w:rPr>
            </w:pPr>
            <w:r>
              <w:rPr>
                <w:rFonts w:ascii="Arial" w:cs="Arial" w:eastAsia="Arial" w:hAnsi="Arial"/>
                <w:sz w:val="18"/>
                <w:szCs w:val="18"/>
                <w:color w:val="auto"/>
              </w:rPr>
              <w:t>10.A</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91"/>
              </w:rPr>
              <w:t>8/9/2011</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860" w:type="dxa"/>
            <w:vAlign w:val="bottom"/>
          </w:tcPr>
          <w:p>
            <w:pPr>
              <w:ind w:left="280"/>
              <w:spacing w:after="0"/>
              <w:rPr>
                <w:sz w:val="20"/>
                <w:szCs w:val="20"/>
                <w:color w:val="auto"/>
              </w:rPr>
            </w:pPr>
            <w:r>
              <w:rPr>
                <w:rFonts w:ascii="Arial" w:cs="Arial" w:eastAsia="Arial" w:hAnsi="Arial"/>
                <w:sz w:val="18"/>
                <w:szCs w:val="18"/>
                <w:color w:val="auto"/>
              </w:rPr>
              <w:t>10.B</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91"/>
              </w:rPr>
              <w:t>8/9/2011</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860" w:type="dxa"/>
            <w:vAlign w:val="bottom"/>
          </w:tcPr>
          <w:p>
            <w:pPr>
              <w:ind w:left="280"/>
              <w:spacing w:after="0"/>
              <w:rPr>
                <w:sz w:val="20"/>
                <w:szCs w:val="20"/>
                <w:color w:val="auto"/>
              </w:rPr>
            </w:pPr>
            <w:r>
              <w:rPr>
                <w:rFonts w:ascii="Arial" w:cs="Arial" w:eastAsia="Arial" w:hAnsi="Arial"/>
                <w:sz w:val="18"/>
                <w:szCs w:val="18"/>
                <w:color w:val="auto"/>
              </w:rPr>
              <w:t>10.C</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91"/>
              </w:rPr>
              <w:t>8/9/2011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860" w:type="dxa"/>
            <w:vAlign w:val="bottom"/>
          </w:tcPr>
          <w:p>
            <w:pPr>
              <w:ind w:left="260"/>
              <w:spacing w:after="0"/>
              <w:rPr>
                <w:sz w:val="20"/>
                <w:szCs w:val="20"/>
                <w:color w:val="auto"/>
              </w:rPr>
            </w:pPr>
            <w:r>
              <w:rPr>
                <w:rFonts w:ascii="Arial" w:cs="Arial" w:eastAsia="Arial" w:hAnsi="Arial"/>
                <w:sz w:val="18"/>
                <w:szCs w:val="18"/>
                <w:color w:val="auto"/>
              </w:rPr>
              <w:t>10.D</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91"/>
              </w:rPr>
              <w:t>8/9/2011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11/28/2011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11/28/2011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11/28/2011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11/28/2011</w:t>
            </w:r>
          </w:p>
        </w:tc>
      </w:tr>
      <w:tr>
        <w:trPr>
          <w:trHeight w:val="918"/>
        </w:trPr>
        <w:tc>
          <w:tcPr>
            <w:tcW w:w="640" w:type="dxa"/>
            <w:vAlign w:val="bottom"/>
          </w:tcPr>
          <w:p>
            <w:pPr>
              <w:spacing w:after="0"/>
              <w:rPr>
                <w:sz w:val="20"/>
                <w:szCs w:val="20"/>
                <w:color w:val="auto"/>
              </w:rPr>
            </w:pPr>
            <w:r>
              <w:rPr>
                <w:rFonts w:ascii="Arial" w:cs="Arial" w:eastAsia="Arial" w:hAnsi="Arial"/>
                <w:sz w:val="18"/>
                <w:szCs w:val="18"/>
                <w:color w:val="auto"/>
              </w:rPr>
              <w:t>10-K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11/28/2011</w:t>
            </w:r>
          </w:p>
        </w:tc>
      </w:tr>
    </w:tbl>
    <w:p>
      <w:pPr>
        <w:sectPr>
          <w:pgSz w:w="11900" w:h="16838" w:orient="portrait"/>
          <w:cols w:equalWidth="0" w:num="2">
            <w:col w:w="5420" w:space="400"/>
            <w:col w:w="4740"/>
          </w:cols>
          <w:pgMar w:left="800" w:top="279" w:right="539" w:bottom="1440" w:gutter="0" w:footer="0" w:header="0"/>
          <w:type w:val="continuous"/>
        </w:sectPr>
      </w:pPr>
    </w:p>
    <w:bookmarkStart w:id="33" w:name="page34"/>
    <w:bookmarkEnd w:id="33"/>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1560" w:type="dxa"/>
            <w:vAlign w:val="bottom"/>
          </w:tcPr>
          <w:p>
            <w:pPr>
              <w:jc w:val="center"/>
              <w:ind w:right="968"/>
              <w:spacing w:after="0"/>
              <w:rPr>
                <w:sz w:val="20"/>
                <w:szCs w:val="20"/>
                <w:color w:val="auto"/>
              </w:rPr>
            </w:pPr>
            <w:r>
              <w:rPr>
                <w:rFonts w:ascii="Arial" w:cs="Arial" w:eastAsia="Arial" w:hAnsi="Arial"/>
                <w:sz w:val="14"/>
                <w:szCs w:val="14"/>
                <w:b w:val="1"/>
                <w:bCs w:val="1"/>
                <w:color w:val="auto"/>
                <w:w w:val="94"/>
              </w:rPr>
              <w:t>Exhibit</w:t>
            </w:r>
          </w:p>
        </w:tc>
        <w:tc>
          <w:tcPr>
            <w:tcW w:w="324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Exhibit Description</w:t>
            </w:r>
          </w:p>
        </w:tc>
        <w:tc>
          <w:tcPr>
            <w:tcW w:w="16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Form</w:t>
            </w:r>
          </w:p>
        </w:tc>
        <w:tc>
          <w:tcPr>
            <w:tcW w:w="3280" w:type="dxa"/>
            <w:vAlign w:val="bottom"/>
            <w:gridSpan w:val="3"/>
          </w:tcPr>
          <w:p>
            <w:pPr>
              <w:ind w:left="820"/>
              <w:spacing w:after="0"/>
              <w:rPr>
                <w:sz w:val="20"/>
                <w:szCs w:val="20"/>
                <w:color w:val="auto"/>
              </w:rPr>
            </w:pPr>
            <w:r>
              <w:rPr>
                <w:rFonts w:ascii="Arial" w:cs="Arial" w:eastAsia="Arial" w:hAnsi="Arial"/>
                <w:sz w:val="14"/>
                <w:szCs w:val="14"/>
                <w:b w:val="1"/>
                <w:bCs w:val="1"/>
                <w:color w:val="auto"/>
              </w:rPr>
              <w:t>Incorporated by Reference</w:t>
            </w:r>
          </w:p>
        </w:tc>
        <w:tc>
          <w:tcPr>
            <w:tcW w:w="760" w:type="dxa"/>
            <w:vAlign w:val="bottom"/>
          </w:tcPr>
          <w:p>
            <w:pPr>
              <w:jc w:val="center"/>
              <w:ind w:left="10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6"/>
        </w:trPr>
        <w:tc>
          <w:tcPr>
            <w:tcW w:w="1560" w:type="dxa"/>
            <w:vAlign w:val="bottom"/>
          </w:tcPr>
          <w:p>
            <w:pPr>
              <w:jc w:val="center"/>
              <w:ind w:right="968"/>
              <w:spacing w:after="0"/>
              <w:rPr>
                <w:sz w:val="20"/>
                <w:szCs w:val="20"/>
                <w:color w:val="auto"/>
              </w:rPr>
            </w:pPr>
            <w:r>
              <w:rPr>
                <w:rFonts w:ascii="Arial" w:cs="Arial" w:eastAsia="Arial" w:hAnsi="Arial"/>
                <w:sz w:val="14"/>
                <w:szCs w:val="14"/>
                <w:b w:val="1"/>
                <w:bCs w:val="1"/>
                <w:color w:val="auto"/>
                <w:w w:val="98"/>
              </w:rPr>
              <w:t>Number</w:t>
            </w:r>
          </w:p>
        </w:tc>
        <w:tc>
          <w:tcPr>
            <w:tcW w:w="324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File No.</w:t>
            </w:r>
          </w:p>
        </w:tc>
        <w:tc>
          <w:tcPr>
            <w:tcW w:w="102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Filing Date</w:t>
            </w:r>
          </w:p>
        </w:tc>
        <w:tc>
          <w:tcPr>
            <w:tcW w:w="760" w:type="dxa"/>
            <w:vAlign w:val="bottom"/>
          </w:tcPr>
          <w:p>
            <w:pPr>
              <w:jc w:val="center"/>
              <w:ind w:left="10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7620</wp:posOffset>
            </wp:positionV>
            <wp:extent cx="70580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120"/>
          </w:cols>
          <w:pgMar w:left="240" w:top="279" w:right="539" w:bottom="1440" w:gutter="0" w:footer="0" w:header="0"/>
        </w:sectPr>
      </w:pPr>
    </w:p>
    <w:p>
      <w:pPr>
        <w:spacing w:after="0" w:line="38"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31.3</w:t>
            </w:r>
          </w:p>
        </w:tc>
        <w:tc>
          <w:tcPr>
            <w:tcW w:w="4540" w:type="dxa"/>
            <w:vAlign w:val="bottom"/>
          </w:tcPr>
          <w:p>
            <w:pPr>
              <w:ind w:left="280"/>
              <w:spacing w:after="0"/>
              <w:rPr>
                <w:sz w:val="20"/>
                <w:szCs w:val="20"/>
                <w:color w:val="auto"/>
              </w:rPr>
            </w:pPr>
            <w:r>
              <w:rPr>
                <w:rFonts w:ascii="Arial" w:cs="Arial" w:eastAsia="Arial" w:hAnsi="Arial"/>
                <w:sz w:val="18"/>
                <w:szCs w:val="18"/>
                <w:color w:val="auto"/>
                <w:w w:val="99"/>
              </w:rPr>
              <w:t>Certification of the Company's Chief Executive Officer</w:t>
            </w:r>
          </w:p>
        </w:tc>
      </w:tr>
      <w:tr>
        <w:trPr>
          <w:trHeight w:val="216"/>
        </w:trPr>
        <w:tc>
          <w:tcPr>
            <w:tcW w:w="620" w:type="dxa"/>
            <w:vAlign w:val="bottom"/>
          </w:tcPr>
          <w:p>
            <w:pPr>
              <w:spacing w:after="0"/>
              <w:rPr>
                <w:sz w:val="18"/>
                <w:szCs w:val="18"/>
                <w:color w:val="auto"/>
              </w:rPr>
            </w:pPr>
          </w:p>
        </w:tc>
        <w:tc>
          <w:tcPr>
            <w:tcW w:w="4540" w:type="dxa"/>
            <w:vAlign w:val="bottom"/>
          </w:tcPr>
          <w:p>
            <w:pPr>
              <w:ind w:left="280"/>
              <w:spacing w:after="0"/>
              <w:rPr>
                <w:sz w:val="20"/>
                <w:szCs w:val="20"/>
                <w:color w:val="auto"/>
              </w:rPr>
            </w:pPr>
            <w:r>
              <w:rPr>
                <w:rFonts w:ascii="Arial" w:cs="Arial" w:eastAsia="Arial" w:hAnsi="Arial"/>
                <w:sz w:val="18"/>
                <w:szCs w:val="18"/>
                <w:color w:val="auto"/>
                <w:w w:val="92"/>
              </w:rPr>
              <w:t>pursuant to Securities and Exchange Act Rules 13a-14(a)</w:t>
            </w:r>
          </w:p>
        </w:tc>
      </w:tr>
      <w:tr>
        <w:trPr>
          <w:trHeight w:val="216"/>
        </w:trPr>
        <w:tc>
          <w:tcPr>
            <w:tcW w:w="620" w:type="dxa"/>
            <w:vAlign w:val="bottom"/>
          </w:tcPr>
          <w:p>
            <w:pPr>
              <w:spacing w:after="0"/>
              <w:rPr>
                <w:sz w:val="18"/>
                <w:szCs w:val="18"/>
                <w:color w:val="auto"/>
              </w:rPr>
            </w:pPr>
          </w:p>
        </w:tc>
        <w:tc>
          <w:tcPr>
            <w:tcW w:w="4540" w:type="dxa"/>
            <w:vAlign w:val="bottom"/>
          </w:tcPr>
          <w:p>
            <w:pPr>
              <w:ind w:left="280"/>
              <w:spacing w:after="0"/>
              <w:rPr>
                <w:sz w:val="20"/>
                <w:szCs w:val="20"/>
                <w:color w:val="auto"/>
              </w:rPr>
            </w:pPr>
            <w:r>
              <w:rPr>
                <w:rFonts w:ascii="Arial" w:cs="Arial" w:eastAsia="Arial" w:hAnsi="Arial"/>
                <w:sz w:val="18"/>
                <w:szCs w:val="18"/>
                <w:color w:val="auto"/>
                <w:w w:val="92"/>
              </w:rPr>
              <w:t>and 15d-14(a), as adopted pursuant to Section 302 of the</w:t>
            </w:r>
          </w:p>
        </w:tc>
      </w:tr>
      <w:tr>
        <w:trPr>
          <w:trHeight w:val="230"/>
        </w:trPr>
        <w:tc>
          <w:tcPr>
            <w:tcW w:w="620" w:type="dxa"/>
            <w:vAlign w:val="bottom"/>
          </w:tcPr>
          <w:p>
            <w:pPr>
              <w:spacing w:after="0"/>
              <w:rPr>
                <w:sz w:val="20"/>
                <w:szCs w:val="20"/>
                <w:color w:val="auto"/>
              </w:rPr>
            </w:pPr>
          </w:p>
        </w:tc>
        <w:tc>
          <w:tcPr>
            <w:tcW w:w="4540" w:type="dxa"/>
            <w:vAlign w:val="bottom"/>
          </w:tcPr>
          <w:p>
            <w:pPr>
              <w:ind w:left="280"/>
              <w:spacing w:after="0"/>
              <w:rPr>
                <w:sz w:val="20"/>
                <w:szCs w:val="20"/>
                <w:color w:val="auto"/>
              </w:rPr>
            </w:pPr>
            <w:r>
              <w:rPr>
                <w:rFonts w:ascii="Arial" w:cs="Arial" w:eastAsia="Arial" w:hAnsi="Arial"/>
                <w:sz w:val="18"/>
                <w:szCs w:val="18"/>
                <w:color w:val="auto"/>
              </w:rPr>
              <w:t>Sarbanes-Oxley Act of 2002</w:t>
            </w:r>
          </w:p>
        </w:tc>
      </w:tr>
      <w:tr>
        <w:trPr>
          <w:trHeight w:val="25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31.4</w:t>
            </w:r>
          </w:p>
        </w:tc>
        <w:tc>
          <w:tcPr>
            <w:tcW w:w="4540" w:type="dxa"/>
            <w:vAlign w:val="bottom"/>
          </w:tcPr>
          <w:p>
            <w:pPr>
              <w:ind w:left="280"/>
              <w:spacing w:after="0"/>
              <w:rPr>
                <w:sz w:val="20"/>
                <w:szCs w:val="20"/>
                <w:color w:val="auto"/>
              </w:rPr>
            </w:pPr>
            <w:r>
              <w:rPr>
                <w:rFonts w:ascii="Arial" w:cs="Arial" w:eastAsia="Arial" w:hAnsi="Arial"/>
                <w:sz w:val="18"/>
                <w:szCs w:val="18"/>
                <w:color w:val="auto"/>
              </w:rPr>
              <w:t>Certification of the Company's Chief Financial Officer</w:t>
            </w:r>
          </w:p>
        </w:tc>
      </w:tr>
      <w:tr>
        <w:trPr>
          <w:trHeight w:val="216"/>
        </w:trPr>
        <w:tc>
          <w:tcPr>
            <w:tcW w:w="620" w:type="dxa"/>
            <w:vAlign w:val="bottom"/>
          </w:tcPr>
          <w:p>
            <w:pPr>
              <w:spacing w:after="0"/>
              <w:rPr>
                <w:sz w:val="18"/>
                <w:szCs w:val="18"/>
                <w:color w:val="auto"/>
              </w:rPr>
            </w:pPr>
          </w:p>
        </w:tc>
        <w:tc>
          <w:tcPr>
            <w:tcW w:w="4540" w:type="dxa"/>
            <w:vAlign w:val="bottom"/>
          </w:tcPr>
          <w:p>
            <w:pPr>
              <w:ind w:left="280"/>
              <w:spacing w:after="0"/>
              <w:rPr>
                <w:sz w:val="20"/>
                <w:szCs w:val="20"/>
                <w:color w:val="auto"/>
              </w:rPr>
            </w:pPr>
            <w:r>
              <w:rPr>
                <w:rFonts w:ascii="Arial" w:cs="Arial" w:eastAsia="Arial" w:hAnsi="Arial"/>
                <w:sz w:val="18"/>
                <w:szCs w:val="18"/>
                <w:color w:val="auto"/>
                <w:w w:val="92"/>
              </w:rPr>
              <w:t>pursuant to Securities and Exchange Act Rules 13a-14(a)</w:t>
            </w:r>
          </w:p>
        </w:tc>
      </w:tr>
      <w:tr>
        <w:trPr>
          <w:trHeight w:val="216"/>
        </w:trPr>
        <w:tc>
          <w:tcPr>
            <w:tcW w:w="620" w:type="dxa"/>
            <w:vAlign w:val="bottom"/>
          </w:tcPr>
          <w:p>
            <w:pPr>
              <w:spacing w:after="0"/>
              <w:rPr>
                <w:sz w:val="18"/>
                <w:szCs w:val="18"/>
                <w:color w:val="auto"/>
              </w:rPr>
            </w:pPr>
          </w:p>
        </w:tc>
        <w:tc>
          <w:tcPr>
            <w:tcW w:w="4540" w:type="dxa"/>
            <w:vAlign w:val="bottom"/>
          </w:tcPr>
          <w:p>
            <w:pPr>
              <w:ind w:left="280"/>
              <w:spacing w:after="0"/>
              <w:rPr>
                <w:sz w:val="20"/>
                <w:szCs w:val="20"/>
                <w:color w:val="auto"/>
              </w:rPr>
            </w:pPr>
            <w:r>
              <w:rPr>
                <w:rFonts w:ascii="Arial" w:cs="Arial" w:eastAsia="Arial" w:hAnsi="Arial"/>
                <w:sz w:val="18"/>
                <w:szCs w:val="18"/>
                <w:color w:val="auto"/>
                <w:w w:val="92"/>
              </w:rPr>
              <w:t>and 15d-14(a), as adopted pursuant to Section 302 of the</w:t>
            </w:r>
          </w:p>
        </w:tc>
      </w:tr>
      <w:tr>
        <w:trPr>
          <w:trHeight w:val="230"/>
        </w:trPr>
        <w:tc>
          <w:tcPr>
            <w:tcW w:w="620" w:type="dxa"/>
            <w:vAlign w:val="bottom"/>
          </w:tcPr>
          <w:p>
            <w:pPr>
              <w:spacing w:after="0"/>
              <w:rPr>
                <w:sz w:val="20"/>
                <w:szCs w:val="20"/>
                <w:color w:val="auto"/>
              </w:rPr>
            </w:pPr>
          </w:p>
        </w:tc>
        <w:tc>
          <w:tcPr>
            <w:tcW w:w="4540" w:type="dxa"/>
            <w:vAlign w:val="bottom"/>
          </w:tcPr>
          <w:p>
            <w:pPr>
              <w:ind w:left="280"/>
              <w:spacing w:after="0"/>
              <w:rPr>
                <w:sz w:val="20"/>
                <w:szCs w:val="20"/>
                <w:color w:val="auto"/>
              </w:rPr>
            </w:pPr>
            <w:r>
              <w:rPr>
                <w:rFonts w:ascii="Arial" w:cs="Arial" w:eastAsia="Arial" w:hAnsi="Arial"/>
                <w:sz w:val="18"/>
                <w:szCs w:val="18"/>
                <w:color w:val="auto"/>
              </w:rPr>
              <w:t>Sarbanes-Oxley Act of 2002</w:t>
            </w:r>
          </w:p>
        </w:tc>
      </w:tr>
      <w:tr>
        <w:trPr>
          <w:trHeight w:val="25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4540" w:type="dxa"/>
            <w:vAlign w:val="bottom"/>
          </w:tcPr>
          <w:p>
            <w:pPr>
              <w:ind w:left="280"/>
              <w:spacing w:after="0"/>
              <w:rPr>
                <w:sz w:val="20"/>
                <w:szCs w:val="20"/>
                <w:color w:val="auto"/>
              </w:rPr>
            </w:pPr>
            <w:r>
              <w:rPr>
                <w:rFonts w:ascii="Arial" w:cs="Arial" w:eastAsia="Arial" w:hAnsi="Arial"/>
                <w:sz w:val="18"/>
                <w:szCs w:val="18"/>
                <w:color w:val="auto"/>
                <w:w w:val="99"/>
              </w:rPr>
              <w:t>Certification of the Company's Chief Executive Officer</w:t>
            </w:r>
          </w:p>
        </w:tc>
      </w:tr>
      <w:tr>
        <w:trPr>
          <w:trHeight w:val="216"/>
        </w:trPr>
        <w:tc>
          <w:tcPr>
            <w:tcW w:w="620" w:type="dxa"/>
            <w:vAlign w:val="bottom"/>
          </w:tcPr>
          <w:p>
            <w:pPr>
              <w:spacing w:after="0"/>
              <w:rPr>
                <w:sz w:val="18"/>
                <w:szCs w:val="18"/>
                <w:color w:val="auto"/>
              </w:rPr>
            </w:pPr>
          </w:p>
        </w:tc>
        <w:tc>
          <w:tcPr>
            <w:tcW w:w="4540" w:type="dxa"/>
            <w:vAlign w:val="bottom"/>
          </w:tcPr>
          <w:p>
            <w:pPr>
              <w:ind w:left="280"/>
              <w:spacing w:after="0"/>
              <w:rPr>
                <w:sz w:val="20"/>
                <w:szCs w:val="20"/>
                <w:color w:val="auto"/>
              </w:rPr>
            </w:pPr>
            <w:r>
              <w:rPr>
                <w:rFonts w:ascii="Arial" w:cs="Arial" w:eastAsia="Arial" w:hAnsi="Arial"/>
                <w:sz w:val="18"/>
                <w:szCs w:val="18"/>
                <w:color w:val="auto"/>
                <w:w w:val="88"/>
              </w:rPr>
              <w:t>pursuant to 18 U.S.C. Section 1350, as adopted pursuant to</w:t>
            </w:r>
          </w:p>
        </w:tc>
      </w:tr>
      <w:tr>
        <w:trPr>
          <w:trHeight w:val="230"/>
        </w:trPr>
        <w:tc>
          <w:tcPr>
            <w:tcW w:w="620" w:type="dxa"/>
            <w:vAlign w:val="bottom"/>
          </w:tcPr>
          <w:p>
            <w:pPr>
              <w:spacing w:after="0"/>
              <w:rPr>
                <w:sz w:val="20"/>
                <w:szCs w:val="20"/>
                <w:color w:val="auto"/>
              </w:rPr>
            </w:pPr>
          </w:p>
        </w:tc>
        <w:tc>
          <w:tcPr>
            <w:tcW w:w="454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w:t>
            </w:r>
          </w:p>
        </w:tc>
      </w:tr>
      <w:tr>
        <w:trPr>
          <w:trHeight w:val="25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4540" w:type="dxa"/>
            <w:vAlign w:val="bottom"/>
          </w:tcPr>
          <w:p>
            <w:pPr>
              <w:ind w:left="280"/>
              <w:spacing w:after="0"/>
              <w:rPr>
                <w:sz w:val="20"/>
                <w:szCs w:val="20"/>
                <w:color w:val="auto"/>
              </w:rPr>
            </w:pPr>
            <w:r>
              <w:rPr>
                <w:rFonts w:ascii="Arial" w:cs="Arial" w:eastAsia="Arial" w:hAnsi="Arial"/>
                <w:sz w:val="18"/>
                <w:szCs w:val="18"/>
                <w:color w:val="auto"/>
              </w:rPr>
              <w:t>Certification of the Company's Chief Financial Officer</w:t>
            </w:r>
          </w:p>
        </w:tc>
      </w:tr>
      <w:tr>
        <w:trPr>
          <w:trHeight w:val="216"/>
        </w:trPr>
        <w:tc>
          <w:tcPr>
            <w:tcW w:w="620" w:type="dxa"/>
            <w:vAlign w:val="bottom"/>
          </w:tcPr>
          <w:p>
            <w:pPr>
              <w:spacing w:after="0"/>
              <w:rPr>
                <w:sz w:val="18"/>
                <w:szCs w:val="18"/>
                <w:color w:val="auto"/>
              </w:rPr>
            </w:pPr>
          </w:p>
        </w:tc>
        <w:tc>
          <w:tcPr>
            <w:tcW w:w="4540" w:type="dxa"/>
            <w:vAlign w:val="bottom"/>
          </w:tcPr>
          <w:p>
            <w:pPr>
              <w:ind w:left="280"/>
              <w:spacing w:after="0"/>
              <w:rPr>
                <w:sz w:val="20"/>
                <w:szCs w:val="20"/>
                <w:color w:val="auto"/>
              </w:rPr>
            </w:pPr>
            <w:r>
              <w:rPr>
                <w:rFonts w:ascii="Arial" w:cs="Arial" w:eastAsia="Arial" w:hAnsi="Arial"/>
                <w:sz w:val="18"/>
                <w:szCs w:val="18"/>
                <w:color w:val="auto"/>
                <w:w w:val="88"/>
              </w:rPr>
              <w:t>pursuant to 18 U.S.C. Section 1350, as adopted pursuant to</w:t>
            </w:r>
          </w:p>
        </w:tc>
      </w:tr>
      <w:tr>
        <w:trPr>
          <w:trHeight w:val="230"/>
        </w:trPr>
        <w:tc>
          <w:tcPr>
            <w:tcW w:w="620" w:type="dxa"/>
            <w:vAlign w:val="bottom"/>
          </w:tcPr>
          <w:p>
            <w:pPr>
              <w:spacing w:after="0"/>
              <w:rPr>
                <w:sz w:val="20"/>
                <w:szCs w:val="20"/>
                <w:color w:val="auto"/>
              </w:rPr>
            </w:pPr>
          </w:p>
        </w:tc>
        <w:tc>
          <w:tcPr>
            <w:tcW w:w="454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880" w:val="left"/>
          <w:tab w:leader="none" w:pos="2220" w:val="left"/>
          <w:tab w:leader="none" w:pos="30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001-05560</w:t>
      </w:r>
      <w:r>
        <w:rPr>
          <w:sz w:val="20"/>
          <w:szCs w:val="20"/>
          <w:color w:val="auto"/>
        </w:rPr>
        <w:tab/>
      </w: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11/28/2011</w:t>
      </w:r>
    </w:p>
    <w:p>
      <w:pPr>
        <w:spacing w:after="0" w:line="200" w:lineRule="exact"/>
        <w:rPr>
          <w:sz w:val="20"/>
          <w:szCs w:val="20"/>
          <w:color w:val="auto"/>
        </w:rPr>
      </w:pPr>
    </w:p>
    <w:p>
      <w:pPr>
        <w:spacing w:after="0" w:line="295" w:lineRule="exact"/>
        <w:rPr>
          <w:sz w:val="20"/>
          <w:szCs w:val="20"/>
          <w:color w:val="auto"/>
        </w:rPr>
      </w:pPr>
    </w:p>
    <w:p>
      <w:pPr>
        <w:spacing w:after="0"/>
        <w:tabs>
          <w:tab w:leader="none" w:pos="880" w:val="left"/>
          <w:tab w:leader="none" w:pos="2220" w:val="left"/>
          <w:tab w:leader="none" w:pos="30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001-05560</w:t>
      </w:r>
      <w:r>
        <w:rPr>
          <w:sz w:val="20"/>
          <w:szCs w:val="20"/>
          <w:color w:val="auto"/>
        </w:rPr>
        <w:tab/>
      </w: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11/28/2011</w:t>
      </w:r>
    </w:p>
    <w:p>
      <w:pPr>
        <w:sectPr>
          <w:pgSz w:w="11900" w:h="16838" w:orient="portrait"/>
          <w:cols w:equalWidth="0" w:num="2">
            <w:col w:w="5880" w:space="500"/>
            <w:col w:w="4740"/>
          </w:cols>
          <w:pgMar w:left="240" w:top="279" w:right="5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CEO PURSUANT TO SECURITIES EXCHANGE ACT RULES 13a-14(a)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15d-14(a) AS ADOPTED 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I, David J. Aldrich, certify that:</w:t>
      </w:r>
    </w:p>
    <w:p>
      <w:pPr>
        <w:spacing w:after="0" w:line="221" w:lineRule="exact"/>
        <w:rPr>
          <w:sz w:val="20"/>
          <w:szCs w:val="20"/>
          <w:color w:val="auto"/>
        </w:rPr>
      </w:pPr>
    </w:p>
    <w:p>
      <w:pPr>
        <w:ind w:left="660" w:hanging="355"/>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annual report on Form 10-K/A of Skyworks Solutions, Inc.;</w:t>
      </w:r>
    </w:p>
    <w:p>
      <w:pPr>
        <w:spacing w:after="0" w:line="221" w:lineRule="exact"/>
        <w:rPr>
          <w:rFonts w:ascii="Arial" w:cs="Arial" w:eastAsia="Arial" w:hAnsi="Arial"/>
          <w:sz w:val="16"/>
          <w:szCs w:val="16"/>
          <w:color w:val="auto"/>
        </w:rPr>
      </w:pPr>
    </w:p>
    <w:p>
      <w:pPr>
        <w:ind w:left="660" w:right="80" w:hanging="355"/>
        <w:spacing w:after="0" w:line="310" w:lineRule="auto"/>
        <w:tabs>
          <w:tab w:leader="none" w:pos="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148" w:lineRule="exact"/>
        <w:rPr>
          <w:rFonts w:ascii="Arial" w:cs="Arial" w:eastAsia="Arial" w:hAnsi="Arial"/>
          <w:sz w:val="15"/>
          <w:szCs w:val="15"/>
          <w:color w:val="auto"/>
        </w:rPr>
      </w:pPr>
    </w:p>
    <w:p>
      <w:pPr>
        <w:ind w:left="660" w:hanging="355"/>
        <w:spacing w:after="0" w:line="275"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6"/>
          <w:szCs w:val="16"/>
          <w:color w:val="auto"/>
        </w:rPr>
      </w:pPr>
    </w:p>
    <w:p>
      <w:pPr>
        <w:ind w:left="660" w:hanging="355"/>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18" w:lineRule="exact"/>
        <w:rPr>
          <w:rFonts w:ascii="Arial" w:cs="Arial" w:eastAsia="Arial" w:hAnsi="Arial"/>
          <w:sz w:val="14"/>
          <w:szCs w:val="14"/>
          <w:color w:val="auto"/>
        </w:rPr>
      </w:pPr>
    </w:p>
    <w:p>
      <w:pPr>
        <w:ind w:left="980" w:right="20" w:hanging="351"/>
        <w:spacing w:after="0" w:line="261" w:lineRule="auto"/>
        <w:tabs>
          <w:tab w:leader="none" w:pos="9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ind w:left="980" w:right="100" w:hanging="351"/>
        <w:spacing w:after="0" w:line="261" w:lineRule="auto"/>
        <w:tabs>
          <w:tab w:leader="none" w:pos="9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980" w:right="440" w:hanging="351"/>
        <w:spacing w:after="0" w:line="275" w:lineRule="auto"/>
        <w:tabs>
          <w:tab w:leader="none" w:pos="9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2" w:lineRule="exact"/>
        <w:rPr>
          <w:rFonts w:ascii="Arial" w:cs="Arial" w:eastAsia="Arial" w:hAnsi="Arial"/>
          <w:sz w:val="16"/>
          <w:szCs w:val="16"/>
          <w:color w:val="auto"/>
        </w:rPr>
      </w:pPr>
    </w:p>
    <w:p>
      <w:pPr>
        <w:jc w:val="both"/>
        <w:ind w:left="980" w:right="100" w:hanging="351"/>
        <w:spacing w:after="0" w:line="261" w:lineRule="auto"/>
        <w:tabs>
          <w:tab w:leader="none" w:pos="9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6"/>
          <w:szCs w:val="16"/>
          <w:color w:val="auto"/>
        </w:rPr>
      </w:pPr>
    </w:p>
    <w:p>
      <w:pPr>
        <w:ind w:left="660" w:right="500" w:hanging="355"/>
        <w:spacing w:after="0" w:line="275"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6"/>
          <w:szCs w:val="16"/>
          <w:color w:val="auto"/>
        </w:rPr>
      </w:pPr>
    </w:p>
    <w:p>
      <w:pPr>
        <w:ind w:left="980" w:right="620" w:hanging="351"/>
        <w:spacing w:after="0" w:line="275" w:lineRule="auto"/>
        <w:tabs>
          <w:tab w:leader="none" w:pos="9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980" w:right="240" w:hanging="351"/>
        <w:spacing w:after="0" w:line="275" w:lineRule="auto"/>
        <w:tabs>
          <w:tab w:leader="none" w:pos="9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January 30, 2012</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/s/ David J. Aldrich</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David J. Aldrich</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Director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CFO PURSUANT TO SECURITIES EXCHANGE ACT RULES 13a-14(a)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15d-14(a) AS ADOPTED 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I, Donald W. Palette, certify that:</w:t>
      </w:r>
    </w:p>
    <w:p>
      <w:pPr>
        <w:spacing w:after="0" w:line="221" w:lineRule="exact"/>
        <w:rPr>
          <w:sz w:val="20"/>
          <w:szCs w:val="20"/>
          <w:color w:val="auto"/>
        </w:rPr>
      </w:pPr>
    </w:p>
    <w:p>
      <w:pPr>
        <w:ind w:left="660" w:hanging="355"/>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annual report on Form 10-K/A of Skyworks Solutions, Inc.;</w:t>
      </w:r>
    </w:p>
    <w:p>
      <w:pPr>
        <w:spacing w:after="0" w:line="221" w:lineRule="exact"/>
        <w:rPr>
          <w:rFonts w:ascii="Arial" w:cs="Arial" w:eastAsia="Arial" w:hAnsi="Arial"/>
          <w:sz w:val="16"/>
          <w:szCs w:val="16"/>
          <w:color w:val="auto"/>
        </w:rPr>
      </w:pPr>
    </w:p>
    <w:p>
      <w:pPr>
        <w:ind w:left="660" w:right="80" w:hanging="355"/>
        <w:spacing w:after="0" w:line="310" w:lineRule="auto"/>
        <w:tabs>
          <w:tab w:leader="none" w:pos="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148" w:lineRule="exact"/>
        <w:rPr>
          <w:rFonts w:ascii="Arial" w:cs="Arial" w:eastAsia="Arial" w:hAnsi="Arial"/>
          <w:sz w:val="15"/>
          <w:szCs w:val="15"/>
          <w:color w:val="auto"/>
        </w:rPr>
      </w:pPr>
    </w:p>
    <w:p>
      <w:pPr>
        <w:ind w:left="660" w:hanging="355"/>
        <w:spacing w:after="0" w:line="275"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and</w:t>
      </w:r>
    </w:p>
    <w:p>
      <w:pPr>
        <w:spacing w:after="0" w:line="172" w:lineRule="exact"/>
        <w:rPr>
          <w:rFonts w:ascii="Arial" w:cs="Arial" w:eastAsia="Arial" w:hAnsi="Arial"/>
          <w:sz w:val="16"/>
          <w:szCs w:val="16"/>
          <w:color w:val="auto"/>
        </w:rPr>
      </w:pPr>
    </w:p>
    <w:p>
      <w:pPr>
        <w:ind w:left="660" w:hanging="355"/>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18" w:lineRule="exact"/>
        <w:rPr>
          <w:rFonts w:ascii="Arial" w:cs="Arial" w:eastAsia="Arial" w:hAnsi="Arial"/>
          <w:sz w:val="14"/>
          <w:szCs w:val="14"/>
          <w:color w:val="auto"/>
        </w:rPr>
      </w:pPr>
    </w:p>
    <w:p>
      <w:pPr>
        <w:ind w:left="980" w:right="20" w:hanging="351"/>
        <w:spacing w:after="0" w:line="261"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ind w:left="980" w:right="100" w:hanging="351"/>
        <w:spacing w:after="0" w:line="261"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980" w:right="440" w:hanging="351"/>
        <w:spacing w:after="0" w:line="275"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2" w:lineRule="exact"/>
        <w:rPr>
          <w:rFonts w:ascii="Arial" w:cs="Arial" w:eastAsia="Arial" w:hAnsi="Arial"/>
          <w:sz w:val="16"/>
          <w:szCs w:val="16"/>
          <w:color w:val="auto"/>
        </w:rPr>
      </w:pPr>
    </w:p>
    <w:p>
      <w:pPr>
        <w:jc w:val="both"/>
        <w:ind w:left="980" w:right="100" w:hanging="351"/>
        <w:spacing w:after="0" w:line="261"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6"/>
          <w:szCs w:val="16"/>
          <w:color w:val="auto"/>
        </w:rPr>
      </w:pPr>
    </w:p>
    <w:p>
      <w:pPr>
        <w:ind w:left="660" w:right="500" w:hanging="355"/>
        <w:spacing w:after="0" w:line="275"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6"/>
          <w:szCs w:val="16"/>
          <w:color w:val="auto"/>
        </w:rPr>
      </w:pPr>
    </w:p>
    <w:p>
      <w:pPr>
        <w:ind w:left="980" w:right="620" w:hanging="351"/>
        <w:spacing w:after="0" w:line="275"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980" w:right="240" w:hanging="351"/>
        <w:spacing w:after="0" w:line="275"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January 30, 2012</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/s/ Donald W. Palette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Donald W. Palette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R"/>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5"/>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2"/>
    </w:lvl>
  </w:abstractNum>
  <w:abstractNum w:abstractNumId="9">
    <w:nsid w:val="3F2DBA31"/>
    <w:multiLevelType w:val="hybridMultilevel"/>
    <w:lvl w:ilvl="0">
      <w:lvlJc w:val="left"/>
      <w:lvlText w:val="(%1)"/>
      <w:numFmt w:val="decimal"/>
      <w:start w:val="3"/>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2"/>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4"/>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2"/>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5"/>
    </w:lvl>
    <w:lvl w:ilvl="1">
      <w:lvlJc w:val="left"/>
      <w:lvlText w:val="(%2)"/>
      <w:numFmt w:val="decimal"/>
      <w:start w:val="6"/>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2"/>
    </w:lvl>
  </w:abstractNum>
  <w:abstractNum w:abstractNumId="24">
    <w:nsid w:val="B03E0C6"/>
    <w:multiLevelType w:val="hybridMultilevel"/>
    <w:lvl w:ilvl="0">
      <w:lvlJc w:val="left"/>
      <w:lvlText w:val="%1"/>
      <w:numFmt w:val="decimal"/>
      <w:start w:val="2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2019-12-09T05:36:41Z</dcterms:created>
  <dcterms:modified xsi:type="dcterms:W3CDTF">2019-12-09T05:36:41Z</dcterms:modified>
</cp:coreProperties>
</file>