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CLEMMER RICHARD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6,153</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in connection with the Issuer's acquisition of Qorvo, Inc. ("Qorvo") on October 5, 2026 (the "Merger"). Pursuant to the Agreement and Plan of Merger, dated October 27, 2025, by and among the Issuer, Comet Acquisition Corp., Comet Acquisition II, LLC and Qorvo (the "Merger Agreement"), each issued and outstanding share of Qorvo common stock held by the reporting person immediately prior to the effective time of the Merger (including shares in respect of Accelerated Qorvo RSUs (as defined in the Merger Agreement)) was converted into the right to receive (i) 0.960 shares of the Issuer's common stock and (ii) $32.50 in cash, without interest. All fractional share holdings were paid in cash.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Richard L. Clemmer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781" TargetMode="External"/><Relationship Id="rId5" Type="http://schemas.openxmlformats.org/officeDocument/2006/relationships/hyperlink" Target="http://www.sec.gov/cgi-bin/browse-edgar?action=getcompany&amp;CIK=0000004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3690</Characters>
  <CharactersWithSpaces>4306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