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0808d4_425.htm"/>
      <w:bookmarkStart w:id="1" w:name="kstm2620808d4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375"/>
        <w:gridCol w:w="60"/>
        <w:gridCol w:w="2210"/>
        <w:gridCol w:w="60"/>
        <w:gridCol w:w="2780"/>
      </w:tblGrid>
      <w:tr>
        <w:trPr/>
        <w:tc>
          <w:tcPr>
            <w:tcW w:w="2375"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5260 California Avenue</w:t>
        <w:br/>
        <w:t>Irvine, 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Solutions, Inc. (the “Company”) entered into an Agreement and Plan of Merger, as amended, supplemented, amended and restated, restated or otherwise modified from time to time, (the “Merger Agreement”), by and among the Company, Qorvo, Inc., a Delaware corporation (“Qorvo”), Comet Acquisition Corp., a Delaware corporation and a wholly owned subsidiary of the Company (“Merger Sub I”), and Comet Acquisition II, LLC, a Delaware limited liability company and a wholly owned subsidiary of the Company (“Merger Sub II”). Pursuant to the Merger Agreement, and subject to the satisfaction or waiver of the conditions specified therein,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the Company. This Form 8-K is being filed in connection with certain transactions related to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of Qorvo as of June 27, 2026 and June 28, 2025 and for the three-month period ended June 27, 2026 are attached hereto as Exhibit 99.1 and are incorporated into this Item 9.01(a)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of the Company, including the unaudited pro forma condensed combined balance sheet as of July 3, 2026 and the unaudited pro forma condensed combined statements of operations for the nine-month period ended July 3, 2026, which give effect to the Mergers on the basis described therein, are included in Exhibit 99.2 and incorporated into this Item 9.01(b) by reference.</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0808d4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0808d4_ex99-1.htm">
              <w:r>
                <w:rPr>
                  <w:rStyle w:val="InternetLink"/>
                  <w:rFonts w:ascii="Times New Roman;Times;Serif" w:hAnsi="Times New Roman;Times;Serif"/>
                  <w:sz w:val="20"/>
                </w:rPr>
                <w:t>The unaudited consolidated financial statements of Qorvo as of June 27, 2026 and June 28, 2025 and for the three-month period ended June 27, 2026.</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0808d4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0808d4_ex99-2.htm">
              <w:r>
                <w:rPr>
                  <w:rStyle w:val="InternetLink"/>
                  <w:rFonts w:ascii="Times New Roman;Times;Serif" w:hAnsi="Times New Roman;Times;Serif"/>
                  <w:sz w:val="20"/>
                </w:rPr>
                <w:t xml:space="preserve">The unaudited pro forma condensed combined balance sheet of the Company as of July 3, 2026 and the unaudited pro forma condensed combined statements of operations for the nine-month period ended July 3, 2026. </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about the Mergers, within the meaning of Section 27A of the Securities Act of 1933, as amended, and Section 21E of the Securities Exchange Act of 1934, as amended (the “Exchange Act”), and are subject to the “safe harbor” created by those sections. Any statements that are not statements of historical fact should be considered to be forward-looking statements. These forward-looking statements include information relating to future events, prospects, expectations and results of Skyworks (e.g., certain projections and business trends, including with respect to future sales and revenue, as well as plans for dividend payments).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our expectations and statements regarding the transaction with Qorvo,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the Company’s management as of the date the statement is first made, such statements can only be based on facts and factors then known and understood by the Company. Consequently, forward-looking statements involve inherent risks and uncertainties, and actual results and outcomes may differ materially and adversely from the results and outcomes discussed in or anticipated by the forward-looking statements. A number of important factors could cause actual results to differ materially and adversely from those in the forward-looking statements. You should consider the risks and uncertainties discussed in the Company’s Annual Report on Form 10-K for the year ended October 3, 2025, under the heading “Risk Factors” and in the other documents filed by the Company with the SEC in evaluating the Company’s forward-looking statements. The Company has no plans, and undertakes no obligation, to revise or update its forward-looking statements to reflect any event or circumstance that may arise after the date of this report. The Company cautions readers not to place undue reliance upon any such forward-looking statements, which speak only as of the date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has filed with the SEC a registration statement on Form S-4, which includes a proxy statement of Qorvo that also constitutes a prospectus for the shares of Company common stock to be offered in the Mergers (collectively, the “Mergers Registration Statement and Proxy Statement/Prospectus”). Each of the Company and Qorvo may also file other relevant documents with the SEC regarding the Mergers. This communication is not a substitute for the proxy statement/prospectus or registration statement or any other document that the Company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THE COMPANY, QORVO, THE MERGERS AND RELATED MATTERS. Investors and security holders can obtain free copies of the Mergers Registration Statement and Proxy Statement/Prospectus and other documents containing important information about the Company, Qorvo and the Mergers filed with the SEC through the website maintained by the SEC at www.sec.gov. The documents filed by the Company with the SEC also may be obtained free of charge at the Company’s website at https://www.skyworksinc.com/investors or upon written request to the Company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75"/>
        <w:gridCol w:w="290"/>
        <w:gridCol w:w="545"/>
        <w:gridCol w:w="4130"/>
      </w:tblGrid>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49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tm2620808d4_ex99-1.htm"/>
      <w:bookmarkStart w:id="3" w:name="kstm2620808d4_ex991"/>
      <w:bookmarkEnd w:id="2"/>
      <w:bookmarkEnd w:id="3"/>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0"/>
        <w:gridCol w:w="60"/>
        <w:gridCol w:w="137"/>
        <w:gridCol w:w="927"/>
        <w:gridCol w:w="60"/>
        <w:gridCol w:w="60"/>
        <w:gridCol w:w="146"/>
        <w:gridCol w:w="989"/>
        <w:gridCol w:w="76"/>
      </w:tblGrid>
      <w:tr>
        <w:trPr/>
        <w:tc>
          <w:tcPr>
            <w:tcW w:w="7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1,328,943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1,219,015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of $250 and $301 as of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382,509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553,718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36,724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98,176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2,436,722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2,306,314</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of accumulated depreciation of $1,799,737 and $1,781,169 as of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710,392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2,353,226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121,506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317,857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5,825,590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242,870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248,160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221,727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712,757</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1,549,154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219,380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2,481,291</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Commitments and contingent liabilities </w:t>
            </w:r>
            <w:r>
              <w:rPr>
                <w:rFonts w:ascii="Times New Roman;Times;Serif" w:hAnsi="Times New Roman;Times;Serif"/>
                <w:b w:val="false"/>
                <w:i/>
                <w:caps w:val="false"/>
                <w:smallCaps w:val="false"/>
                <w:sz w:val="20"/>
              </w:rPr>
              <w:t>(Note 7)</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5,000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and additional paid-in capital, $0.0001 par value; 405,000 shares authorized; 88,218 and 87,741 shares issued and outstanding at June 27, 2026 and March 28,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3,344,678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5,939,456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5,825,590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4580"/>
        <w:gridCol w:w="60"/>
        <w:gridCol w:w="180"/>
        <w:gridCol w:w="1009"/>
        <w:gridCol w:w="80"/>
        <w:gridCol w:w="60"/>
        <w:gridCol w:w="180"/>
        <w:gridCol w:w="1009"/>
        <w:gridCol w:w="95"/>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486,976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0"/>
        <w:gridCol w:w="60"/>
        <w:gridCol w:w="184"/>
        <w:gridCol w:w="857"/>
        <w:gridCol w:w="87"/>
        <w:gridCol w:w="65"/>
        <w:gridCol w:w="184"/>
        <w:gridCol w:w="857"/>
        <w:gridCol w:w="91"/>
      </w:tblGrid>
      <w:tr>
        <w:trPr/>
        <w:tc>
          <w:tcPr>
            <w:tcW w:w="78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income, net of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including intra-entity foreign currency transactions that are of a long-term investment nature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adjustments, net of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pension actuarial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36,962</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66"/>
        <w:gridCol w:w="657"/>
        <w:gridCol w:w="88"/>
        <w:gridCol w:w="66"/>
        <w:gridCol w:w="139"/>
        <w:gridCol w:w="941"/>
        <w:gridCol w:w="80"/>
        <w:gridCol w:w="60"/>
        <w:gridCol w:w="233"/>
        <w:gridCol w:w="1107"/>
        <w:gridCol w:w="80"/>
        <w:gridCol w:w="60"/>
        <w:gridCol w:w="181"/>
        <w:gridCol w:w="1009"/>
        <w:gridCol w:w="80"/>
        <w:gridCol w:w="60"/>
        <w:gridCol w:w="125"/>
        <w:gridCol w:w="845"/>
        <w:gridCol w:w="86"/>
      </w:tblGrid>
      <w:tr>
        <w:trPr/>
        <w:tc>
          <w:tcPr>
            <w:tcW w:w="418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723" w:type="dxa"/>
            <w:gridSpan w:val="2"/>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0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0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87,741</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3,344,299</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33,750</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June 27,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88,218</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3,471,925</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29,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92,920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3,392,312</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11,368</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 and vesting of restricted stock units, net of shares withheld for employee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 and excise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(50,018</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43,805</w:t>
            </w:r>
          </w:p>
        </w:tc>
        <w:tc>
          <w:tcPr>
            <w:tcW w:w="8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June 28,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92,798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3,437,069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518" w:type="dxa"/>
        <w:jc w:val="left"/>
        <w:tblInd w:w="0" w:type="dxa"/>
        <w:tblLayout w:type="fixed"/>
        <w:tblCellMar>
          <w:top w:w="0" w:type="dxa"/>
          <w:left w:w="0" w:type="dxa"/>
          <w:bottom w:w="0" w:type="dxa"/>
          <w:right w:w="0" w:type="dxa"/>
        </w:tblCellMar>
      </w:tblPr>
      <w:tblGrid>
        <w:gridCol w:w="6845"/>
        <w:gridCol w:w="60"/>
        <w:gridCol w:w="153"/>
        <w:gridCol w:w="1036"/>
        <w:gridCol w:w="80"/>
        <w:gridCol w:w="60"/>
        <w:gridCol w:w="153"/>
        <w:gridCol w:w="1036"/>
        <w:gridCol w:w="95"/>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 and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stock, including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withholding paid on behalf of employees for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(payments) proceeds from purchase and sale of inventories subject to repurchase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1,165,478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 AND 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wholly-owned subsidiaries. All significant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fiscal 2027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52- or 53-week fiscal year ending on the Saturday closest to March 31 of each year. Approximately every five to six years, the Company reports a 53-week fiscal year to align with the foregoing policy. Fiscal 2027 is a 53-week year and fiscal 2026 was a 52-week year; however, the first quarters of both fiscal years 2027 and 2026 included 13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"Other operating expense"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26" w:type="dxa"/>
        <w:jc w:val="left"/>
        <w:tblInd w:w="0" w:type="dxa"/>
        <w:tblLayout w:type="fixed"/>
        <w:tblCellMar>
          <w:top w:w="0" w:type="dxa"/>
          <w:left w:w="0" w:type="dxa"/>
          <w:bottom w:w="0" w:type="dxa"/>
          <w:right w:w="0" w:type="dxa"/>
        </w:tblCellMar>
      </w:tblPr>
      <w:tblGrid>
        <w:gridCol w:w="2675"/>
        <w:gridCol w:w="60"/>
        <w:gridCol w:w="207"/>
        <w:gridCol w:w="982"/>
        <w:gridCol w:w="69"/>
        <w:gridCol w:w="69"/>
        <w:gridCol w:w="207"/>
        <w:gridCol w:w="982"/>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Merger-related costs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14,885</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Restructuring-related charges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9,897</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41,642</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9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PROPOSED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Agreement contains certain termination rights for each of Skyworks and Qorvo. Under specified circumstances, each of Qorvo and Skyworks will be required to pay the other party a termination fee of </w:t>
      </w:r>
      <w:r>
        <w:rPr>
          <w:rFonts w:ascii="Times New Roman;Times;Serif" w:hAnsi="Times New Roman;Times;Serif"/>
          <w:b w:val="false"/>
          <w:i w:val="false"/>
          <w:caps w:val="false"/>
          <w:smallCaps w:val="false"/>
          <w:sz w:val="20"/>
          <w:shd w:fill="FFFFFF" w:val="clear"/>
        </w:rPr>
        <w:t>$298.7 million</w:t>
      </w:r>
      <w:r>
        <w:rPr>
          <w:rFonts w:ascii="Times New Roman;Times;Serif" w:hAnsi="Times New Roman;Times;Serif"/>
          <w:b w:val="false"/>
          <w:i w:val="false"/>
          <w:caps w:val="false"/>
          <w:smallCaps w:val="false"/>
          <w:sz w:val="20"/>
        </w:rPr>
        <w:t xml:space="preserve">,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w:t>
      </w:r>
      <w:r>
        <w:rPr>
          <w:rFonts w:ascii="Times New Roman;Times;Serif" w:hAnsi="Times New Roman;Times;Serif"/>
          <w:b w:val="false"/>
          <w:i w:val="false"/>
          <w:caps w:val="false"/>
          <w:smallCaps w:val="false"/>
          <w:sz w:val="20"/>
          <w:shd w:fill="FFFFFF" w:val="clear"/>
        </w:rPr>
        <w:t>$100.0 million</w:t>
      </w:r>
      <w:r>
        <w:rPr>
          <w:rFonts w:ascii="Times New Roman;Times;Serif" w:hAnsi="Times New Roman;Times;Serif"/>
          <w:b w:val="false"/>
          <w:i w:val="false"/>
          <w:caps w:val="false"/>
          <w:smallCaps w:val="false"/>
          <w:sz w:val="20"/>
        </w:rPr>
        <w:t>, as more fully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Qorvo and Skyworks each received a Request for Additional Information and Documentary Material (the “Second Request”) from the U.S. Federal Trade Commission (the “FTC”) in connection with the transaction. The Second Request was issued under the Hart-Scott-Rodino Antitrust Improvements Act of 1976, as amended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of both Qorvo and Skyworks approved the Merger Agreement at each company's special meeting of stockholders on 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Skyworks commenced offers to exchange (the “Exchange Offers”) any and all outstanding 4.375% Senior Notes due 2029 issued by the Company (the “2029 Notes”) for up to $850.0 million aggregate principal amount of new 4.375% Senior Notes due 2029 issued by Skyworks and any and all outstanding 3.375% Senior Notes due 2031 issued by the Company (the “2031 Notes” and, together with the 2029 Notes, the “Notes”) for up to $700.0 million aggregate principal amount of new 3.375% Senior Notes due 2031 issued by Skyworks, pursuant to the terms and conditions set forth in Skyworks’ Registration Statement on Form S-4, filed with the SEC on May 20, 2026. The Exchange Offers will remain open until 5:00 p.m., New York City time, on September 1, 2026, unless extended at Skyworks’ sole discretion. The expiration date of the Exchange Offers is expected to be extended to occur on or about the closing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Exchange Offers, Skyworks, on behalf of the Company, solicited consents from holders of the Notes (the “Consents,” and together with the Exchange Offers, the “Exchange Offers and Consent Solicitations”) to adopt certain proposed amendments to the existing indentures to eliminate substantially all of the restrictive covenants, certain affirmative covenants and certain events of default (the “Proposed Amendments”). As of June 11, 2026, the Company received the requisite number of Consents to adopt the Proposed Amendments with respect to each series of the Notes and entered into supplemental indentures for both the 2029 Notes and the 2031 Notes (together, the “Supplemental Indentures”), by and among the Company, the guarantors party thereto and the trustee, giving effect to the Proposed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foregoing</w:t>
      </w:r>
      <w:r>
        <w:rPr>
          <w:rFonts w:ascii="Times New Roman;Times;Serif" w:hAnsi="Times New Roman;Times;Serif"/>
          <w:b w:val="false"/>
          <w:i w:val="false"/>
          <w:caps w:val="false"/>
          <w:smallCaps w:val="false"/>
          <w:sz w:val="20"/>
        </w:rPr>
        <w:t xml:space="preserve"> summary of the Merger Agreement, the Exchange Offers and Consent Solicitations and Supplemental Indentures and the transactions contemplated thereby does not purport to be complete and is subject to, and qualified in its entirety by, the Merger Agreement, which was filed as Exhibit 2.1 to the Company's Current Report on Form 8-K filed with the SEC on October 28, 2025, Skyworks' Registration Statement on Form S-4 filed with the SEC on May 20, 2026 and the Supplemental Indentures filed as Exhibits 4.1 and 4.2 to the Company's Current Report on Form 8-K filed with the SEC on 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Mergers is subject to required regulatory approvals, including certain antitrust and foreign investment approvals, and the satisfaction of other customary closing conditions. The Company is increasingly hopeful that the transaction will close within the calendar year, subject to satisfaction or waiver of all closing conditions, but there can be no assurances that the closing will occur on this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Merger-related costs for the three months ended June 27, 2026 were approximately $14.9 million, primarily related to legal and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inventories, net of reserves,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228" w:type="dxa"/>
        <w:jc w:val="left"/>
        <w:tblInd w:w="0" w:type="dxa"/>
        <w:tblLayout w:type="fixed"/>
        <w:tblCellMar>
          <w:top w:w="0" w:type="dxa"/>
          <w:left w:w="0" w:type="dxa"/>
          <w:bottom w:w="0" w:type="dxa"/>
          <w:right w:w="0" w:type="dxa"/>
        </w:tblCellMar>
      </w:tblPr>
      <w:tblGrid>
        <w:gridCol w:w="1430"/>
        <w:gridCol w:w="60"/>
        <w:gridCol w:w="181"/>
        <w:gridCol w:w="1008"/>
        <w:gridCol w:w="60"/>
        <w:gridCol w:w="60"/>
        <w:gridCol w:w="205"/>
        <w:gridCol w:w="1149"/>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process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265,250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regarding the gross carrying amounts and accumulated amortization of intangible assets (in thousands):</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1910"/>
        <w:gridCol w:w="60"/>
        <w:gridCol w:w="125"/>
        <w:gridCol w:w="695"/>
        <w:gridCol w:w="60"/>
        <w:gridCol w:w="60"/>
        <w:gridCol w:w="176"/>
        <w:gridCol w:w="984"/>
        <w:gridCol w:w="60"/>
        <w:gridCol w:w="60"/>
        <w:gridCol w:w="125"/>
        <w:gridCol w:w="695"/>
        <w:gridCol w:w="60"/>
        <w:gridCol w:w="60"/>
        <w:gridCol w:w="176"/>
        <w:gridCol w:w="984"/>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289,825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include the impact of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debt (in thousands):</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25"/>
        <w:gridCol w:w="60"/>
        <w:gridCol w:w="153"/>
        <w:gridCol w:w="1036"/>
        <w:gridCol w:w="80"/>
        <w:gridCol w:w="60"/>
        <w:gridCol w:w="174"/>
        <w:gridCol w:w="1180"/>
        <w:gridCol w:w="9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premium and issuance costs,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w:t>
      </w:r>
      <w:r>
        <w:rPr>
          <w:rFonts w:ascii="Times New Roman;Times;Serif" w:hAnsi="Times New Roman;Times;Serif"/>
          <w:b w:val="false"/>
          <w:i w:val="false"/>
          <w:caps w:val="false"/>
          <w:smallCaps w:val="false"/>
          <w:sz w:val="20"/>
          <w:shd w:fill="FFFFFF" w:val="clear"/>
        </w:rPr>
        <w:t>$325.0 million</w:t>
      </w:r>
      <w:r>
        <w:rPr>
          <w:rFonts w:ascii="Times New Roman;Times;Serif" w:hAnsi="Times New Roman;Times;Serif"/>
          <w:b w:val="false"/>
          <w:i w:val="false"/>
          <w:caps w:val="false"/>
          <w:smallCaps w:val="false"/>
          <w:sz w:val="20"/>
        </w:rPr>
        <w:t xml:space="preserve"> senior revolving line of credit (the "Revolving Facility"). Up to </w:t>
      </w:r>
      <w:r>
        <w:rPr>
          <w:rFonts w:ascii="Times New Roman;Times;Serif" w:hAnsi="Times New Roman;Times;Serif"/>
          <w:b w:val="false"/>
          <w:i w:val="false"/>
          <w:caps w:val="false"/>
          <w:smallCaps w:val="false"/>
          <w:sz w:val="20"/>
          <w:shd w:fill="FFFFFF" w:val="clear"/>
        </w:rPr>
        <w:t>$25.0 million</w:t>
      </w:r>
      <w:r>
        <w:rPr>
          <w:rFonts w:ascii="Times New Roman;Times;Serif" w:hAnsi="Times New Roman;Times;Serif"/>
          <w:b w:val="false"/>
          <w:i w:val="false"/>
          <w:caps w:val="false"/>
          <w:smallCaps w:val="false"/>
          <w:sz w:val="20"/>
        </w:rPr>
        <w:t xml:space="preserve"> of the Revolving Facility may be used for the issuance of standby letters of credit, and up to </w:t>
      </w:r>
      <w:r>
        <w:rPr>
          <w:rFonts w:ascii="Times New Roman;Times;Serif" w:hAnsi="Times New Roman;Times;Serif"/>
          <w:b w:val="false"/>
          <w:i w:val="false"/>
          <w:caps w:val="false"/>
          <w:smallCaps w:val="false"/>
          <w:sz w:val="20"/>
          <w:shd w:fill="FFFFFF" w:val="clear"/>
        </w:rPr>
        <w:t>$10.0 million</w:t>
      </w:r>
      <w:r>
        <w:rPr>
          <w:rFonts w:ascii="Times New Roman;Times;Serif" w:hAnsi="Times New Roman;Times;Serif"/>
          <w:b w:val="false"/>
          <w:i w:val="false"/>
          <w:caps w:val="false"/>
          <w:smallCaps w:val="false"/>
          <w:sz w:val="20"/>
        </w:rPr>
        <w:t xml:space="preserve"> of the Revolving Facility may be used for swing line advances (i.e., short-term borrowings made available from the lead lender). The Company may request at any time that the Revolving Facility be increased by up to </w:t>
      </w:r>
      <w:r>
        <w:rPr>
          <w:rFonts w:ascii="Times New Roman;Times;Serif" w:hAnsi="Times New Roman;Times;Serif"/>
          <w:b w:val="false"/>
          <w:i w:val="false"/>
          <w:caps w:val="false"/>
          <w:smallCaps w:val="false"/>
          <w:sz w:val="20"/>
          <w:shd w:fill="FFFFFF" w:val="clear"/>
        </w:rPr>
        <w:t>$325.0 million</w:t>
      </w:r>
      <w:r>
        <w:rPr>
          <w:rFonts w:ascii="Times New Roman;Times;Serif" w:hAnsi="Times New Roman;Times;Serif"/>
          <w:b w:val="false"/>
          <w:i w:val="false"/>
          <w:caps w:val="false"/>
          <w:smallCaps w:val="false"/>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27, 2026, there were no borrowings under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various conditions, covenants and representations with which the Company must be in compliance in order to borrow funds and to avoid an event of default. As of June 27, 2026, the Company was in compliance with these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2029 Notes on April 15 and October 15 of each year. The Company paid interest of $18.6 million on the 2029 Notes during both the three months ended June 27, 2026 and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is payable on the 2031 Notes on April 1 and October 1 of each year. The Company paid interest of $11.8 million on the 2031 Notes during both the three months ended June 27, 2026 and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Skyworks commenced the Exchange Offers for the 2029 Notes and the 2031 Notes. In conjunction with the Exchange Offers, Skyworks, on behalf of the Company, solicited consents from holders of the Notes to adopt certain proposed amendments to the existing indentures to eliminate substantially all of the restrictive covenants, certain affirmative covenants and certain events of default. As of June 11, 2026, the Company received the requisite number of consents to adopt the proposed amendments with respect to each series of the Notes and entered into supplemental indentures for both the 2029 Notes and the 2031 Notes. The proposed amendments with respect to each series of the Notes will not become operative until (i) immediately prior to the closing of the transaction or (ii) immediately upon the settlement of the Exchange Offers for such series of the Notes, depending on the specific amendment, and will cease to be operative if the Mergers are not consummated. As of June 27, 2026, the 2029 Notes and the 2031 Notes remained outstanding obligations of the Company. Upon settlement of the Exchange Offers (which remain open), any 2029 Notes and 2031 Notes tendered and accepted for exchange will be exchanged for the applicable Skyworks notes and the related obligations of the Company and the guarantors under the tendered Notes will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for additional information regarding the Exchange Offers and Consent Solicitations for the 2029 Notes and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is carried at amortized cost and is measured at fair value quarterly for disclosure purposes. The estimated fair value of the 2029 Notes and the 2031 Notes as of June 27, 2026 was $820.3 million and $639.4 million, respectively (compared to the outstanding principal amount of $850.0 million and $700.0 million, respectively). The estimated fair value of the 2029 Notes and the 2031 Notes as of March 28, 2026 was $829.4 million and $629.5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During the </w:t>
      </w:r>
      <w:r>
        <w:rPr>
          <w:rFonts w:ascii="Times New Roman;Times;Serif" w:hAnsi="Times New Roman;Times;Serif"/>
          <w:b w:val="false"/>
          <w:i w:val="false"/>
          <w:caps w:val="false"/>
          <w:smallCaps w:val="false"/>
          <w:sz w:val="20"/>
        </w:rPr>
        <w:t xml:space="preserve">three </w:t>
      </w:r>
      <w:r>
        <w:rPr>
          <w:rFonts w:ascii="Times New Roman;Times;Serif" w:hAnsi="Times New Roman;Times;Serif"/>
          <w:b w:val="false"/>
          <w:i w:val="false"/>
          <w:caps w:val="false"/>
          <w:smallCaps w:val="false"/>
          <w:sz w:val="20"/>
          <w:shd w:fill="FFFFFF" w:val="clear"/>
        </w:rPr>
        <w:t xml:space="preserve">months ended June 27, 2026, the Company recognized </w:t>
      </w:r>
      <w:r>
        <w:rPr>
          <w:rFonts w:ascii="Times New Roman;Times;Serif" w:hAnsi="Times New Roman;Times;Serif"/>
          <w:b w:val="false"/>
          <w:i w:val="false"/>
          <w:caps w:val="false"/>
          <w:smallCaps w:val="false"/>
          <w:sz w:val="20"/>
        </w:rPr>
        <w:t xml:space="preserve">$16.4 million of </w:t>
      </w:r>
      <w:r>
        <w:rPr>
          <w:rFonts w:ascii="Times New Roman;Times;Serif" w:hAnsi="Times New Roman;Times;Serif"/>
          <w:b w:val="false"/>
          <w:i w:val="false"/>
          <w:caps w:val="false"/>
          <w:smallCaps w:val="false"/>
          <w:sz w:val="20"/>
          <w:shd w:fill="FFFFFF" w:val="clear"/>
        </w:rPr>
        <w:t>interest expense</w:t>
      </w:r>
      <w:r>
        <w:rPr>
          <w:rFonts w:ascii="Times New Roman;Times;Serif" w:hAnsi="Times New Roman;Times;Serif"/>
          <w:b w:val="false"/>
          <w:i w:val="false"/>
          <w:caps w:val="false"/>
          <w:smallCaps w:val="false"/>
          <w:sz w:val="20"/>
        </w:rPr>
        <w:t xml:space="preserve">, primarily related to the 2029 Notes and the 2031 Notes, which was partially offset by </w:t>
      </w:r>
      <w:r>
        <w:rPr>
          <w:rFonts w:ascii="Times New Roman;Times;Serif" w:hAnsi="Times New Roman;Times;Serif"/>
          <w:b w:val="false"/>
          <w:i w:val="false"/>
          <w:caps w:val="false"/>
          <w:smallCaps w:val="false"/>
          <w:sz w:val="20"/>
          <w:shd w:fill="FFFFFF" w:val="clear"/>
        </w:rPr>
        <w:t xml:space="preserve">interest capitalized to property and equipment of </w:t>
      </w:r>
      <w:r>
        <w:rPr>
          <w:rFonts w:ascii="Times New Roman;Times;Serif" w:hAnsi="Times New Roman;Times;Serif"/>
          <w:b w:val="false"/>
          <w:i w:val="false"/>
          <w:caps w:val="false"/>
          <w:smallCaps w:val="false"/>
          <w:sz w:val="20"/>
        </w:rPr>
        <w:t>$0.6 million</w:t>
      </w:r>
      <w:r>
        <w:rPr>
          <w:rFonts w:ascii="Times New Roman;Times;Serif" w:hAnsi="Times New Roman;Times;Serif"/>
          <w:b w:val="false"/>
          <w:i w:val="false"/>
          <w:caps w:val="false"/>
          <w:smallCaps w:val="false"/>
          <w:sz w:val="20"/>
          <w:shd w:fill="FFFFFF" w:val="clear"/>
        </w:rPr>
        <w:t xml:space="preserve">. During the </w:t>
      </w:r>
      <w:r>
        <w:rPr>
          <w:rFonts w:ascii="Times New Roman;Times;Serif" w:hAnsi="Times New Roman;Times;Serif"/>
          <w:b w:val="false"/>
          <w:i w:val="false"/>
          <w:caps w:val="false"/>
          <w:smallCaps w:val="false"/>
          <w:sz w:val="20"/>
        </w:rPr>
        <w:t xml:space="preserve">three </w:t>
      </w:r>
      <w:r>
        <w:rPr>
          <w:rFonts w:ascii="Times New Roman;Times;Serif" w:hAnsi="Times New Roman;Times;Serif"/>
          <w:b w:val="false"/>
          <w:i w:val="false"/>
          <w:caps w:val="false"/>
          <w:smallCaps w:val="false"/>
          <w:sz w:val="20"/>
          <w:shd w:fill="FFFFFF" w:val="clear"/>
        </w:rPr>
        <w:t xml:space="preserve">months ended June 28, 2025, the Company recognized $19.6 million of interest expense, primarily related to the 2029 Notes and the 2031 Notes, which was partially offset by interest capitalized to property and equipment of $0.8 million. </w:t>
      </w:r>
      <w:r>
        <w:rPr>
          <w:rFonts w:ascii="Times New Roman;Times;Serif" w:hAnsi="Times New Roman;Times;Serif"/>
          <w:b w:val="false"/>
          <w:i w:val="false"/>
          <w:caps w:val="false"/>
          <w:smallCaps w:val="false"/>
          <w:sz w:val="20"/>
        </w:rPr>
        <w:t xml:space="preserve">Interest expense for the three months ended June 27, 2026 and </w:t>
      </w:r>
      <w:r>
        <w:rPr>
          <w:rFonts w:ascii="Times New Roman;Times;Serif" w:hAnsi="Times New Roman;Times;Serif"/>
          <w:b w:val="false"/>
          <w:i w:val="false"/>
          <w:caps w:val="false"/>
          <w:smallCaps w:val="false"/>
          <w:sz w:val="20"/>
          <w:shd w:fill="FFFFFF" w:val="clear"/>
        </w:rPr>
        <w:t xml:space="preserve">June 28, 2025 </w:t>
      </w:r>
      <w:r>
        <w:rPr>
          <w:rFonts w:ascii="Times New Roman;Times;Serif" w:hAnsi="Times New Roman;Times;Serif"/>
          <w:b w:val="false"/>
          <w:i w:val="false"/>
          <w:caps w:val="false"/>
          <w:smallCaps w:val="false"/>
          <w:sz w:val="20"/>
        </w:rPr>
        <w:t>also includes financing costs related to certain inventory (subject to repurchase) in connection with a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Shares withheld to satisfy tax withholding requirements related to the vesting of share-based awards are not considered issued or considered stock repurchases under the Company's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27, 2026, the Company did not repurchase any shares of its common stock. As of June 27, 2026, approximately $416.2 million remains authorized for repurchases under its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28, 2025, the Company repurchased approximately 0.7 million shares of its common stock for approximately $50.0 million (including transaction costs and excise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COMMITMENTS AND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Company believes the aggregate range of reasonably possible losses in excess of accrued liabilities, if any, associated with these unresolved legal matters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 region (based on the location of the customers' headquarters)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3795" w:type="dxa"/>
        <w:jc w:val="left"/>
        <w:tblInd w:w="0" w:type="dxa"/>
        <w:tblLayout w:type="fixed"/>
        <w:tblCellMar>
          <w:top w:w="0" w:type="dxa"/>
          <w:left w:w="0" w:type="dxa"/>
          <w:bottom w:w="0" w:type="dxa"/>
          <w:right w:w="0" w:type="dxa"/>
        </w:tblCellMar>
      </w:tblPr>
      <w:tblGrid>
        <w:gridCol w:w="1160"/>
        <w:gridCol w:w="60"/>
        <w:gridCol w:w="181"/>
        <w:gridCol w:w="1008"/>
        <w:gridCol w:w="61"/>
        <w:gridCol w:w="61"/>
        <w:gridCol w:w="181"/>
        <w:gridCol w:w="1008"/>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509,011</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81,189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77,012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disaggregates revenue by operating segments (refer to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fiscal 2026, the Company initiated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("SAW") filter production to its Texas fabrication facility. In the fourth quarter of fiscal 2026, the Company completed the sale of its North Carolina fabrication facility and is operating under a short-term supply agreement with the buyer until the Company completes the transfer of SAW filter production to its Texas facility. In addition, the Company consolidated the Connectivity and Sensors Group ("CSG") organizational structure as it continues to align total Company resources, improve efficiency and narrow its focus on a higher margin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charges resulting from the 2026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7867" w:type="dxa"/>
        <w:jc w:val="left"/>
        <w:tblInd w:w="0" w:type="dxa"/>
        <w:tblLayout w:type="fixed"/>
        <w:tblCellMar>
          <w:top w:w="0" w:type="dxa"/>
          <w:left w:w="0" w:type="dxa"/>
          <w:bottom w:w="0" w:type="dxa"/>
          <w:right w:w="0" w:type="dxa"/>
        </w:tblCellMar>
      </w:tblPr>
      <w:tblGrid>
        <w:gridCol w:w="3305"/>
        <w:gridCol w:w="60"/>
        <w:gridCol w:w="437"/>
        <w:gridCol w:w="1172"/>
        <w:gridCol w:w="84"/>
        <w:gridCol w:w="84"/>
        <w:gridCol w:w="257"/>
        <w:gridCol w:w="1217"/>
        <w:gridCol w:w="84"/>
        <w:gridCol w:w="84"/>
        <w:gridCol w:w="176"/>
        <w:gridCol w:w="832"/>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27,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Operating </w:t>
              <w:br/>
              <w:t>Expense</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and other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the Company has recorded cumulative expenses of approximately $12.4 million for contract termination and other costs, $48.4 million for one-time employee termination benefits, $1.8 million for asset impairment costs as well as a $7.9 million gain on sale of facility as a result of the 2026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to incur additional material charges associated with the 2026 Restructuring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liability activity related to the 2026 Restructuring Initiatives (in thousands):</w:t>
      </w:r>
    </w:p>
    <w:p>
      <w:pPr>
        <w:pStyle w:val="TextBody"/>
        <w:bidi w:val="0"/>
        <w:spacing w:before="0" w:after="0"/>
        <w:ind w:left="0" w:right="0" w:hanging="0"/>
        <w:jc w:val="left"/>
        <w:rPr>
          <w:caps w:val="false"/>
          <w:smallCaps w:val="false"/>
        </w:rPr>
      </w:pPr>
      <w:r>
        <w:rPr>
          <w:caps w:val="false"/>
          <w:smallCaps w:val="false"/>
        </w:rPr>
        <w:t> </w:t>
      </w:r>
    </w:p>
    <w:tbl>
      <w:tblPr>
        <w:tblW w:w="9188" w:type="dxa"/>
        <w:jc w:val="left"/>
        <w:tblInd w:w="0" w:type="dxa"/>
        <w:tblLayout w:type="fixed"/>
        <w:tblCellMar>
          <w:top w:w="0" w:type="dxa"/>
          <w:left w:w="0" w:type="dxa"/>
          <w:bottom w:w="0" w:type="dxa"/>
          <w:right w:w="0" w:type="dxa"/>
        </w:tblCellMar>
      </w:tblPr>
      <w:tblGrid>
        <w:gridCol w:w="4220"/>
        <w:gridCol w:w="60"/>
        <w:gridCol w:w="292"/>
        <w:gridCol w:w="1527"/>
        <w:gridCol w:w="80"/>
        <w:gridCol w:w="60"/>
        <w:gridCol w:w="361"/>
        <w:gridCol w:w="1578"/>
        <w:gridCol w:w="80"/>
        <w:gridCol w:w="60"/>
        <w:gridCol w:w="125"/>
        <w:gridCol w:w="650"/>
        <w:gridCol w:w="9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One-Time Employee</w:t>
              <w:br/>
              <w:t>Termination Benefits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 Termination </w:t>
              <w:br/>
              <w:t>and Other 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March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and charged to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restructuring balance as of June 27,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accrued restructuring balances as of June 27, 2026 represent estimated future cash payments required to satisfy the Company's remaining obligations, the majority of which are expected to be paid by the end of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OPERATING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 is a leading global supplier of radio frequency, analog mixed signal and power management solutions. HPA leverages a diverse portfolio of differentiated process technologies and products to serve customers in consumer, defense and aerospace, infrastructure, and industrial and enterprise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 is a leading global supplier of connectivity solutions, with broad expertise spanning ultra-wideband, Matter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Bluetooth</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Low Energy, Zigbee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Thread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Wi-Fi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cellular solutions for the Internet of Things to serve customers in automotive, consumer, industrial and enterprise, and mobile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details of the Company’s operating and reportable segments and a reconciliation of segment operating income (loss) to consolidated income before income taxes (in thousands):</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3470"/>
        <w:gridCol w:w="60"/>
        <w:gridCol w:w="180"/>
        <w:gridCol w:w="1009"/>
        <w:gridCol w:w="80"/>
        <w:gridCol w:w="60"/>
        <w:gridCol w:w="180"/>
        <w:gridCol w:w="1009"/>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571,230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784,795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HPA</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CSG</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ACG</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Unallocated amounts: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Restructuring-related charges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Merger-related costs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Refer to Note 9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Refer to Note 2 for additional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deferred compensation expense; start-up costs; and certain settlements, gains, losses and 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AND SUBSIDIARIES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TO CONDENSED CONSOLIDATED FINANCIAL STATEMENTS (continued)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was $14.7 million and $6.1 million for the three months ended June 27, 2026 and June 28, 2025, respectively. The Company’s effective tax rate was 14.6% and 19.2% for the three months ended June 27, 2026 and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three months ended June 27, 2026 differed from the statutory rate primarily due to tax rate differences in foreign jurisdictions, the impact of global minimum taxes and Net Controlled Foreign Corporation Tested Income (formerly Global Intangible Low-Taxed Income ("GILTI")), partially offset by domestic tax credits generated and discrete tax benefits. A discrete tax benefit of $3.3 million was recognized for the three months ended June 27, 2026, primarily related to the tax effects of merger-related costs (refer to Note 2 for additional information) and restructuring-related charges (refer to Note 9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three months ended June 28, 2025 differed from the statutory rate primarily due to tax rate differences in foreign jurisdictions, global minimum taxes in foreign jurisdictions and GILTI, partially offset by domestic tax credits generated.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per share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1"/>
        <w:gridCol w:w="60"/>
        <w:gridCol w:w="195"/>
        <w:gridCol w:w="920"/>
        <w:gridCol w:w="67"/>
        <w:gridCol w:w="67"/>
        <w:gridCol w:w="195"/>
        <w:gridCol w:w="920"/>
        <w:gridCol w:w="80"/>
      </w:tblGrid>
      <w:tr>
        <w:trPr/>
        <w:tc>
          <w:tcPr>
            <w:tcW w:w="7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 2026</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 for basic and diluted net income per share — net income available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85,802</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basic net income per share — weighted-average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88,035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net income per share — adjusted weighted-average shares and assumed conversions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89,360</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An immaterial number of shares of outstanding stock-based awards were excluded from the computation of net income per diluted share for the three months ended June 27, 2026 because the effect of their inclusion would have been anti-dilutive. In the computation of diluted net income per share for the three months ended </w:t>
      </w:r>
      <w:r>
        <w:rPr>
          <w:rFonts w:ascii="Times New Roman;Times;Serif" w:hAnsi="Times New Roman;Times;Serif"/>
          <w:b w:val="false"/>
          <w:i w:val="false"/>
          <w:caps w:val="false"/>
          <w:smallCaps w:val="false"/>
          <w:sz w:val="20"/>
        </w:rPr>
        <w:t>June 28, 2025</w:t>
      </w:r>
      <w:r>
        <w:rPr>
          <w:rFonts w:ascii="Times New Roman;Times;Serif" w:hAnsi="Times New Roman;Times;Serif"/>
          <w:b w:val="false"/>
          <w:i w:val="false"/>
          <w:caps w:val="false"/>
          <w:smallCaps w:val="false"/>
          <w:sz w:val="20"/>
          <w:shd w:fill="FFFFFF" w:val="clear"/>
        </w:rPr>
        <w:t xml:space="preserve">, approximately </w:t>
      </w:r>
      <w:r>
        <w:rPr>
          <w:rFonts w:ascii="Times New Roman;Times;Serif" w:hAnsi="Times New Roman;Times;Serif"/>
          <w:b w:val="false"/>
          <w:i w:val="false"/>
          <w:caps w:val="false"/>
          <w:smallCaps w:val="false"/>
          <w:sz w:val="20"/>
        </w:rPr>
        <w:t xml:space="preserve">1.5 million </w:t>
      </w:r>
      <w:r>
        <w:rPr>
          <w:rFonts w:ascii="Times New Roman;Times;Serif" w:hAnsi="Times New Roman;Times;Serif"/>
          <w:b w:val="false"/>
          <w:i w:val="false"/>
          <w:caps w:val="false"/>
          <w:smallCaps w:val="false"/>
          <w:sz w:val="20"/>
          <w:shd w:fill="FFFFFF" w:val="clear"/>
        </w:rPr>
        <w:t>shares of outstanding stock-based awards were excluded because the effect of their inclusion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4" w:name="tm2620808d4_ex99-2.htm"/>
      <w:bookmarkStart w:id="5" w:name="kstm2620808d4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Agreement and Plan of Merger (the “Merger Agreement”), by and among Skyworks Solutions, Inc., a Delaware corporation (“Skyworks”), Qorvo, Inc., a Delaware corporation (“Qorvo”), Comet Acquisition Corp., a Delaware corporation and a wholly owned subsidiary of Skyworks (“Merger Sub I”), and Comet Acquisition II, LLC, a Delaware limited liability company and a wholly owned subsidiary of Skyworks (“Merger Sub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Mergers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October 27, 2025, Skyworks, Qorvo, Merger Sub I and Merger Sub II entered into the Merger Agreement. Pursuant to the Merger Agreement, and subject to the satisfaction or waiver of the conditions specified therein,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 Forma Financial Statements</w:t>
      </w:r>
      <w:r>
        <w:rPr>
          <w:rFonts w:ascii="Times New Roman;Times;Serif" w:hAnsi="Times New Roman;Times;Serif"/>
          <w:b w:val="false"/>
          <w:i w:val="false"/>
          <w:caps w:val="false"/>
          <w:smallCaps w:val="false"/>
          <w:sz w:val="20"/>
        </w:rPr>
        <w:t>. The following Unaudited Pro Forma Condensed Combined Statements of Operations (the “Pro Forma Statements of Operations”) for the nine months ended July 3, 2026 and twelve months ended October 3, 2025, combine the historical consolidated statements of operations of Skyworks and Qorvo, after giving effect to the Mergers and other adjustments (as described in the Notes to the Unaudited Pro Forma Condensed Combined Financial Statements) as if they occurred on September 28, 2024. The Unaudited Pro Forma Condensed Combined Balance Sheet (the “Pro Forma Balance Sheet” and together with the Pro Forma Statements of Operations, the “Pro Forma Financial Statements”) as of July 3, 2026, combines the historical condensed consolidated balance sheets of Skyworks and Qorvo, after giving effect to the Mergers and other adjustments as if they had occurred on July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for illustrative and informational purposes only, in accordance with Regulation S-X Article 11, to demonstrate the estimated effects of the Mergers and certain other related transactions and adjustments (collectively referred to as transaction accounting adjustments), such as (a) the alignment of Qorvo’s statements of operations and balance sheet amounts to Skyworks’ presentation, (b) adjustments based upon preliminary estimates of the fair value of assets to be acquired and liabilities to be assumed, (c) transaction and financing costs expected to be incurred by Skyworks, and (d) the associated income tax impacts of recognizing these adjustments. The Pro Forma Financial Statements were prepared using the acquisition method of accounting in accordance with United States generally accepted accounting principles, applied on a consistent basis (“GAAP”), with the expectation that Skyworks will be identified as the acquirer. The transaction accounting adjustments were prepared on the 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post-Mergers costs, such as restructuring and integration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balance sheets would have actually been had the transaction accounting adjustments been consummated as of the dates indicated. Further, the Pro Forma Financial Statements do not purport to project the future financial position or results of operations of Skyworks and its subsidiaries (including Qorvo and its subsidiaries, taken as a whole, after giving effect to the Mergers (the “Combined Company”)),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reflect transaction accounting adjustments that Skyworks believes are necessary to present fairly the Pro Forma Statements of Operations and Pro Forma Balance Sheet following the consummation of the Mergers as of and for the periods indicated. The transaction accounting adjustments are based on currently available information and assumptions that Skyworks believes are, under the circumstances and given the information available at this time, reasonable, directly attributable to the Mergers, and reflective of adjustments necessary to report the combined financial condition and results of operations as if Skyworks and Qorvo consummated the Mergers. The final acquisition accounting will be based upon the actual consideration and the fair value of the assets to be acquired and the liabilities to be assumed of the party that is determined to be the acquiree under GAAP as of the date of the consummation of the Mergers (the “Closing Date”). In addition, subsequent to the Closing Date, there will be further refinements of the acquisition accounting as additional information becomes available. Accordingly, the final acquisition accounting may differ materially from the Pro Forma Financial Statements reflected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should be read in conjunction with the accompanying notes. In addition, the Pro Forma Financial Statements were based on and should be read in conjunction with the following historical consolidated financial statements and accompanying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years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Condensed Consolidated Financial Statements of Qorvo for the quarterly periods ended June 27, 2026, September 27, 2025, and September 28, 2024, as included in Qorvo’s Quarterly Report on Form 10-Q for the quarterly periods ended June 27, 2026,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9"/>
        <w:gridCol w:w="60"/>
        <w:gridCol w:w="213"/>
        <w:gridCol w:w="827"/>
        <w:gridCol w:w="80"/>
        <w:gridCol w:w="60"/>
        <w:gridCol w:w="199"/>
        <w:gridCol w:w="777"/>
        <w:gridCol w:w="80"/>
        <w:gridCol w:w="60"/>
        <w:gridCol w:w="110"/>
        <w:gridCol w:w="1160"/>
        <w:gridCol w:w="80"/>
        <w:gridCol w:w="410"/>
        <w:gridCol w:w="146"/>
        <w:gridCol w:w="744"/>
        <w:gridCol w:w="80"/>
        <w:gridCol w:w="404"/>
        <w:gridCol w:w="115"/>
        <w:gridCol w:w="775"/>
        <w:gridCol w:w="125"/>
        <w:gridCol w:w="404"/>
        <w:gridCol w:w="194"/>
        <w:gridCol w:w="754"/>
        <w:gridCol w:w="99"/>
      </w:tblGrid>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948"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center"/>
              <w:rPr/>
            </w:pPr>
            <w:r>
              <w:rPr/>
              <w:t> </w:t>
            </w:r>
            <w:r>
              <w:rPr>
                <w:b/>
                <w:sz w:val="16"/>
              </w:rPr>
              <w:t>Reclassification</w:t>
            </w:r>
          </w:p>
        </w:tc>
        <w:tc>
          <w:tcPr>
            <w:tcW w:w="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8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Nine Months </w:t>
              <w:br/>
              <w:t xml:space="preserve">Ended </w:t>
              <w:br/>
              <w:t>July 3,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Nine Months </w:t>
              <w:br/>
              <w:t xml:space="preserve">Ended </w:t>
              <w:br/>
              <w:t>June 27,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12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3, 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revenue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5,500</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 xml:space="preserve">(45 </w:t>
            </w:r>
          </w:p>
        </w:tc>
        <w:tc>
          <w:tcPr>
            <w:tcW w:w="80" w:type="dxa"/>
            <w:tcBorders/>
            <w:shd w:fill="FFFFFF" w:val="clear"/>
            <w:vAlign w:val="center"/>
          </w:tcPr>
          <w:p>
            <w:pPr>
              <w:pStyle w:val="TableContents"/>
              <w:bidi w:val="0"/>
              <w:spacing w:before="0" w:after="283"/>
              <w:jc w:val="left"/>
              <w:rPr>
                <w:sz w:val="16"/>
              </w:rPr>
            </w:pPr>
            <w:r>
              <w:rPr>
                <w:sz w:val="16"/>
              </w:rPr>
              <w:t>)</w:t>
            </w:r>
          </w:p>
        </w:tc>
        <w:tc>
          <w:tcPr>
            <w:tcW w:w="404" w:type="dxa"/>
            <w:tcBorders/>
            <w:shd w:fill="FFFFFF" w:val="clear"/>
            <w:vAlign w:val="center"/>
          </w:tcPr>
          <w:p>
            <w:pPr>
              <w:pStyle w:val="TableContents"/>
              <w:bidi w:val="0"/>
              <w:spacing w:before="0" w:after="283"/>
              <w:jc w:val="left"/>
              <w:rPr>
                <w:sz w:val="16"/>
              </w:rPr>
            </w:pPr>
            <w:r>
              <w:rPr>
                <w:sz w:val="16"/>
              </w:rPr>
              <w:t>6[e]</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3,204</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2,296</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1,145</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16"/>
              </w:rPr>
            </w:pPr>
            <w:r>
              <w:rPr>
                <w:sz w:val="16"/>
              </w:rPr>
              <w:t>6[a][1]</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108 </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left"/>
              <w:rPr>
                <w:sz w:val="16"/>
              </w:rPr>
            </w:pPr>
            <w:r>
              <w:rPr>
                <w:sz w:val="16"/>
              </w:rPr>
              <w:t>6[a][2]</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sz w:val="16"/>
              </w:rPr>
            </w:pPr>
            <w:r>
              <w:rPr>
                <w:sz w:val="16"/>
              </w:rPr>
              <w:t>)</w:t>
            </w:r>
          </w:p>
        </w:tc>
        <w:tc>
          <w:tcPr>
            <w:tcW w:w="410" w:type="dxa"/>
            <w:tcBorders/>
            <w:shd w:fill="CCEEFF" w:val="clear"/>
            <w:vAlign w:val="center"/>
          </w:tcPr>
          <w:p>
            <w:pPr>
              <w:pStyle w:val="TableContents"/>
              <w:bidi w:val="0"/>
              <w:spacing w:before="0" w:after="283"/>
              <w:jc w:val="left"/>
              <w:rPr>
                <w:sz w:val="16"/>
              </w:rPr>
            </w:pPr>
            <w:r>
              <w:rPr>
                <w:sz w:val="16"/>
              </w:rPr>
              <w:t>6[a][1]</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w:t>
            </w:r>
          </w:p>
        </w:tc>
        <w:tc>
          <w:tcPr>
            <w:tcW w:w="80" w:type="dxa"/>
            <w:tcBorders/>
            <w:shd w:fill="FFFFFF" w:val="clear"/>
            <w:vAlign w:val="center"/>
          </w:tcPr>
          <w:p>
            <w:pPr>
              <w:pStyle w:val="TableContents"/>
              <w:bidi w:val="0"/>
              <w:spacing w:before="0" w:after="283"/>
              <w:jc w:val="left"/>
              <w:rPr>
                <w:sz w:val="16"/>
              </w:rPr>
            </w:pPr>
            <w:r>
              <w:rPr>
                <w:sz w:val="16"/>
              </w:rPr>
              <w:t>)</w:t>
            </w:r>
          </w:p>
        </w:tc>
        <w:tc>
          <w:tcPr>
            <w:tcW w:w="410" w:type="dxa"/>
            <w:tcBorders/>
            <w:shd w:fill="FFFFFF" w:val="clear"/>
            <w:vAlign w:val="center"/>
          </w:tcPr>
          <w:p>
            <w:pPr>
              <w:pStyle w:val="TableContents"/>
              <w:bidi w:val="0"/>
              <w:spacing w:before="0" w:after="283"/>
              <w:jc w:val="left"/>
              <w:rPr>
                <w:sz w:val="16"/>
              </w:rPr>
            </w:pPr>
            <w:r>
              <w:rPr>
                <w:sz w:val="16"/>
              </w:rPr>
              <w:t>6[a][2]</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Amortization of intangibles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404" w:type="dxa"/>
            <w:tcBorders/>
            <w:shd w:fill="CCEEFF" w:val="clear"/>
            <w:vAlign w:val="center"/>
          </w:tcPr>
          <w:p>
            <w:pPr>
              <w:pStyle w:val="TableContents"/>
              <w:bidi w:val="0"/>
              <w:spacing w:before="0" w:after="283"/>
              <w:jc w:val="left"/>
              <w:rPr>
                <w:sz w:val="16"/>
              </w:rPr>
            </w:pPr>
            <w:r>
              <w:rPr>
                <w:sz w:val="16"/>
              </w:rPr>
              <w:t>6[e]</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Restructuring and other charges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81  6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left"/>
              <w:rPr>
                <w:sz w:val="16"/>
              </w:rPr>
            </w:pPr>
            <w:r>
              <w:rPr>
                <w:sz w:val="16"/>
              </w:rPr>
              <w:t>[a][3]</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 asset impairment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6[h]</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operating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80" w:type="dxa"/>
            <w:tcBorders/>
            <w:shd w:fill="FFFFFF" w:val="clear"/>
            <w:vAlign w:val="center"/>
          </w:tcPr>
          <w:p>
            <w:pPr>
              <w:pStyle w:val="TableContents"/>
              <w:bidi w:val="0"/>
              <w:spacing w:before="0" w:after="283"/>
              <w:jc w:val="left"/>
              <w:rPr>
                <w:sz w:val="16"/>
              </w:rPr>
            </w:pPr>
            <w:r>
              <w:rPr>
                <w:sz w:val="16"/>
              </w:rPr>
              <w:t>)</w:t>
            </w:r>
          </w:p>
        </w:tc>
        <w:tc>
          <w:tcPr>
            <w:tcW w:w="410" w:type="dxa"/>
            <w:tcBorders/>
            <w:shd w:fill="FFFFFF" w:val="clear"/>
            <w:vAlign w:val="center"/>
          </w:tcPr>
          <w:p>
            <w:pPr>
              <w:pStyle w:val="TableContents"/>
              <w:bidi w:val="0"/>
              <w:spacing w:before="0" w:after="283"/>
              <w:jc w:val="left"/>
              <w:rPr>
                <w:sz w:val="16"/>
              </w:rPr>
            </w:pPr>
            <w:r>
              <w:rPr>
                <w:sz w:val="16"/>
              </w:rPr>
              <w:t>6[a][3]</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2,008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288</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0"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6[d][2]</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(92 </w:t>
            </w:r>
          </w:p>
        </w:tc>
        <w:tc>
          <w:tcPr>
            <w:tcW w:w="125"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sz w:val="16"/>
              </w:rPr>
            </w:pPr>
            <w:r>
              <w:rPr>
                <w:sz w:val="16"/>
              </w:rPr>
              <w:t>6[d][1]</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(164</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w:t>
            </w:r>
          </w:p>
        </w:tc>
        <w:tc>
          <w:tcPr>
            <w:tcW w:w="1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196</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(40 </w:t>
            </w:r>
          </w:p>
        </w:tc>
        <w:tc>
          <w:tcPr>
            <w:tcW w:w="80" w:type="dxa"/>
            <w:tcBorders/>
            <w:shd w:fill="FFFFFF" w:val="clear"/>
            <w:vAlign w:val="center"/>
          </w:tcPr>
          <w:p>
            <w:pPr>
              <w:pStyle w:val="TableContents"/>
              <w:bidi w:val="0"/>
              <w:spacing w:before="0" w:after="283"/>
              <w:jc w:val="left"/>
              <w:rPr>
                <w:sz w:val="16"/>
              </w:rPr>
            </w:pPr>
            <w:r>
              <w:rPr>
                <w:sz w:val="16"/>
              </w:rPr>
              <w:t>)</w:t>
            </w:r>
          </w:p>
        </w:tc>
        <w:tc>
          <w:tcPr>
            <w:tcW w:w="404" w:type="dxa"/>
            <w:tcBorders/>
            <w:shd w:fill="FFFFFF" w:val="clear"/>
            <w:vAlign w:val="center"/>
          </w:tcPr>
          <w:p>
            <w:pPr>
              <w:pStyle w:val="TableContents"/>
              <w:bidi w:val="0"/>
              <w:spacing w:before="0" w:after="283"/>
              <w:jc w:val="left"/>
              <w:rPr>
                <w:sz w:val="16"/>
              </w:rPr>
            </w:pPr>
            <w:r>
              <w:rPr>
                <w:sz w:val="16"/>
              </w:rPr>
              <w:t>6[f]</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125" w:type="dxa"/>
            <w:tcBorders/>
            <w:shd w:fill="FFFFFF" w:val="clear"/>
            <w:vAlign w:val="center"/>
          </w:tcPr>
          <w:p>
            <w:pPr>
              <w:pStyle w:val="TableContents"/>
              <w:bidi w:val="0"/>
              <w:spacing w:before="0" w:after="283"/>
              <w:jc w:val="left"/>
              <w:rPr>
                <w:sz w:val="16"/>
              </w:rPr>
            </w:pPr>
            <w:r>
              <w:rPr>
                <w:sz w:val="16"/>
              </w:rPr>
              <w:t>) </w:t>
            </w:r>
          </w:p>
        </w:tc>
        <w:tc>
          <w:tcPr>
            <w:tcW w:w="404" w:type="dxa"/>
            <w:tcBorders/>
            <w:shd w:fill="FFFFFF" w:val="clear"/>
            <w:vAlign w:val="center"/>
          </w:tcPr>
          <w:p>
            <w:pPr>
              <w:pStyle w:val="TableContents"/>
              <w:bidi w:val="0"/>
              <w:spacing w:before="0" w:after="283"/>
              <w:jc w:val="left"/>
              <w:rPr>
                <w:sz w:val="16"/>
              </w:rPr>
            </w:pPr>
            <w:r>
              <w:rPr>
                <w:sz w:val="16"/>
              </w:rPr>
              <w:t>6[f]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04"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w:t>
            </w:r>
          </w:p>
        </w:tc>
        <w:tc>
          <w:tcPr>
            <w:tcW w:w="125" w:type="dxa"/>
            <w:tcBorders/>
            <w:shd w:fill="CCEEFF" w:val="clear"/>
            <w:vAlign w:val="center"/>
          </w:tcPr>
          <w:p>
            <w:pPr>
              <w:pStyle w:val="TableContents"/>
              <w:bidi w:val="0"/>
              <w:spacing w:before="0" w:after="283"/>
              <w:jc w:val="left"/>
              <w:rPr>
                <w:sz w:val="16"/>
              </w:rPr>
            </w:pPr>
            <w:r>
              <w:rPr>
                <w:sz w:val="16"/>
              </w:rPr>
              <w:t>)</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0.72</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0.71</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24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sz w:val="16"/>
              </w:rPr>
            </w:pPr>
            <w:r>
              <w:rPr>
                <w:sz w:val="16"/>
              </w:rPr>
              <w:t>8 </w:t>
            </w:r>
          </w:p>
        </w:tc>
        <w:tc>
          <w:tcPr>
            <w:tcW w:w="11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w:t>
            </w:r>
          </w:p>
        </w:tc>
        <w:tc>
          <w:tcPr>
            <w:tcW w:w="99" w:type="dxa"/>
            <w:tcBorders/>
            <w:shd w:fill="FFFFFF" w:val="clear"/>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sz w:val="16"/>
              </w:rPr>
            </w:pPr>
            <w:r>
              <w:rPr>
                <w:sz w:val="16"/>
              </w:rPr>
              <w:t>8</w:t>
            </w:r>
          </w:p>
        </w:tc>
        <w:tc>
          <w:tcPr>
            <w:tcW w:w="11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236</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6"/>
        <w:gridCol w:w="60"/>
        <w:gridCol w:w="229"/>
        <w:gridCol w:w="892"/>
        <w:gridCol w:w="80"/>
        <w:gridCol w:w="60"/>
        <w:gridCol w:w="129"/>
        <w:gridCol w:w="1136"/>
        <w:gridCol w:w="80"/>
        <w:gridCol w:w="60"/>
        <w:gridCol w:w="110"/>
        <w:gridCol w:w="1280"/>
        <w:gridCol w:w="80"/>
        <w:gridCol w:w="341"/>
        <w:gridCol w:w="211"/>
        <w:gridCol w:w="679"/>
        <w:gridCol w:w="80"/>
        <w:gridCol w:w="348"/>
        <w:gridCol w:w="211"/>
        <w:gridCol w:w="679"/>
        <w:gridCol w:w="80"/>
        <w:gridCol w:w="348"/>
        <w:gridCol w:w="200"/>
        <w:gridCol w:w="777"/>
        <w:gridCol w:w="99"/>
      </w:tblGrid>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977"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Skyworks</w:t>
              <w:br/>
              <w:t>Solutions,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Qorvo,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pPr>
            <w:r>
              <w:rPr/>
              <w:t> </w:t>
            </w:r>
            <w:r>
              <w:rPr>
                <w:b/>
                <w:sz w:val="16"/>
              </w:rPr>
              <w:t>Reclassification</w:t>
            </w:r>
          </w:p>
        </w:tc>
        <w:tc>
          <w:tcPr>
            <w:tcW w:w="8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Merger</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b/>
                <w:sz w:val="16"/>
              </w:rPr>
            </w:pPr>
            <w:r>
              <w:rPr>
                <w:b/>
                <w:sz w:val="16"/>
              </w:rPr>
              <w:t>Financing</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br/>
              <w:t>Combined 6[i]</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October 3,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Twelve Months </w:t>
              <w:br/>
              <w:t xml:space="preserve">Ended </w:t>
              <w:br/>
              <w:t>September 27,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48"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br/>
              <w:t>accounting</w:t>
              <w:br/>
              <w:t>adjustments</w:t>
            </w:r>
          </w:p>
        </w:tc>
        <w:tc>
          <w:tcPr>
            <w:tcW w:w="8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center"/>
              <w:rPr>
                <w:caps w:val="false"/>
                <w:smallCaps w:val="false"/>
              </w:rPr>
            </w:pPr>
            <w:r>
              <w:rPr>
                <w:caps w:val="false"/>
                <w:smallCaps w:val="false"/>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October 3,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revenue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6"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16"/>
              </w:rPr>
            </w:pPr>
            <w:r>
              <w:rPr>
                <w:sz w:val="16"/>
              </w:rPr>
              <w:t>$</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7,750</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goods sold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4,936</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262</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6[g]</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2,814</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6[a][1]</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6[c]</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924</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6[a][2]</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6[b]</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Marketing and selling</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6[a][1]</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6[a][2]</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Amortization of intangibles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6[e]</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Restructuring and other charges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6[a][3]</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 asset impairment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6[h]</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operating expense</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6[a][3]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2,763</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income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6[d][2]</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6[d][1]</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6[f]</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6[f]</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Earnings (loss) per share: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(0.10</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(0.10</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Weighted average shares: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sz w:val="16"/>
              </w:rPr>
            </w:pPr>
            <w:r>
              <w:rPr>
                <w:sz w:val="16"/>
              </w:rPr>
              <w:t>8 </w:t>
            </w:r>
          </w:p>
        </w:tc>
        <w:tc>
          <w:tcPr>
            <w:tcW w:w="21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w:t>
            </w:r>
          </w:p>
        </w:tc>
        <w:tc>
          <w:tcPr>
            <w:tcW w:w="99" w:type="dxa"/>
            <w:tcBorders/>
            <w:shd w:fill="FFFFFF" w:val="clear"/>
            <w:vAlign w:val="center"/>
          </w:tcPr>
          <w:p>
            <w:pPr>
              <w:pStyle w:val="TableContents"/>
              <w:bidi w:val="0"/>
              <w:spacing w:before="0" w:after="283"/>
              <w:jc w:val="left"/>
              <w:rPr/>
            </w:pPr>
            <w:r>
              <w:rPr/>
              <w:t> </w:t>
            </w:r>
          </w:p>
        </w:tc>
      </w:tr>
      <w:tr>
        <w:trPr/>
        <w:tc>
          <w:tcPr>
            <w:tcW w:w="19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sz w:val="16"/>
              </w:rPr>
            </w:pPr>
            <w:r>
              <w:rPr>
                <w:sz w:val="16"/>
              </w:rPr>
              <w:t>8</w:t>
            </w:r>
          </w:p>
        </w:tc>
        <w:tc>
          <w:tcPr>
            <w:tcW w:w="21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9"/>
        <w:gridCol w:w="60"/>
        <w:gridCol w:w="213"/>
        <w:gridCol w:w="827"/>
        <w:gridCol w:w="80"/>
        <w:gridCol w:w="60"/>
        <w:gridCol w:w="196"/>
        <w:gridCol w:w="766"/>
        <w:gridCol w:w="60"/>
        <w:gridCol w:w="60"/>
        <w:gridCol w:w="273"/>
        <w:gridCol w:w="872"/>
        <w:gridCol w:w="95"/>
        <w:gridCol w:w="394"/>
        <w:gridCol w:w="60"/>
        <w:gridCol w:w="230"/>
        <w:gridCol w:w="660"/>
        <w:gridCol w:w="95"/>
        <w:gridCol w:w="256"/>
        <w:gridCol w:w="60"/>
        <w:gridCol w:w="182"/>
        <w:gridCol w:w="708"/>
        <w:gridCol w:w="60"/>
        <w:gridCol w:w="230"/>
        <w:gridCol w:w="60"/>
        <w:gridCol w:w="158"/>
        <w:gridCol w:w="691"/>
        <w:gridCol w:w="90"/>
      </w:tblGrid>
      <w:tr>
        <w:trPr/>
        <w:tc>
          <w:tcPr>
            <w:tcW w:w="270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Historical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Skyworks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Reclassification</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Merger</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Financing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 </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Solutions,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Qorvo, Inc.</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transaction </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Combined</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w:t>
            </w:r>
          </w:p>
        </w:tc>
        <w:tc>
          <w:tcPr>
            <w:tcW w:w="90" w:type="dxa"/>
            <w:tcBorders/>
            <w:vAlign w:val="center"/>
          </w:tcPr>
          <w:p>
            <w:pPr>
              <w:pStyle w:val="TableContents"/>
              <w:bidi w:val="0"/>
              <w:spacing w:before="0" w:after="283"/>
              <w:ind w:left="0" w:right="0" w:hanging="180"/>
              <w:jc w:val="center"/>
              <w:rPr/>
            </w:pPr>
            <w:r>
              <w:rPr/>
              <w:t> </w:t>
            </w:r>
          </w:p>
        </w:tc>
      </w:tr>
      <w:tr>
        <w:trPr/>
        <w:tc>
          <w:tcPr>
            <w:tcW w:w="2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July 3, 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June 27,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9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July 3, 2026</w:t>
            </w:r>
          </w:p>
        </w:tc>
        <w:tc>
          <w:tcPr>
            <w:tcW w:w="90" w:type="dxa"/>
            <w:tcBorders/>
            <w:vAlign w:val="center"/>
          </w:tcPr>
          <w:p>
            <w:pPr>
              <w:pStyle w:val="TableContents"/>
              <w:bidi w:val="0"/>
              <w:spacing w:before="0" w:after="283"/>
              <w:ind w:left="0" w:right="0" w:hanging="360"/>
              <w:jc w:val="center"/>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2"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gridSpan w:val="2"/>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(2,867</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1,239</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Receivables, net of allowances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276</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sz w:val="16"/>
              </w:rPr>
            </w:pPr>
            <w:r>
              <w:rPr>
                <w:sz w:val="16"/>
              </w:rPr>
              <w:t>7</w:t>
            </w:r>
            <w:r>
              <w:rPr>
                <w:rFonts w:ascii="Times New Roman;Times;Serif" w:hAnsi="Times New Roman;Times;Serif"/>
                <w:sz w:val="16"/>
              </w:rPr>
              <w:t>[c]</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1,884</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receivables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(16</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7[a][2]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39</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sz w:val="16"/>
              </w:rPr>
              <w:t>16</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7[a][2]</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(2,591</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4,544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1,886</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49</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(2,353</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6,333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4,156</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4,322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3,643</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tax assets,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investments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7[a][5]</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36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long-term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7[a][5]</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assets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2,610</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17,961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payable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r>
              <w:rPr>
                <w:rFonts w:ascii="Times New Roman;Times;Serif" w:hAnsi="Times New Roman;Times;Serif"/>
                <w:sz w:val="16"/>
              </w:rPr>
              <w:t xml:space="preserve">$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7[i]</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7[a][7]</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current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1,747</w:t>
            </w:r>
          </w:p>
        </w:tc>
        <w:tc>
          <w:tcPr>
            <w:tcW w:w="90" w:type="dxa"/>
            <w:tcBorders/>
            <w:shd w:fill="CCEEFF" w:val="clear"/>
            <w:vAlign w:val="center"/>
          </w:tcPr>
          <w:p>
            <w:pPr>
              <w:pStyle w:val="TableContents"/>
              <w:bidi w:val="0"/>
              <w:spacing w:before="0" w:after="283"/>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debt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7[j]</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3,931</w:t>
            </w:r>
          </w:p>
        </w:tc>
        <w:tc>
          <w:tcPr>
            <w:tcW w:w="90" w:type="dxa"/>
            <w:tcBorders/>
            <w:shd w:fill="FFFFFF" w:val="clear"/>
            <w:vAlign w:val="center"/>
          </w:tcPr>
          <w:p>
            <w:pPr>
              <w:pStyle w:val="TableContents"/>
              <w:bidi w:val="0"/>
              <w:spacing w:before="0" w:after="283"/>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tax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7[a][8]</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757</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7[f]</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7[a][9]</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185</w:t>
            </w:r>
          </w:p>
        </w:tc>
        <w:tc>
          <w:tcPr>
            <w:tcW w:w="90" w:type="dxa"/>
            <w:tcBorders/>
            <w:shd w:fill="CCEEFF" w:val="clear"/>
            <w:vAlign w:val="center"/>
          </w:tcPr>
          <w:p>
            <w:pPr>
              <w:pStyle w:val="TableContents"/>
              <w:bidi w:val="0"/>
              <w:spacing w:before="0" w:after="283"/>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long-term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w:t>
            </w:r>
          </w:p>
        </w:tc>
        <w:tc>
          <w:tcPr>
            <w:tcW w:w="95"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7[a][8]</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7[i]</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w:t>
            </w:r>
          </w:p>
        </w:tc>
        <w:tc>
          <w:tcPr>
            <w:tcW w:w="95"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7[a][9]</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682</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6,823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36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Stockholders’ equity: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(3,345</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paid-in capital</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5,544</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7[b]</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5,764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5,319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2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95" w:type="dxa"/>
            <w:tcBorders/>
            <w:shd w:fill="FFFFFF" w:val="clear"/>
            <w:vAlign w:val="center"/>
          </w:tcPr>
          <w:p>
            <w:pPr>
              <w:pStyle w:val="TableContents"/>
              <w:bidi w:val="0"/>
              <w:spacing w:before="0" w:after="283"/>
              <w:jc w:val="left"/>
              <w:rPr/>
            </w:pPr>
            <w:r>
              <w:rPr/>
              <w:t>)</w:t>
            </w:r>
          </w:p>
        </w:tc>
        <w:tc>
          <w:tcPr>
            <w:tcW w:w="25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95" w:type="dxa"/>
            <w:tcBorders/>
            <w:shd w:fill="CCEEFF" w:val="clear"/>
            <w:vAlign w:val="center"/>
          </w:tcPr>
          <w:p>
            <w:pPr>
              <w:pStyle w:val="TableContents"/>
              <w:bidi w:val="0"/>
              <w:spacing w:before="0" w:after="283"/>
              <w:jc w:val="left"/>
              <w:rPr/>
            </w:pPr>
            <w:r>
              <w:rPr/>
              <w:t>)</w:t>
            </w:r>
          </w:p>
        </w:tc>
        <w:tc>
          <w:tcPr>
            <w:tcW w:w="25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7[k]</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7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stockholders’ equity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1,928</w:t>
            </w:r>
          </w:p>
        </w:tc>
        <w:tc>
          <w:tcPr>
            <w:tcW w:w="9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11,138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27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2,610</w:t>
            </w:r>
          </w:p>
        </w:tc>
        <w:tc>
          <w:tcPr>
            <w:tcW w:w="9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1,987</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17,961</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Skyworks, Qorvo, Merger Sub I and Merger Sub II entered into the Merger Agreement. Pursuant to the terms of the Merger Agreement, and subject to the satisfaction or waiver of the conditions specified therein, (a) Merger Sub I will merge with and into Qorvo, with Qorvo continuing as the Surviving Corporation, and (b) immediately following the First Merger and as the second step in a single integrated transaction with the First Merger, the Surviving Corporation will merge with and into Merger Sub II, with Merger Sub II continuing as the Surviving Company and a wholly-owned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“Effective Time”), each share of Qorvo common stock issued and outstanding immediately prior to the Effective Time, except for shares held by Skyworks or Qorvo, or their direct or indirect subsidiaries (other than, with respect to shares held by Skyworks, Qorvo, Merger Sub I, or Merger Sub II, shares held on behalf of third parties), will be converted automatically into the right to receive (i) 0.960 shares (the “Exchange Ratio”) of Skyworks common stock, without interest, and (ii) $32.50 in cash, without interest (the “Per Share Cash Amount”), subject to applicable withholding taxes (collectively,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on the basis that Skyworks, assuming receipt of the requisite regulatory approvals and completion of the Mergers, will account for the Mergers as a purchase of Qorvo using the acquisition method pursuant to Financial Accounting Standards Board (FASB) Accounting Standards Codification (ASC) 805, Business Combinations. Under the acquisition method, the assets and liabilities of Qorvo are recorded at their fair value at the effective time of the Mergers. In addition, the total consideration, measured at the market price at the Effective Time, is allocated to the tangible and intangible assets acquired and liabilities assumed. Fair value is defined in ASC 820, Fair Value Measurements,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requisite regulatory approvals are received, Skyworks will consolidate Qorvo prospectively.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to the Pro Forma Financial Statements are preliminary and have been made solely for the purpose of presenting the Pro Forma Financial Statements, which are necessary to comply with applicable disclosure and reporting requirements. The allocation of the estimated consideration is pending finalization of various estimates, inputs, and analyses. Since these Pro Forma Financial Statements were prepared based on preliminary estimates of consideration and fair values attributable to the purchase of Qorvo, the actual amounts eventually recorded for the purchase accounting, including the identifiable goodwill, may differ materially from the information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were prepared from and should be read in conjunction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Skyworks, as included in Skyworks’ Annual Report on Form 10-K for the fiscal year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Consolidated Financial Statements of Skyworks, as included in Skyworks’ Quarterly Report on Form 10-Q for the quarterly period ended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Consolidated Financial Statements of Qorvo for the fiscal years ended March 28, 2026 and March 29, 2025, as included in Qorvo’s Annual Report on Form 10-K for the fiscal years ended March 28, 2026 and March 29, 2025;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Unaudited Interim Condensed Consolidated Financial Statements of Qorvo for the quarterly periods ended June 27, 2026, September 27, 2025, and September 28, 2024, as included in Qorvo’s Quarterly Report on Form 10-Q for the quarterly periods ended June 27, 2026, September 27, 2025, and September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include adjustments necessary to be consistent with GAAP and in accordance with Regulation S-X Article 11. The Pro Forma Statements of Operations give effect to the Mergers as if they occurred on September 28, 2024. The Pro Forma Balance Sheet gives effect to the Mergers as if they had occurred on July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 costs, such as restructuring and integration charges. Under ASC 805, acquisition-related transaction costs (e.g., advisory, legal, valuation, and other professional fees) are not included as a component of consideration transferred but are accounted for as expenses in the periods in which the costs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are based on various adjustments and assumptions and are not necessarily indicative of what the combined statements of operations or financial position would have actually been had the transaction accounting adjustments been completed as of the dates indicated. Further, the Pro Forma Financial Statements do not purport to project the future financial position or results of operations of the Combined Company after the Mergers, which may differ materially and adversely from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Skyworks is not aware of any differences in accounting policies that would have a material impact on the Pro Forma Financial Statements. The known differences in classifications were included in the transaction accounting adjustments described in Notes 6 and 7 under the heading “Reclassification adjustments”. Following the Mergers, Skyworks will conduct a review of Qorvo’s accounting policies in an effort to determine if there are any material differences that require reclassification of Qorvo’s revenues, expenses, assets, or liabilities to conform with Skyworks’ accounting policies and classifications. As a result of that review, Skyworks may identify differences between the accounting policies and classifications of the two companies that, when conformed, could have a material impact on the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Estimate Of Consideration Expected To Be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described in Note 1 of these Pro Forma Financial Statements are anticipated to result in the following estimated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7610"/>
        <w:gridCol w:w="60"/>
        <w:gridCol w:w="60"/>
        <w:gridCol w:w="245"/>
        <w:gridCol w:w="60"/>
        <w:gridCol w:w="60"/>
        <w:gridCol w:w="125"/>
        <w:gridCol w:w="485"/>
        <w:gridCol w:w="75"/>
      </w:tblGrid>
      <w:tr>
        <w:trPr/>
        <w:tc>
          <w:tcPr>
            <w:tcW w:w="76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Transferred [a]:</w:t>
            </w:r>
          </w:p>
        </w:tc>
        <w:tc>
          <w:tcPr>
            <w:tcW w:w="60" w:type="dxa"/>
            <w:tcBorders/>
            <w:shd w:fill="CCEEFF" w:val="clear"/>
            <w:vAlign w:val="center"/>
          </w:tcPr>
          <w:p>
            <w:pPr>
              <w:pStyle w:val="TableContents"/>
              <w:bidi w:val="0"/>
              <w:spacing w:before="0" w:after="283"/>
              <w:jc w:val="left"/>
              <w:rPr/>
            </w:pPr>
            <w:r>
              <w:rPr/>
              <w:t> </w:t>
            </w:r>
          </w:p>
        </w:tc>
        <w:tc>
          <w:tcPr>
            <w:tcW w:w="3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cash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Skyworks common stock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assumed Qorvo equity awards attributable to pre-combination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cash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equity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estimated merger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are provided for general information, do not purport to be complete, and are qualified in their entirety by reference to the full text of the Merger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The total estimated merger consideration does not purport to represent the actual value of the Merger Consideration that will be received by Qorvo shareholders and employees after the Mergers are completed.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Skyworks common stock to be issued in the Mergers is estimated at $64.68 per share, which is the closing stock price on July 28, 2026, a date that was in reasonable proximity to the filing date of these Pro Forma Financial Statements. The actual value of the Merger Consideration will be based on the closing price of Skyworks common stock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Qorvo common stock was estimated at 88,221,633 based on the shares outstanding on July 21, 2026. The actual Merger Consideration will be based on the actual Qorvo common stock outstanding as of immediately prior to the closing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or decrease of 10% in the price of Skyworks common stock would cause approximately a $557 million increase or decrease in the estimated value of the total consideration, which would correspondingly increase or decrease the estimated value of goodwill.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Each share of Qorvo common stock outstanding will also receive $32.50 in cash, without interest, subject to applicable withholding taxes.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[c]</w:t>
            </w:r>
          </w:p>
        </w:tc>
        <w:tc>
          <w:tcPr>
            <w:tcW w:w="9886" w:type="dxa"/>
            <w:tcBorders/>
            <w:vAlign w:val="center"/>
          </w:tcPr>
          <w:p>
            <w:pPr>
              <w:pStyle w:val="TableContents"/>
              <w:bidi w:val="0"/>
              <w:spacing w:before="0" w:after="283"/>
              <w:jc w:val="both"/>
              <w:rPr/>
            </w:pPr>
            <w:r>
              <w:rPr/>
              <w:t>Each share of Qorvo common stock outstanding will receive 0.960 share of Skyworks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t>At the Effective Time, each outstanding Qorvo restricted stock unit (each, a “Qorvo RSU Award”) that is (A) vested but not yet settled as of immediately prior to the Effective Time, (B) by its terms becomes vested in all respects as a result of the occurrence of the Closing or (C) is held by a non-employee member of the Qorvo board of directors (“Qorvo Board”) as of immediately prior to the Effective Time (collectively, the “Accelerated Qorvo RSUs”), shall be cancelled in consideration for the right to receive (1) the Merger Consideration in respect of each share of Qorvo common stock that was subject to such Accelerated Qorvo RSU immediately prior to the Effective Time and (2) an amount in cash equal to all dividend equivalents, if any, accrued but unpaid as of the Effective Time with respect to each such Accelerated Qorvo RSU (collectively, the “Accelerated RSU Consideration”). The number of shares of Qorvo common stock subject to any Accelerated Qorvo RSUs that remains subject to performance-based vesting conditions as of immediately prior to the date on which the closing of the Mergers occurs (the “Closing Date”) (i.e., any Qorvo RSU Award for which the level of performance vesting has not yet been determined) shall be determined by assuming, in respect of such Qorvo RSU Award, achievement at target performance (except that such number for each holder with an individual agreement (each, an “Individual Agreement”) shall be determined by assuming achievement at the greater of (I) target performance and (II) actual performance as of immediately prior to the Effective Time as determined in good faith by the Compensation Committee of the Qorvo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Qorvo RSU Award that is outstanding immediately prior to the Effective Time, other than an Accelerated Qorvo RSU, without any action on the part of Skyworks, Qorvo or the holder thereof, shall be assumed by Skyworks and converted automatically into and become a restricted stock unit award covering shares of Skyworks Common Stock (each, an “Adjusted RSU Award”), on the same terms and conditions as were applicable under the Qorvo RSU Award as of immediately prior to the Effective Time (except as set forth in Section 3.2(a)(ii) of the Merger Agreement and other than performance-based vesting conditions, which shall not apply following the Effective Time, with dividend equivalents continuing to accrue in respect of such Adjusted RSU Awards and with all accrued dividend equivalents (whether accrued prior to, at or after the Effective Time) paid at the time that such Adjusted RSU Award is settled), except that the number of shares of Skyworks common stock subject to the Adjusted RSU Award as of the Effective Time will be determined by multiplying (A) the number of shares of Qorvo common stock subject to the corresponding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thereon (i.e., any Qorvo RSU Award for which the level of performance vesting has not yet been determined), shall be determined by assuming, in respect of such Qorvo RSU Award, achievement at target performance (except that such number for each holder with an Individual Agreement shall be determined by assuming achievement at the greater of (1) target performance and (2) actual performance as of immediately prior to the Effective Time as determined in good faith by the Compensation Committee of the Qorvo Board). In the event of a termination of employment of any holder of an Adjusted RSU Award by Skyworks, the Surviving Company or one of their affiliates without “cause” or by such holder with “good reason” (as defined in the applicable Qorvo Stock Plan or award agreement), in each case within the eighteen (18)-month period following the Closing Date, any such Adjusted RSU Award(s) held by such holder shall accelerate and vest in full. For the avoidance of doubt, any unpaid dividend equivalents accrued in respect of an Adjusted RSU Award shall be paid at such time as the Adjusted RSU Award vests and settles.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Qorvo equity awards attributable to pre-combination and post-combination service is estimated based on the ratio of the service period rendered as of July 21, 2026 to the total service period. The fair value of awards attributed to pre-combination service was recognized as a component of the purchase price. For the purpose of these Pro Forma Financial Statements, we assumed that all outstanding Qorvo RSU Awards and performance goals applicable to Qorvo RSU Awards that are subject to performance-based vesting conditions (each, a “Qorvo PBRSU Award”) on July 21, 2026, were outstanding at the effective time of the Mergers and each Qorvo PBRSU Award was converted to Skyworks stock unit awards based on the target level of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Qorvo’s outstanding equity awards, and certain of Skyworks’ outstanding equity awards, include a provision for acceleration of vesting in certain circumstances involving termination in connection with a change in control. No adjustments have been made to the Pro Forma Financial Statements as a result of this provision, as Skyworks cannot currently predict the nature and extent of terminations to be made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Estimate Of Assets To Be Acquired And Liabilities To Be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Qorvo’s identifiable assets acquired and liabilities assumed by Skyworks will be recorded at the acquisition date fair values and added to those of Skyworks. The pro forma adjustments are preliminary and based on estimates of the fair value and useful lives of the assets acquired and liabilities assumed and are prepared to illustrate the estimated effect of the transactions contemplated by the Merger Agreement (the “Transactions”). The final determination of the purchase price allocation will be completed as soon as practicable after the completion of the Transactions and will be based on the fair values of the assets acquired and liabilities assumed as of the Closing Date. The final amounts allocated to assets acquired and liabilities assumed could differ significantly from the amounts presented in the Pro Forma Financial Statements.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will change as a result of several factors, including the finalization of the fair value measurement of assets acquired and liabilities assumed. The following is a preliminary estimate of the assets to be acquired and the liabilities to be assumed by Skyworks at the effective time of the Mergers, reconciled to the preliminary Merger Consideration (in millions):</w:t>
      </w:r>
    </w:p>
    <w:p>
      <w:pPr>
        <w:pStyle w:val="TextBody"/>
        <w:bidi w:val="0"/>
        <w:spacing w:before="0" w:after="0"/>
        <w:ind w:left="0" w:right="0" w:hanging="0"/>
        <w:jc w:val="left"/>
        <w:rPr>
          <w:caps w:val="false"/>
          <w:smallCaps w:val="false"/>
        </w:rPr>
      </w:pPr>
      <w:r>
        <w:rPr>
          <w:caps w:val="false"/>
          <w:smallCaps w:val="false"/>
        </w:rPr>
        <w:t> </w:t>
      </w:r>
    </w:p>
    <w:tbl>
      <w:tblPr>
        <w:tblW w:w="6154" w:type="dxa"/>
        <w:jc w:val="left"/>
        <w:tblInd w:w="0" w:type="dxa"/>
        <w:tblLayout w:type="fixed"/>
        <w:tblCellMar>
          <w:top w:w="0" w:type="dxa"/>
          <w:left w:w="0" w:type="dxa"/>
          <w:bottom w:w="0" w:type="dxa"/>
          <w:right w:w="0" w:type="dxa"/>
        </w:tblCellMar>
      </w:tblPr>
      <w:tblGrid>
        <w:gridCol w:w="3740"/>
        <w:gridCol w:w="60"/>
        <w:gridCol w:w="60"/>
        <w:gridCol w:w="245"/>
        <w:gridCol w:w="60"/>
        <w:gridCol w:w="60"/>
        <w:gridCol w:w="341"/>
        <w:gridCol w:w="1493"/>
        <w:gridCol w:w="9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 of allowances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identifiable net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purchase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Balances represent the estimated fair value of tangible assets acquired and liabilities assumed. These estimates are based on a preliminary valuation performed as of July 3, 2026, and are subject to further review by management. See Note 7 below for a further explanation of the assumptions related to the fair value estimates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i/>
              </w:rPr>
              <w:t>Property, plant, and equipment, net</w:t>
            </w:r>
            <w:r>
              <w:rPr/>
              <w:t>—The carrying value of Qorvo’s property and equipment was used in the preliminary purchase price allocation, and no adjustments were made to the unaudited pro forma condensed combined balance sheet. Adjustments may be required when additional information is obtained and a more detailed review is performed over the fair value of property and equipment. The actual amounts recorded when the Mergers are completed may differ materially from the current book value of property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i/>
              </w:rPr>
              <w:t>Intangible assets, net</w:t>
            </w:r>
            <w:r>
              <w:rPr/>
              <w:t>—Estimated fair value as of the Pro Forma Balance Sheet date was comprised of (in millions):</w:t>
            </w:r>
          </w:p>
        </w:tc>
      </w:tr>
    </w:tbl>
    <w:p>
      <w:pPr>
        <w:pStyle w:val="TextBody"/>
        <w:bidi w:val="0"/>
        <w:spacing w:before="0" w:after="0"/>
        <w:ind w:left="0" w:right="0" w:hanging="0"/>
        <w:jc w:val="left"/>
        <w:rPr>
          <w:caps w:val="false"/>
          <w:smallCaps w:val="false"/>
        </w:rPr>
      </w:pPr>
      <w:r>
        <w:rPr>
          <w:caps w:val="false"/>
          <w:smallCaps w:val="false"/>
        </w:rPr>
        <w:t> </w:t>
      </w:r>
    </w:p>
    <w:tbl>
      <w:tblPr>
        <w:tblW w:w="6688" w:type="dxa"/>
        <w:jc w:val="left"/>
        <w:tblInd w:w="0" w:type="dxa"/>
        <w:tblLayout w:type="fixed"/>
        <w:tblCellMar>
          <w:top w:w="0" w:type="dxa"/>
          <w:left w:w="0" w:type="dxa"/>
          <w:bottom w:w="28" w:type="dxa"/>
          <w:right w:w="0" w:type="dxa"/>
        </w:tblCellMar>
      </w:tblPr>
      <w:tblGrid>
        <w:gridCol w:w="2495"/>
        <w:gridCol w:w="60"/>
        <w:gridCol w:w="379"/>
        <w:gridCol w:w="1455"/>
        <w:gridCol w:w="60"/>
        <w:gridCol w:w="60"/>
        <w:gridCol w:w="430"/>
        <w:gridCol w:w="1674"/>
        <w:gridCol w:w="75"/>
      </w:tblGrid>
      <w:tr>
        <w:trPr/>
        <w:tc>
          <w:tcPr>
            <w:tcW w:w="24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based intangibles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Customer-based intangibles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i/>
              </w:rPr>
              <w:t>Estimated Goodwill</w:t>
            </w:r>
            <w:r>
              <w:rPr/>
              <w:t>—Represents the excess of the preliminary estimated Merger Consideration over the estimated fair value of the underlying net assets acquired. Goodwill will not be amortized but instead will be reviewed for impairment annually on the first day of the fourth fiscal quarter, or more frequently if facts and circumstances warrant a review. Goodwill is attributable to the assembled workforce of Qorvo, planned growth in new markets, and synergies expected to be achieved from the combined operations of Skyworks and Qorvo. Goodwill recognized in the Merger is not expected to be deductible for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 Forma Statement Of Operations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Statements of Operations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Revised the presentation of Qorvo’s marketing and selling expense in the amount of $148 million and $229 million to selling, general, and administrative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Revised the presentation of Qorvo’s general and administrative expense in the amount of $108 million and $167 million to selling, general, and administrative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283"/>
              <w:jc w:val="both"/>
              <w:rPr/>
            </w:pPr>
            <w:r>
              <w:rPr/>
              <w:t>Revised the presentation of Qorvo’s other operating expense in the amount of $81 million and $105 million to restructuring and other charges for the nine months ended June 27, 2026 and twelve months ended September 27,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i/>
              </w:rPr>
              <w:t>Retention cash bonuses</w:t>
            </w:r>
            <w:r>
              <w:rPr/>
              <w:t>—Related to the Mergers, Qorvo and Skyworks have each established retention cash bonus programs for its respective employees. While Skyworks’ retention program includes that grants to certain individuals, if any, will be in the form of equity, certain details of the plans have yet to be determined, and the entire program is assumed to be cash awards for purposes of the Pro Forma Financial Statements. For the purposes of the Pro Forma Statements of Operations, the compensation and benefits expense reflects the maximum amount payable under the retention cash bonus programs and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i/>
              </w:rPr>
              <w:t>Merger costs</w:t>
            </w:r>
            <w:r>
              <w:rPr/>
              <w:t>—Reflects the total estimated transaction costs for Skyworks that have not yet been recognized in the statement of operations for the twelve months ended October 3, 2025. Transaction costs are expensed as incurred and reflected as if incurred on September 28, 2024, and the date the Transactions are assumed to have been completed for the purposes of the Pro Forma Statements of Operations. This is a non-recurring item.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576"/>
        <w:gridCol w:w="8423"/>
      </w:tblGrid>
      <w:tr>
        <w:trPr/>
        <w:tc>
          <w:tcPr>
            <w:tcW w:w="2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pPr>
            <w:r>
              <w:rPr/>
              <w:t>[d]</w:t>
            </w:r>
          </w:p>
        </w:tc>
        <w:tc>
          <w:tcPr>
            <w:tcW w:w="8423" w:type="dxa"/>
            <w:tcBorders/>
            <w:vAlign w:val="center"/>
          </w:tcPr>
          <w:p>
            <w:pPr>
              <w:pStyle w:val="TableContents"/>
              <w:bidi w:val="0"/>
              <w:spacing w:before="0" w:after="283"/>
              <w:jc w:val="both"/>
              <w:rPr>
                <w:i/>
              </w:rPr>
            </w:pPr>
            <w:r>
              <w:rPr>
                <w:i/>
              </w:rPr>
              <w:t>Interest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For the purposes of these Pro Forma Financial Statements, we assume that a portion of the cash consideration will be funded through $2,000 million of new debt financing. The remaining cash consideration will be funded by cash accumulated through operating activities. The Pro Forma Statements of Operations assume that Skyworks funded the aforementioned portion of the cash consideration through the issuance of new debt as of September 28, 2024, at a reasonable interest rate of 6%, and total issuance costs of $13 million that will be amortized over the expected life of the debt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hypothetical increase or decrease of 0.125% in the assumed interest rate would result in a $3 million increase or decrease in the estimated annual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$1 billion of cash is accumulated before the Effective Time and the amount of debt used to cover the cash consideration is correspondingly reduced, assuming an interest rate of 6%, the estimated annual interest expense would decrease $60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both"/>
              <w:rPr/>
            </w:pPr>
            <w:r>
              <w:rPr/>
              <w:t>Represents costs incurred in connection with the exchange offers and related consent solicitations, pursuant to which Skyworks has offered to exchange each series of Qorvo’s outstanding senior notes for newly issued Skyworks senior notes having substantially similar terms. In connection with the exchange offers, Skyworks also commenced the solicitation of consents for proposed amendments to the applicable indenture governing each series of Qorvo’s outstanding senior notes. For the purposes of the Pro Forma Statements of Operations, the exchange offers and related consent solicitations are assumed to have been successfully completed in connection with the consummation of the Mergers. Issuance costs of $12 million are assumed to be amortized over the remaining weighted average term of the notes of approximately 4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Amortization expense</w:t>
            </w:r>
            <w:r>
              <w:rPr/>
              <w:t>—Represents the adjustment to record elimination of historical amortization expense and recognition of new amortization expense related to identifiable intangible assets based on the estimated fair value. Amortization expense is calculated based on the estimated fair value of each of the identifiable intangible assets and the associated estimated useful lives as discussed in Note 7(e) below, and is allocated between amortization of acquisition-related intangible assets – cost of goods sold and selling, general, and administrative expense based on the nature of activities associated with the intangible assets acquired.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i/>
              </w:rPr>
              <w:t>Provision for income taxes</w:t>
            </w:r>
            <w:r>
              <w:rPr/>
              <w:t>—The estimated transaction accounting adjustments to income tax benefit relates primarily to the decrease in income before income taxes in the statement of operations for the nine months ended July 3, 2026 and twelve months ended October 3, 2025, and the corresponding income tax benefit is recognized for the respective period presented. A blended statutory tax rate of approximately 15% is assumed for the amortization of intangible assets, a blended statutory tax rate of approximately 18% is assumed for inventory fair value adjustments, a tax rate of approximately 11% is assumed for the adjustment of historic goodwill impairment, and the US statutory tax rate of 21% is assumed for all other pro forma adjustments. The tax rate applied to the elimination of historical goodwill impairment is based on the historical disclosures regarding the tax impact of such impairments. The applicable blended statutory tax rates are based on the jurisdictions in which the assets are located and are not necessarily indicative of the effective tax rate of Skyworks following the transactions, which could be significantly different depending on post-acquisition activities, including the geographical mix of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918" w:type="dxa"/>
            <w:tcBorders/>
            <w:vAlign w:val="center"/>
          </w:tcPr>
          <w:p>
            <w:pPr>
              <w:pStyle w:val="TableContents"/>
              <w:bidi w:val="0"/>
              <w:spacing w:before="0" w:after="283"/>
              <w:jc w:val="both"/>
              <w:rPr/>
            </w:pPr>
            <w:r>
              <w:rPr>
                <w:i/>
              </w:rPr>
              <w:t>Amortization of inventory step-up</w:t>
            </w:r>
            <w:r>
              <w:rPr/>
              <w:t>—Based on estimated inventory turnover, the inventory step-up fair value adjustment was assumed to be amortized completely in the twelve months ended October 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[h]</w:t>
            </w:r>
          </w:p>
        </w:tc>
        <w:tc>
          <w:tcPr>
            <w:tcW w:w="9939" w:type="dxa"/>
            <w:tcBorders/>
            <w:vAlign w:val="center"/>
          </w:tcPr>
          <w:p>
            <w:pPr>
              <w:pStyle w:val="TableContents"/>
              <w:bidi w:val="0"/>
              <w:spacing w:before="0" w:after="283"/>
              <w:jc w:val="both"/>
              <w:rPr/>
            </w:pPr>
            <w:r>
              <w:rPr>
                <w:i/>
              </w:rPr>
              <w:t>Goodwill Impairment</w:t>
            </w:r>
            <w:r>
              <w:rPr/>
              <w:t>—Represents the elimination of historical goodwill impairment of $37 million and $48 million recorded by Qorvo during the nine months ended June 27, 2026 and twelve months ended September 27, 2025, respectively. Qorvo’s historical goodwill is eliminated and replaced with goodwill resulting from the preliminary purchase price allocation. Accordingly, the historical goodwill impairment charge is no longer applicable and has been eliminated.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i/>
              </w:rPr>
              <w:t>Anticipated benefits and transaction related charges</w:t>
            </w:r>
            <w:r>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post-transaction costs, such as restructuring and integration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 Forma Balance Sheet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i/>
              </w:rPr>
              <w:t>Reclassification adjustments</w:t>
            </w:r>
            <w:r>
              <w:rPr/>
              <w:t>—Certain reclassification transaction accounting adjustments were made to the Pro Forma Balance Sheet to make the presentation conform to the presentation adopted by Skyworks.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Reclassified Qorvo’s prepaid expenses to other current assets in the amount of $39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[2]</w:t>
            </w:r>
          </w:p>
        </w:tc>
        <w:tc>
          <w:tcPr>
            <w:tcW w:w="9882" w:type="dxa"/>
            <w:tcBorders/>
            <w:vAlign w:val="center"/>
          </w:tcPr>
          <w:p>
            <w:pPr>
              <w:pStyle w:val="TableContents"/>
              <w:bidi w:val="0"/>
              <w:spacing w:before="0" w:after="283"/>
              <w:jc w:val="both"/>
              <w:rPr/>
            </w:pPr>
            <w:r>
              <w:rPr/>
              <w:t>Reclassified Qorvo’s other receivables to other current assets in the amount of $16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283"/>
              <w:jc w:val="both"/>
              <w:rPr/>
            </w:pPr>
            <w:r>
              <w:rPr/>
              <w:t>Reclassified a portion of Qorvo’s other long-term assets to operating lease right-of-use assets in the amount of $49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283"/>
              <w:jc w:val="both"/>
              <w:rPr/>
            </w:pPr>
            <w:r>
              <w:rPr/>
              <w:t>Reclassified a portion of Qorvo’s other long-term assets to deferred tax assets, net in the amount of $139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[5]</w:t>
            </w:r>
          </w:p>
        </w:tc>
        <w:tc>
          <w:tcPr>
            <w:tcW w:w="9887" w:type="dxa"/>
            <w:tcBorders/>
            <w:vAlign w:val="center"/>
          </w:tcPr>
          <w:p>
            <w:pPr>
              <w:pStyle w:val="TableContents"/>
              <w:bidi w:val="0"/>
              <w:spacing w:before="0" w:after="283"/>
              <w:jc w:val="both"/>
              <w:rPr/>
            </w:pPr>
            <w:r>
              <w:rPr/>
              <w:t>Reclassified Qorvo’s long-term investments to other long-term assets in the amount of $15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[6]</w:t>
            </w:r>
          </w:p>
        </w:tc>
        <w:tc>
          <w:tcPr>
            <w:tcW w:w="9899" w:type="dxa"/>
            <w:tcBorders/>
            <w:vAlign w:val="center"/>
          </w:tcPr>
          <w:p>
            <w:pPr>
              <w:pStyle w:val="TableContents"/>
              <w:bidi w:val="0"/>
              <w:spacing w:before="0" w:after="283"/>
              <w:jc w:val="both"/>
              <w:rPr/>
            </w:pPr>
            <w:r>
              <w:rPr/>
              <w:t>Reclassified a portion of Qorvo’s accrued liabilities to accrued compensation and benefits in the amount of $105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[7]</w:t>
            </w:r>
          </w:p>
        </w:tc>
        <w:tc>
          <w:tcPr>
            <w:tcW w:w="9899" w:type="dxa"/>
            <w:tcBorders/>
            <w:vAlign w:val="center"/>
          </w:tcPr>
          <w:p>
            <w:pPr>
              <w:pStyle w:val="TableContents"/>
              <w:bidi w:val="0"/>
              <w:spacing w:before="0" w:after="283"/>
              <w:jc w:val="both"/>
              <w:rPr/>
            </w:pPr>
            <w:r>
              <w:rPr/>
              <w:t>Reclassified the remaining portion of Qorvo’s accrued liabilities to other current liabilities in the amount of $109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[8]</w:t>
            </w:r>
          </w:p>
        </w:tc>
        <w:tc>
          <w:tcPr>
            <w:tcW w:w="9896" w:type="dxa"/>
            <w:tcBorders/>
            <w:vAlign w:val="center"/>
          </w:tcPr>
          <w:p>
            <w:pPr>
              <w:pStyle w:val="TableContents"/>
              <w:bidi w:val="0"/>
              <w:spacing w:before="0" w:after="283"/>
              <w:jc w:val="both"/>
              <w:rPr/>
            </w:pPr>
            <w:r>
              <w:rPr/>
              <w:t>Reclassified a portion of Qorvo’s other long-term liabilities to long-term tax liabilities in the amount of $95 million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[9]</w:t>
            </w:r>
          </w:p>
        </w:tc>
        <w:tc>
          <w:tcPr>
            <w:tcW w:w="9901" w:type="dxa"/>
            <w:tcBorders/>
            <w:vAlign w:val="center"/>
          </w:tcPr>
          <w:p>
            <w:pPr>
              <w:pStyle w:val="TableContents"/>
              <w:bidi w:val="0"/>
              <w:spacing w:before="0" w:after="283"/>
              <w:jc w:val="both"/>
              <w:rPr/>
            </w:pPr>
            <w:r>
              <w:rPr/>
              <w:t>Reclassified a portion of Qorvo’s other long-term liabilities to long-term operating lease liabilities in the amount of $37 million as of July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i/>
              </w:rPr>
              <w:t>Consideration</w:t>
            </w:r>
            <w:r>
              <w:rPr/>
              <w:t>—Represents the total Merger Consideration of $8,433 million, consisting of (i) cash consideration of $2,867 million, (ii) issuance of approximately 84,700,000 shares of Skyworks common stock with an estimated fair value of $5,478 million, and (iii) issuance of approximately 1,355,000 Skyworks restricted stock unit awards with an estimated fair value of $88 million attributable to pre-combination services. The calculation of preliminary Merger Consideration is based on 88,221,633 shares of Qorvo common stock outstanding as of July 21,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i/>
              </w:rPr>
              <w:t>Inventory</w:t>
            </w:r>
            <w:r>
              <w:rPr/>
              <w:t>—Raw material inventory is measured at fair value (current replacement cost), which is estimated to be the current carrying value. Work-in-process inventory is estimated at the fair market value, which is the estimated selling price less the sum of (a) costs to complete the manufacturing process, (b) costs of selling effort, and (c) a reasonable profit margin for the completion of the manufacturing process and selling effort. Finished goods inventory is estimated at the fair market value, which is the estimated selling price less the sum of (a) costs of selling effort, and (b) a reasonable profit margin for the selling effort.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i/>
              </w:rPr>
              <w:t>Goodwill</w:t>
            </w:r>
            <w:r>
              <w:rPr/>
              <w:t>—Represents the adjustment to eliminate Qorvo’s historical goodwill balance and estimate the goodwill value acquired in the transaction based on the preliminary purchase price allocation, as further described in Note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i/>
              </w:rPr>
              <w:t>Intangible assets, net</w:t>
            </w:r>
            <w:r>
              <w:rPr/>
              <w:t>—Represents the adjustments to eliminate Qorvo’s historical net intangible assets carrying value and estimate the fair value of intangible assets acquired in the Transactions. Preliminary identifiable intangible assets in the Pro Forma Financial Statements are provided in the table above. The amortization related to these identifiable intangible assets is reflected as a transaction adjustment in the Pro Forma Statements of Operations, as further described in Note 5. The identifiable intangible assets and related amortization are preliminary and are based on management’s estimates after consideration of similar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pPr>
            <w:r>
              <w:rPr>
                <w:i/>
              </w:rPr>
              <w:t>Deferred income taxes</w:t>
            </w:r>
            <w:r>
              <w:rPr/>
              <w:t>—Represents the adjustment to the deferred tax assets and the deferred tax liability balance associated with the incremental differences in the book and tax basis created from the preliminary purchase price allocation, primarily resulting from the preliminary fair value of intangible assets. Deferred taxes are established based on a blended statutory tax rate based on jurisdiction where income is generated. The effective tax rate of Skyworks following the Transactions could be significantly different (even higher or lower) depending on post-acquisition activities, including the geographical mix of income. This determination is preliminary and subject to change based upon the final determination of the closing date fair value, primarily of the identifiable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i/>
              </w:rPr>
              <w:t>Merger costs</w:t>
            </w:r>
            <w:r>
              <w:rPr/>
              <w:t>—A transaction accounting adjustment was made for the estimated $116 million in merger costs to be incurred by Skyworks. The adjustment was assumed to be recorded in accounts payable as of July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[h]</w:t>
            </w:r>
          </w:p>
        </w:tc>
        <w:tc>
          <w:tcPr>
            <w:tcW w:w="9944" w:type="dxa"/>
            <w:tcBorders/>
            <w:vAlign w:val="center"/>
          </w:tcPr>
          <w:p>
            <w:pPr>
              <w:pStyle w:val="TableContents"/>
              <w:bidi w:val="0"/>
              <w:spacing w:before="0" w:after="283"/>
              <w:jc w:val="both"/>
              <w:rPr/>
            </w:pPr>
            <w:r>
              <w:rPr>
                <w:i/>
              </w:rPr>
              <w:t>Retention cash bonuses</w:t>
            </w:r>
            <w:r>
              <w:rPr/>
              <w:t>—Related to the Mergers, Skyworks and Qorvo have each established retention cash bonus programs for its respective employees. While Skyworks’ retention program includes that grants to certain individuals, if any, will be in the form of equity, certain details of the programs have yet to be determined, and the entire program is assumed to be cash awards for purposes of the pro forma financial statements. Awards under Skyworks’ program vest 50% at closing and 50% six months thereafter, and awards under Qorvo’s program vest 60% at closing and 40% six months thereafter. For the purposes of this Pro Forma Balance Sheet, the accrued compensation and benefits reflects the maximum amount payable under the retention bonus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i/>
              </w:rPr>
              <w:t>Deferred compensation</w:t>
            </w:r>
            <w:r>
              <w:rPr/>
              <w:t xml:space="preserve">—Qorvo has a non-qualified deferred compensation plan that requires a lump-sum payout upon change in control at the election of the eligible employees and members of the Qorvo’s board. The </w:t>
            </w:r>
            <w:r>
              <w:rPr>
                <w:i/>
              </w:rPr>
              <w:t>Transaction Accounting</w:t>
            </w:r>
            <w:r>
              <w:rPr/>
              <w:t xml:space="preserve"> adjustment of $19 million relates to the portion of deferred compensation obligation that is being paid out as a result of the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283"/>
              <w:jc w:val="both"/>
              <w:rPr/>
            </w:pPr>
            <w:r>
              <w:rPr/>
              <w:t>Debt—Represents the net adjustment to the estimated fair value of Qorvo’s senior notes assumed in connection with the transactions, as well as costs incurred in connection with the exchange offers as mentioned in note 6[d][2], based on the aggregate principal amount of such senior notes as of August 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[k]</w:t>
            </w:r>
          </w:p>
        </w:tc>
        <w:tc>
          <w:tcPr>
            <w:tcW w:w="9889" w:type="dxa"/>
            <w:tcBorders/>
            <w:vAlign w:val="center"/>
          </w:tcPr>
          <w:p>
            <w:pPr>
              <w:pStyle w:val="TableContents"/>
              <w:bidi w:val="0"/>
              <w:spacing w:before="0" w:after="283"/>
              <w:jc w:val="both"/>
              <w:rPr/>
            </w:pPr>
            <w:r>
              <w:rPr>
                <w:i/>
              </w:rPr>
              <w:t>Historical shareholders’ equity</w:t>
            </w:r>
            <w:r>
              <w:rPr/>
              <w:t>—The historical shareholder’s equity of Qorvo will be eliminated as part of the Mergers.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[l]</w:t>
            </w:r>
          </w:p>
        </w:tc>
        <w:tc>
          <w:tcPr>
            <w:tcW w:w="10000" w:type="dxa"/>
            <w:tcBorders/>
            <w:vAlign w:val="center"/>
          </w:tcPr>
          <w:p>
            <w:pPr>
              <w:pStyle w:val="TableContents"/>
              <w:bidi w:val="0"/>
              <w:spacing w:before="0" w:after="283"/>
              <w:jc w:val="both"/>
              <w:rPr/>
            </w:pPr>
            <w:r>
              <w:rPr/>
              <w:t>Debt—For the purposes of these Pro Forma Financial Statements, we assume that a portion of the cash consideration will be funded through $2,000 million of new debt financing. The remaining cash consideration will be funded through cash accumulated through cash provided by operating activities. The financing transaction adjustment, which includes issuance and liability management costs of $13 million assumed to be paid in cash, was assumed to be recorded on July 3, 2026, for this Pro Forma Balance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 Forma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basic and diluted earnings per share for the periods presented are based on the combined weighted average basic and diluted common stock of Skyworks and Qorvo. As of the beginning of the periods presented, the historical weighted average basic and diluted shares of Qorvo were assumed to be replaced by the common stock issued and share settlement of stock-based compensation by Skyworks at the effective time of the Mergers as discussed in Note 4. The number of issued and outstanding shares of Qorvo common stock was estimated at 88,221,633 based on the shares outstanding on July 21, 2026. Each share of Qorvo common stock outstanding will receive 0.96 share of Skyworks common stock, yielding a pro forma adjustment of 84,692,768 shares of 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14825</Words>
  <Characters>81924</Characters>
  <CharactersWithSpaces>99401</CharactersWithSpaces>
  <Paragraphs>6304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