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Skyworks Solutions,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001-05560</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5260 California Avenue</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Irvine, CA 92617</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(949) 231-3000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20" w:hanging="51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8"/>
        <w:spacing w:after="0" w:line="498" w:lineRule="auto"/>
        <w:tabs>
          <w:tab w:leader="none" w:pos="47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$0.25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SWKS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Offers and Consent Solicitations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May 20, 2026, Skyworks Solutions, Inc. (“Skyworks”) issued a press release announcing that, in connection with the anticipated transactions pursuant to which Qorvo, Inc. (“Qorvo”) will merge with and into a subsidiary of Skyworks (the “Mergers”), with such subsidiary continuing as the surviving entity and a wholly-owned subsidiary of Skyworks, the Company has commenced offers to exchange (the “Exchange Offers”) any and all of the outstanding 4.375% Senior Notes due 2029 issued by Qorvo (the “2029 Qorvo Notes”) and any and all of the outstanding 3.375% Senior Notes due 2031 issued by Qorvo (the “2031 Qorvo Notes” and, together with the 2029 Qorvo Notes, the “Qorvo Notes”) for, respectively, (x) up to $850 million aggregate principal amount of new 4.375% Senior Notes due 2029 issued by Skyworks or (y) up to $700 million aggregate principal amount of new 3.375% Senior Notes due 2031 issued by Skyworks. In conjunction with the Exchange Offers, Skyworks, on behalf of Qorvo, is soliciting consents (the “Consent Solicitations”) for proposed amendments to the applicable indenture governing each series of Qorvo Notes in exchange for the applicable consent payment. The Exchange Offers and Consent Solicitations are subject to the satisfaction or, where permitted, waiver of certain conditions, including the completion of the Mergers, as set forth in a Registration Statement on Form S-4 as further described in the press release. A copy of the press release is attached hereto as Exhibit 99.1 and is incorporated into this Item 8.01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This communication includes “forward-looking statements.” Forward-looking statements relate to future events, including, but not limited to, the Exchange Offers, the Consent Solicitations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firstLine="648"/>
        <w:spacing w:after="0" w:line="251" w:lineRule="auto"/>
        <w:rPr>
          <w:sz w:val="20"/>
          <w:szCs w:val="20"/>
          <w:color w:val="auto"/>
        </w:rPr>
      </w:pPr>
      <w:r>
        <w:rPr>
          <w:rFonts w:ascii="Times New Roman" w:cs="Times New Roman" w:eastAsia="Times New Roman" w:hAnsi="Times New Roman"/>
          <w:sz w:val="18"/>
          <w:szCs w:val="18"/>
          <w:color w:val="auto"/>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proposed merger transactions with Qorvo; the possibility that expected benefits related to such transactions with Qorvo may not materialize as expected; such transactions with Qorvo being timely completed, if completed at all; regulatory approvals required for the transaction not being timely obtained, if obtained at all, or being obtained subject to conditions; Skyworks or Qorvo’s business experiencing disruptions as a result of the acquisition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including with respect to any related litigation; reduced flexibility in operating Skyworks’ business as a result of the indebtedness incurred in connection with the transaction with Silicon Laboratories Inc. and the substantial amount of additional indebtedness Skyworks expects to incur in connection with the Qorvo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spacing w:after="0" w:line="19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communication are made only as of the date hereof, and Skyworks undertakes no obligation to update or revise the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Mergers and Where to Find It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spacing w:after="0" w:line="3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38"/>
        </w:trPr>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5"/>
              </w:rPr>
              <w:t>99.</w:t>
            </w:r>
            <w:r>
              <w:rPr>
                <w:rFonts w:ascii="Times New Roman" w:cs="Times New Roman" w:eastAsia="Times New Roman" w:hAnsi="Times New Roman"/>
                <w:sz w:val="18"/>
                <w:szCs w:val="18"/>
                <w:b w:val="1"/>
                <w:bCs w:val="1"/>
                <w:u w:val="single" w:color="auto"/>
                <w:color w:val="0000EE"/>
                <w:w w:val="95"/>
              </w:rPr>
              <w:t>1</w:t>
            </w:r>
          </w:p>
        </w:tc>
        <w:tc>
          <w:tcPr>
            <w:tcW w:w="360" w:type="dxa"/>
            <w:vAlign w:val="bottom"/>
          </w:tcPr>
          <w:p>
            <w:pPr>
              <w:spacing w:after="0"/>
              <w:rPr>
                <w:sz w:val="24"/>
                <w:szCs w:val="24"/>
                <w:color w:val="auto"/>
              </w:rPr>
            </w:pPr>
          </w:p>
        </w:tc>
        <w:tc>
          <w:tcPr>
            <w:tcW w:w="105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EE"/>
              </w:rPr>
              <w:t>Registrant’s Press Release dated May 20, 2026</w:t>
            </w: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bl>
    <w:p>
      <w:pPr>
        <w:spacing w:after="0" w:line="225"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 2026</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Skyworks Solutions,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By: /s/ Philip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Name: Philip Carter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Title: 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14500"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Relations:</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Constance Griffiths</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 Gill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(949) 230-4867</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 508-0973</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Constance.Griffiths@skyworksinc.com</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Raji.Gill@skyworksinc.com</w:t>
            </w: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Skyworks Commences Exchange Offers and Consent Solicitations for Qorvo’s Senior Notes due 2029 and 2031</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IRVINE, Calif., May 20, 2026 </w:t>
      </w:r>
      <w:r>
        <w:rPr>
          <w:rFonts w:ascii="Times New Roman" w:cs="Times New Roman" w:eastAsia="Times New Roman" w:hAnsi="Times New Roman"/>
          <w:sz w:val="18"/>
          <w:szCs w:val="18"/>
          <w:color w:val="auto"/>
        </w:rPr>
        <w:t>– Skyworks Solutions, Inc. (Nasdaq: SWKS) (“Skyworks”), a leading developer, manufacturer and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analog and mixed-signal semiconductors and solutions for numerous applications, today announced that, in connection with its anticipated acquisition of Qorvo, Inc. (“Qorvo”), Skyworks has commenced offers to holders of Qorvo Notes (as defined below) to exchange (the “Exchange Offers”) any and all outstanding 4.375% Senior Notes due 2029 (the “2029 Qorvo Notes”) and any and all outstanding 3.375% Senior Notes due 2031 issued by Qorvo (the “2031 Qorvo Notes” and, together with the 2029 Qorvo Notes, the “Qorvo Notes”), for, (1) with respect to the 2029 Qorvo Notes, up to $850,000,000 aggregate principal amount of new 4.375% Senior Notes due 2029 (the “New 2029 Skyworks Notes”) issued by Skyworks or, (2) with respect to the 2031 Qorvo Notes, up to $700,000,000 aggregate principal amount of new 3.375% Senior Notes due 2031 (together with the New 2029 Skyworks Notes, the “New Skyworks Notes”) issued by Skyworks. </w:t>
      </w:r>
      <w:r>
        <w:rPr>
          <w:rFonts w:ascii="Times New Roman" w:cs="Times New Roman" w:eastAsia="Times New Roman" w:hAnsi="Times New Roman"/>
          <w:sz w:val="18"/>
          <w:szCs w:val="18"/>
          <w:b w:val="1"/>
          <w:bCs w:val="1"/>
          <w:color w:val="auto"/>
        </w:rPr>
        <w:t>The Exchange Offers and Consent Solicitations (as defined herein) are being conducted in connection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 and are conditioned upon, among other things, the closing of the transactions pursuant to which Qorvo will merge with and into a subsidiary of Skyworks (the “Mergers”), with such subsidiary continuing as the surviving entity and a wholly-owned subsidiary of Skyworks, which condition may not be waived by Skyworks.</w:t>
      </w:r>
    </w:p>
    <w:p>
      <w:pPr>
        <w:spacing w:after="0" w:line="18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Exchange Offers, Skyworks, on behalf of Qorvo, is soliciting consents (the “Consent Solicitations”) to adopt certain proposed amendments to each indenture governing the applicable series of Qorvo Notes to, among other changes, eliminate substantially all of the restrictive covenants, certain affirmative covenants and certain events of default (the “Proposed Amendments”) in exchange for the Consent Payment (as defined herein).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New Skyworks Notes will have the same interest payment dates, maturity date and interest rate as the applicable series of Qorvo Notes. Each series of New Skyworks Notes will replace the fixed redemption schedule currently included in the corresponding series of Qorvo Notes with a customary investment grade redemption schedule, including a three-month par call date and make-whole mechanism as further described in the Registration Statement (as defined herein).</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applicable Consent Payment, the Exchange Consideration (as defined below), the Early Participation Premium (as defined below) and the Total Consideration (as defined below) for the Qorvo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right w:val="single" w:sz="8" w:color="auto"/>
            </w:tcBorders>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Early</w:t>
            </w:r>
          </w:p>
        </w:tc>
        <w:tc>
          <w:tcPr>
            <w:tcW w:w="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40" w:type="dxa"/>
            <w:vAlign w:val="bottom"/>
            <w:tcBorders>
              <w:top w:val="single" w:sz="8" w:color="auto"/>
              <w:right w:val="single" w:sz="8" w:color="auto"/>
            </w:tcBorders>
          </w:tcPr>
          <w:p>
            <w:pPr>
              <w:spacing w:after="0"/>
              <w:rPr>
                <w:sz w:val="17"/>
                <w:szCs w:val="17"/>
                <w:color w:val="auto"/>
              </w:rPr>
            </w:pPr>
          </w:p>
        </w:tc>
      </w:tr>
      <w:tr>
        <w:trPr>
          <w:trHeight w:val="216"/>
        </w:trPr>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23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Consent</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Participation</w:t>
            </w:r>
          </w:p>
        </w:tc>
        <w:tc>
          <w:tcPr>
            <w:tcW w:w="80" w:type="dxa"/>
            <w:vAlign w:val="bottom"/>
          </w:tcPr>
          <w:p>
            <w:pPr>
              <w:spacing w:after="0"/>
              <w:rPr>
                <w:sz w:val="18"/>
                <w:szCs w:val="18"/>
                <w:color w:val="auto"/>
              </w:rPr>
            </w:pPr>
          </w:p>
        </w:tc>
        <w:tc>
          <w:tcPr>
            <w:tcW w:w="194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0"/>
        </w:trPr>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No.</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2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3"/>
                <w:szCs w:val="23"/>
                <w:color w:val="auto"/>
              </w:rPr>
            </w:pPr>
          </w:p>
        </w:tc>
        <w:tc>
          <w:tcPr>
            <w:tcW w:w="14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Consideration</w:t>
            </w:r>
            <w:r>
              <w:rPr>
                <w:rFonts w:ascii="Times New Roman" w:cs="Times New Roman" w:eastAsia="Times New Roman" w:hAnsi="Times New Roman"/>
                <w:sz w:val="29"/>
                <w:szCs w:val="29"/>
                <w:b w:val="1"/>
                <w:bCs w:val="1"/>
                <w:color w:val="auto"/>
                <w:w w:val="95"/>
                <w:vertAlign w:val="superscript"/>
              </w:rPr>
              <w:t>(2)</w:t>
            </w:r>
          </w:p>
        </w:tc>
        <w:tc>
          <w:tcPr>
            <w:tcW w:w="120" w:type="dxa"/>
            <w:vAlign w:val="bottom"/>
          </w:tcPr>
          <w:p>
            <w:pPr>
              <w:spacing w:after="0"/>
              <w:rPr>
                <w:sz w:val="23"/>
                <w:szCs w:val="23"/>
                <w:color w:val="auto"/>
              </w:rPr>
            </w:pPr>
          </w:p>
        </w:tc>
        <w:tc>
          <w:tcPr>
            <w:tcW w:w="1580" w:type="dxa"/>
            <w:vAlign w:val="bottom"/>
            <w:tcBorders>
              <w:right w:val="single" w:sz="8" w:color="auto"/>
            </w:tcBorders>
            <w:gridSpan w:val="2"/>
          </w:tcPr>
          <w:p>
            <w:pPr>
              <w:jc w:val="center"/>
              <w:ind w:right="140"/>
              <w:spacing w:after="0" w:line="270" w:lineRule="exact"/>
              <w:rPr>
                <w:sz w:val="20"/>
                <w:szCs w:val="20"/>
                <w:color w:val="auto"/>
              </w:rPr>
            </w:pPr>
            <w:r>
              <w:rPr>
                <w:rFonts w:ascii="Times New Roman" w:cs="Times New Roman" w:eastAsia="Times New Roman" w:hAnsi="Times New Roman"/>
                <w:sz w:val="18"/>
                <w:szCs w:val="18"/>
                <w:b w:val="1"/>
                <w:bCs w:val="1"/>
                <w:color w:val="auto"/>
                <w:w w:val="93"/>
              </w:rPr>
              <w:t>Premium</w:t>
            </w:r>
            <w:r>
              <w:rPr>
                <w:rFonts w:ascii="Times New Roman" w:cs="Times New Roman" w:eastAsia="Times New Roman" w:hAnsi="Times New Roman"/>
                <w:sz w:val="29"/>
                <w:szCs w:val="29"/>
                <w:b w:val="1"/>
                <w:bCs w:val="1"/>
                <w:color w:val="auto"/>
                <w:w w:val="93"/>
                <w:vertAlign w:val="superscript"/>
              </w:rPr>
              <w:t>(3)</w:t>
            </w:r>
          </w:p>
        </w:tc>
        <w:tc>
          <w:tcPr>
            <w:tcW w:w="80" w:type="dxa"/>
            <w:vAlign w:val="bottom"/>
          </w:tcPr>
          <w:p>
            <w:pPr>
              <w:spacing w:after="0"/>
              <w:rPr>
                <w:sz w:val="23"/>
                <w:szCs w:val="23"/>
                <w:color w:val="auto"/>
              </w:rPr>
            </w:pPr>
          </w:p>
        </w:tc>
        <w:tc>
          <w:tcPr>
            <w:tcW w:w="1940" w:type="dxa"/>
            <w:vAlign w:val="bottom"/>
            <w:tcBorders>
              <w:right w:val="single" w:sz="8" w:color="auto"/>
            </w:tcBorders>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Consideration</w:t>
            </w:r>
            <w:r>
              <w:rPr>
                <w:rFonts w:ascii="Times New Roman" w:cs="Times New Roman" w:eastAsia="Times New Roman" w:hAnsi="Times New Roman"/>
                <w:sz w:val="29"/>
                <w:szCs w:val="29"/>
                <w:b w:val="1"/>
                <w:bCs w:val="1"/>
                <w:color w:val="auto"/>
                <w:w w:val="95"/>
                <w:vertAlign w:val="superscript"/>
              </w:rPr>
              <w:t>(4)</w:t>
            </w:r>
          </w:p>
        </w:tc>
      </w:tr>
      <w:tr>
        <w:trPr>
          <w:trHeight w:val="191"/>
        </w:trPr>
        <w:tc>
          <w:tcPr>
            <w:tcW w:w="1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4.375%</w:t>
            </w:r>
          </w:p>
        </w:tc>
        <w:tc>
          <w:tcPr>
            <w:tcW w:w="12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 74736KAH4/</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96"/>
              </w:rPr>
              <w:t>$850,000,000</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$2.50 to $5.00</w:t>
            </w: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$950.00 principal</w:t>
            </w: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$50.00 principal</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$1,000 principal amount</w:t>
            </w:r>
          </w:p>
        </w:tc>
        <w:tc>
          <w:tcPr>
            <w:tcW w:w="140" w:type="dxa"/>
            <w:vAlign w:val="bottom"/>
            <w:tcBorders>
              <w:right w:val="single" w:sz="8" w:color="auto"/>
            </w:tcBorders>
          </w:tcPr>
          <w:p>
            <w:pPr>
              <w:spacing w:after="0"/>
              <w:rPr>
                <w:sz w:val="16"/>
                <w:szCs w:val="16"/>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US74736KAH41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 cash</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 of</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amount of</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 Skyworks 4.375%</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2029</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Skyworks 4.375%</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Skyworks 4.375%</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Notes due 2029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144A: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 due 2029</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due</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$2.50 to $5.00 in cash</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74736KAG6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US74736KAG67</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U7471QAF1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USU7471QAF10</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3.375%</w:t>
            </w:r>
          </w:p>
        </w:tc>
        <w:tc>
          <w:tcPr>
            <w:tcW w:w="1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144A:</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$700,000,000</w:t>
            </w: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$2.50 to $5.00</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$950.00 principal</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$50.00 principal</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$1,000 principal amount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74736KAJ0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 cash</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 of</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amount of</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 Skyworks 3.375%</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2031</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US74736KAJ07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Skyworks 3.375%</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Skyworks 3.375%</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Notes due 2031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 due 2031</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due</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$2.50 to $5.00 in cash</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U7471QAJ3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USU7471QAJ32</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$1,000 principal amount of the applicable series of Qorvo Notes validly tendered and not validly withdrawn at or prior to the applicable Early Participation Date (as defined herein), the applicable Consent Payment will be an amount equal to 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As a result, the applicable Consent Payment for a series of Qorvo Notes will range from $2.50 per $1,000 principal amount (if all holders of such series of Qorvo Notes tender) to approximately $5.00 per $1,000 principal amount (if holders tender a majority of the aggregate principal amount of such series of Qorvo Notes). Any Consent Payment will be paid on the applicable Settlement Date (as defined herein).</w:t>
      </w:r>
    </w:p>
    <w:p>
      <w:pPr>
        <w:spacing w:after="0" w:line="188"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holder that validly tenders Qorvo Notes and delivers (and does not validly revoke) a consent at or prior to the applicable Early Participation Date, but withdraws such Qorvo Notes after such Early Participation Date but prior to the applicable Expiration Date, will be eligible to receive the applicable Consent Payment, even if such holder has withdrawn their Qorvo Notes after the applicable Early Participation Date or such holder is no longer the beneficial owner of such Qorvo Notes at such Expiration Date. Consents may not be revoked after the applicable Consent Revocation Deadline (as defined herein).</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accepted for exchange.</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Early Participation Date and accepted for exchange.</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1"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$1,000 principal amount of the applicable series of Qorvo Notes. Includes the applicable Consent Payment, Exchange Consideration and Early Participation Premium. For the avoidance of doubt, (i) consents may not be revoked after the applicable Consent Revocation Deadline, and (ii) unless the applicable Exchange Offer is amended, in no event will any holder of Qorvo Notes be eligible to receive more than $1,000 aggregate principal amount of Skyworks Notes for each $1,000 aggregate principal amount of the applicable series of Qorvo Notes accepted for exchange.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Exchange Offers and Consent Solicitations are being made pursuant to the terms and subject to the conditions set forth in Skyworks’ pre-effective registration statement on Form S-4 (including the prospectus contained therein, which is subject to change, the “Registration Statement”) filed with the U.S. Securities and Exchange Commission (the “SEC”) on May 20,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Exchange Offers will expire at 5:00 p.m., New York City time, on September 1, 2026, unless extended (as it may be extended, the “Expiration Date”). The settlement date (the “Settlement Date”) will be promptly after the Expiration Date and is expected to occur no earlier than the second business day after the closing date of the Mergers.</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Each Exchange Offer and Consent Solicitation is conditioned upon, among other things, (i) a minimum of a majority of the aggregate principal amount of Qorvo Notes of such series having been validly tendered and not validly withdrawn at or prior to the applicable Early Participation Date pursuant to the applicable Exchange Offer for such series, which may be waived by Skyworks in its sole discretion, (ii) the Registration Statement having been declared effective by the SEC, which condition may not be waived by Skyworks, and (iii) the closing of the Mergers, which condition may not be waived by Skyworks. </w:t>
      </w:r>
      <w:r>
        <w:rPr>
          <w:rFonts w:ascii="Times New Roman" w:cs="Times New Roman" w:eastAsia="Times New Roman" w:hAnsi="Times New Roman"/>
          <w:sz w:val="18"/>
          <w:szCs w:val="18"/>
          <w:b w:val="1"/>
          <w:bCs w:val="1"/>
          <w:color w:val="auto"/>
        </w:rPr>
        <w:t>The closing of the Mergers is not conditioned upon the results of the Exchange Offers and Consent Solicitations.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Skyworks, in its sole discretion, may modify or terminate either Exchange Offer and may extend the Early Participation Date, the Expiration Date and/or the Settlement Date with respect to either Exchange Offer, subject to applicable law. Any such modification, termination or extension by Skyworks with respect to an Exchange Offer will not automatically modify, terminate or extend the other Exchange Offer, but will automatically modify, terminate or extend the respective Consent Solicitation, as applicable. Neither Exchange Offer nor Consent Solicitation is conditioned upon the respective consummation of the other. The Exchange Offer and Consent Solicitation with respect to a series of Qorvo Notes is not conditioned upon the consummation of the Exchange Offer or Consent Solicitation with respect to the other series of Qorvo Notes.</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indicated in the table above, for each $1,000 principal amount of the applicable series of Qorvo Notes validly tendered and not validly withdrawn at or prior to the applicable Early Participation Date, holders of such Qorvo Notes will be eligible to receive a cash payment of an amount equal to the product of $2.50 multiplied by a fraction, the numerator of which is the aggregate principal amount of such series Qorvo Notes outstanding as of such Early Participation Date and the denominator of which is the aggregate principal amount of such series of Qorvo Notes validly tendered and not validly withdrawn at or prior to the applicable Early Participation Date (such amount for such series, the “Consent Payment”). With respect to a series of Qorvo Notes, consents may not be revoked after the earlier of (i) 5:00 p.m., New York City time, on June 11, 2026, unless extended or terminated, and</w:t>
      </w:r>
    </w:p>
    <w:p>
      <w:pPr>
        <w:spacing w:after="0" w:line="5" w:lineRule="exact"/>
        <w:rPr>
          <w:sz w:val="20"/>
          <w:szCs w:val="20"/>
          <w:color w:val="auto"/>
        </w:rPr>
      </w:pPr>
    </w:p>
    <w:p>
      <w:pPr>
        <w:ind w:firstLine="8"/>
        <w:spacing w:after="0" w:line="260"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supplemental indenture to the applicable indenture governing such series of Qorvo Notes implementing the Proposed Amendments for such series of Qorvo Notes is executed (the earlier of (i) and (ii), the “Consent Revocation Deadline”).</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5:00 p.m., New York City time, on June 11, 2026, unless extended or terminated (such date and time, as the same may be extended, the “Early Participation Date”) and accepted for exchange, holders of such series of Qorvo Notes will be eligible to receive an early participation premium, payable in principal amount of the applicable series of New Skyworks Notes, equal to $50.00 (the “Early Participation Premium”); provided that such Qorvo Notes held by the applicable holder have been validly tendered and not validly withdrawn at or prior to the applicable Early Participation Date and either (A) such holder must not have validly withdrawn such Qorvo Notes at or prior to the applicable Expiration Date or (B) if such Qorvo Notes held by such holder have been validly withdrawn at or prior to the applicable Expiration Date, such holder, prior to such Expiration Date must have (i) validly re-tendered, and not validly withdrawn, such Qorvo Notes and (ii) submitted the Early Participation VOI Number (as defined in the Registration Statement) with respect to such tendered Qorvo Notes.</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Expiration Date and accepted for exchange, holders of such Qorvo Notes will be eligible to receive $950 principal amount of the corresponding series of New Skyworks Notes (the “Exchange Consideration”).</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Skyworks will pay a soliciting dealer fee of $2.50 for each note per $1,000 principal amount of Qorvo Notes that are validly tendered prior to the applicable Expiration Date and not validly withdrawn to retail brokers that are appropriately designated by their tendering holder clients to receive such fee, provided that such fee will only be paid with respect to tenders by holders whose aggregate principal amount of Qorvo Notes is $250,000 or less.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complete terms and conditions of the Exchange Offers and Consent Solicitations are described in the Registration Statement, a copy of which may be obtained by contacting Global Bondholder Services Corporation, the exchange agent and information agent in connection with the Exchange Offers and Consent Solicitation, at (855) 654-2015 (U.S. toll-free) or (212) 430-3774 (banks and brokers) or contact@gbsc-usa.com. Questions regarding the terms and conditions of the Exchange Offers and Consent Solicitations should be directed to the dealer manager, Goldman Sachs &amp; Co. LLC, 200 West Street, New York, New York 10282, Collect: (212) 357-1452, Toll-Free: (800) 828-3182.</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purchase, or a solicitation of an offer to sell or purchase, or the solicitation of tenders or consents with respect to, any security. No offer, solicitation, purchase or sale will be made in any jurisdiction in which such an offer, solicitation, or sale would be unlawful. The Exchange Offers and Consent Solicitations are being made solely pursuant to the Registration Statement and only to such persons and in such jurisdictions as is permitted under applicable law.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Skyworks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Skyworks is a global company with engineering, marketing, operations, sales and support facilities located throughout Asia, Europe and North America and is a member of the S&amp;P 500® market index (Nasdaq: SWKS).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press release includes “forward-looking statements.” Forward-looking statements relate to future events, including, but not limited to, the Exchange Offers, the Consent Solicitations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0" w:name="page11"/>
    <w:bookmarkEnd w:id="10"/>
    <w:p>
      <w:pPr>
        <w:ind w:firstLine="648"/>
        <w:spacing w:after="0" w:line="251" w:lineRule="auto"/>
        <w:rPr>
          <w:sz w:val="20"/>
          <w:szCs w:val="20"/>
          <w:color w:val="auto"/>
        </w:rPr>
      </w:pPr>
      <w:r>
        <w:rPr>
          <w:rFonts w:ascii="Times New Roman" w:cs="Times New Roman" w:eastAsia="Times New Roman" w:hAnsi="Times New Roman"/>
          <w:sz w:val="18"/>
          <w:szCs w:val="18"/>
          <w:color w:val="auto"/>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our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press release are made only as of the date hereof, and Skyworks undertakes no obligation to update or revise the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Mergers and Where to Find It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Mergers Registration Statement and Proxy Statement/Prospectus and other documents containing important information about Skyworks, Qorvo and the Mergers filed with the SEC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Raji 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right="9160" w:firstLine="8"/>
        <w:spacing w:after="0" w:line="260"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508-0973 </w:t>
      </w:r>
      <w:r>
        <w:rPr>
          <w:rFonts w:ascii="Times New Roman" w:cs="Times New Roman" w:eastAsia="Times New Roman" w:hAnsi="Times New Roman"/>
          <w:sz w:val="18"/>
          <w:szCs w:val="18"/>
          <w:u w:val="single" w:color="auto"/>
          <w:color w:val="auto"/>
        </w:rPr>
        <w:t>Raji.Gill@skyworksinc.com</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1"/>
      <w:numFmt w:val="decimal"/>
      <w:start w:val="104"/>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2026-05-20T16:45:03Z</dcterms:created>
  <dcterms:modified xsi:type="dcterms:W3CDTF">2026-05-20T16:45:03Z</dcterms:modified>
</cp:coreProperties>
</file>