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ownership.xml.htm"/>
      <w:bookmarkStart w:id="1" w:name="ksownership"/>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Koopmans Chris</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5260 CALIFORNIA AVENUE</w:t>
                  </w:r>
                </w:p>
              </w:tc>
            </w:tr>
            <w:tr>
              <w:trPr/>
              <w:tc>
                <w:tcPr>
                  <w:tcW w:w="345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IRVINE</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92617</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SKYWORKS SOLUTIONS, INC.</w:t>
              </w:r>
            </w:hyperlink>
            <w:r>
              <w:rPr/>
              <w:t xml:space="preserve"> [ </w:t>
            </w:r>
            <w:r>
              <w:rPr>
                <w:rFonts w:ascii="Times;serif" w:hAnsi="Times;serif"/>
                <w:color w:val="0000FF"/>
                <w:sz w:val="24"/>
                <w:shd w:fill="FFFFFF" w:val="clear"/>
              </w:rPr>
              <w:t>SWKS</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10/05/2026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75"/>
        <w:gridCol w:w="903"/>
        <w:gridCol w:w="772"/>
        <w:gridCol w:w="600"/>
        <w:gridCol w:w="352"/>
        <w:gridCol w:w="898"/>
        <w:gridCol w:w="464"/>
        <w:gridCol w:w="626"/>
        <w:gridCol w:w="1179"/>
        <w:gridCol w:w="1009"/>
        <w:gridCol w:w="927"/>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7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88"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7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0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7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9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6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2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7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0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7"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47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10/05/2026</w:t>
            </w:r>
          </w:p>
        </w:tc>
        <w:tc>
          <w:tcPr>
            <w:tcW w:w="77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5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9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5,913</w:t>
            </w:r>
            <w:r>
              <w:rPr>
                <w:rFonts w:ascii="Times;serif" w:hAnsi="Times;serif"/>
                <w:color w:val="008000"/>
                <w:position w:val="7"/>
                <w:sz w:val="16"/>
                <w:sz w:val="20"/>
                <w:shd w:fill="FFFFFF" w:val="clear"/>
              </w:rPr>
              <w:t>(1)</w:t>
            </w:r>
          </w:p>
        </w:tc>
        <w:tc>
          <w:tcPr>
            <w:tcW w:w="46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62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p>
        </w:tc>
        <w:tc>
          <w:tcPr>
            <w:tcW w:w="117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5,913</w:t>
            </w:r>
          </w:p>
        </w:tc>
        <w:tc>
          <w:tcPr>
            <w:tcW w:w="100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Represents shares of common stock acquired in connection with the Issuer's acquisition of Qorvo, Inc. ("Qorvo") on October 5, 2026 (the "Merger"). Pursuant to the Agreement and Plan of Merger, dated October 27, 2025, by and among the Issuer, Comet Acquisition Corp., Comet Acquisition II, LLC and Qorvo (the "Merger Agreement"), each issued and outstanding share of Qorvo common stock held by the reporting person immediately prior to the effective time of the Merger (including shares in respect of Accelerated Qorvo RSUs (as defined in the Merger Agreement)) was converted into the right to receive (i) 0.960 shares of the Issuer's common stock and (ii) $32.50 in cash, without interest. All fractional share holdings were paid in cash.</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Ashran Jen, as Attorney-In-Fact for Chris Koopmans</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10/07/2026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676204" TargetMode="External"/><Relationship Id="rId5" Type="http://schemas.openxmlformats.org/officeDocument/2006/relationships/hyperlink" Target="http://www.sec.gov/cgi-bin/browse-edgar?action=getcompany&amp;CIK=0000004127"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680</Words>
  <Characters>3685</Characters>
  <CharactersWithSpaces>4299</CharactersWithSpaces>
  <Paragraphs>94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