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May 14,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333" w:before="240" w:after="283"/>
        <w:jc w:val="center"/>
        <w:rPr>
          <w:rFonts w:ascii="Times New Roman;serif" w:hAnsi="Times New Roman;serif"/>
          <w:b/>
          <w:color w:val="000000"/>
          <w:sz w:val="24"/>
        </w:rPr>
      </w:pPr>
      <w:r>
        <w:rPr>
          <w:rFonts w:ascii="Times New Roman;serif" w:hAnsi="Times New Roman;serif"/>
          <w:b/>
          <w:color w:val="000000"/>
          <w:sz w:val="24"/>
        </w:rPr>
        <w:t xml:space="preserve">REGISTRATION STATEMENT UNDER </w:t>
        <w:b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erif" w:hAnsi="Times New Roman;serif"/>
          <w:b/>
          <w:color w:val="000000"/>
          <w:sz w:val="48"/>
        </w:rPr>
      </w:pPr>
      <w:r>
        <w:rPr>
          <w:rFonts w:ascii="Times New Roman;serif" w:hAnsi="Times New Roman;serif"/>
          <w:b/>
          <w:color w:val="000000"/>
          <w:sz w:val="48"/>
        </w:rPr>
        <w:t>Skyworks Solutions, Inc.</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9"/>
        <w:gridCol w:w="1581"/>
        <w:gridCol w:w="1585"/>
        <w:gridCol w:w="109"/>
        <w:gridCol w:w="109"/>
        <w:gridCol w:w="109"/>
        <w:gridCol w:w="886"/>
        <w:gridCol w:w="886"/>
        <w:gridCol w:w="1257"/>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0"/>
              </w:rPr>
              <w:t>Delaware</w:t>
            </w:r>
            <w:r>
              <w:rPr>
                <w:rFonts w:ascii="Times New Roman;serif" w:hAnsi="Times New Roman;serif"/>
                <w:b w:val="false"/>
                <w:color w:val="000000"/>
                <w:sz w:val="20"/>
              </w:rPr>
              <w:b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0"/>
              </w:rPr>
              <w:t>04-2302115</w:t>
            </w:r>
            <w:r>
              <w:rPr>
                <w:rFonts w:ascii="Times New Roman;serif" w:hAnsi="Times New Roman;serif"/>
                <w:b w:val="false"/>
                <w:color w:val="000000"/>
                <w:sz w:val="20"/>
              </w:rPr>
              <w:br/>
              <w:t>(I.R.S. Employer Identification No.)</w:t>
            </w:r>
          </w:p>
        </w:tc>
      </w:tr>
    </w:tbl>
    <w:p>
      <w:pPr>
        <w:pStyle w:val="TextBody"/>
        <w:bidi w:val="0"/>
        <w:spacing w:lineRule="auto" w:line="333" w:before="0" w:after="0"/>
        <w:jc w:val="center"/>
        <w:rPr/>
      </w:pPr>
      <w:r>
        <w:rPr>
          <w:rFonts w:ascii="Times New Roman;serif" w:hAnsi="Times New Roman;serif"/>
          <w:b/>
          <w:color w:val="000000"/>
          <w:sz w:val="20"/>
        </w:rPr>
        <w:t xml:space="preserve">Skyworks Solutions, Inc. </w:t>
        <w:br/>
        <w:t xml:space="preserve">5260 California Avenue </w:t>
        <w:br/>
        <w:t>Irvine, California 92617</w:t>
      </w:r>
      <w:r>
        <w:rPr>
          <w:color w:val="000000"/>
        </w:rPr>
        <w:t xml:space="preserve"> </w:t>
      </w:r>
      <w:r>
        <w:rPr>
          <w:rFonts w:ascii="Times New Roman;serif" w:hAnsi="Times New Roman;serif"/>
          <w:b w:val="false"/>
          <w:color w:val="000000"/>
          <w:sz w:val="20"/>
        </w:rPr>
        <w:br/>
        <w:t>(Address of Principal Executive Offices) (Zip Code)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 Long-Term Incentive Plan</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of the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pPr>
      <w:r>
        <w:rPr>
          <w:rFonts w:ascii="Times New Roman;serif" w:hAnsi="Times New Roman;serif"/>
          <w:b/>
          <w:color w:val="000000"/>
          <w:sz w:val="20"/>
        </w:rPr>
        <w:t xml:space="preserve">Robert J. Terry </w:t>
        <w:br/>
        <w:t xml:space="preserve">Senior Vice President, General Counsel and Secretary </w:t>
        <w:br/>
        <w:t xml:space="preserve">Skyworks Solutions, Inc. </w:t>
        <w:br/>
        <w:t xml:space="preserve">5260 California Avenue </w:t>
        <w:br/>
        <w:t>Irvine, California 92617</w:t>
      </w:r>
      <w:r>
        <w:rPr>
          <w:color w:val="000000"/>
        </w:rPr>
        <w:t xml:space="preserve"> </w:t>
      </w:r>
      <w:r>
        <w:rPr>
          <w:rFonts w:ascii="Times New Roman;serif" w:hAnsi="Times New Roman;serif"/>
          <w:b w:val="false"/>
          <w:color w:val="000000"/>
          <w:sz w:val="20"/>
        </w:rPr>
        <w:br/>
        <w:t xml:space="preserve">(Name and address of agent for service) </w:t>
        <w:br/>
        <w:br/>
      </w:r>
      <w:r>
        <w:rPr>
          <w:rFonts w:ascii="Times New Roman;serif" w:hAnsi="Times New Roman;serif"/>
          <w:b/>
          <w:color w:val="000000"/>
          <w:sz w:val="20"/>
        </w:rPr>
        <w:t>(949) 231-3000</w:t>
      </w:r>
      <w:r>
        <w:rPr>
          <w:color w:val="000000"/>
        </w:rPr>
        <w:t xml:space="preserve"> </w:t>
      </w:r>
      <w:r>
        <w:rPr>
          <w:rFonts w:ascii="Times New Roman;serif" w:hAnsi="Times New Roman;serif"/>
          <w:b w:val="false"/>
          <w:color w:val="000000"/>
          <w:sz w:val="20"/>
        </w:rPr>
        <w:br/>
        <w:t>(Telephone number, including area code, of agent for service)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54" w:type="dxa"/>
        <w:jc w:val="left"/>
        <w:tblInd w:w="0" w:type="dxa"/>
        <w:tblLayout w:type="fixed"/>
        <w:tblCellMar>
          <w:top w:w="28" w:type="dxa"/>
          <w:left w:w="28" w:type="dxa"/>
          <w:bottom w:w="28" w:type="dxa"/>
          <w:right w:w="28" w:type="dxa"/>
        </w:tblCellMar>
      </w:tblPr>
      <w:tblGrid>
        <w:gridCol w:w="787"/>
        <w:gridCol w:w="693"/>
        <w:gridCol w:w="695"/>
        <w:gridCol w:w="755"/>
        <w:gridCol w:w="755"/>
        <w:gridCol w:w="1069"/>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rFonts w:ascii="Times New Roman;serif" w:hAnsi="Times New Roman;serif"/>
                <w:b w:val="false"/>
                <w:color w:val="000000"/>
                <w:sz w:val="20"/>
              </w:rPr>
              <w:t>Large accelerated filer </w:t>
            </w:r>
            <w:r>
              <w:rPr>
                <w:color w:val="000000"/>
              </w:rPr>
              <w:t>☑</w:t>
            </w:r>
          </w:p>
        </w:tc>
        <w:tc>
          <w:tcPr>
            <w:tcW w:w="257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257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r>
      <w:tr>
        <w:trPr/>
        <w:tc>
          <w:tcPr>
            <w:tcW w:w="2175" w:type="dxa"/>
            <w:gridSpan w:val="3"/>
            <w:tcBorders/>
            <w:tcMar>
              <w:top w:w="0" w:type="dxa"/>
              <w:left w:w="0" w:type="dxa"/>
              <w:bottom w:w="0" w:type="dxa"/>
              <w:right w:w="0" w:type="dxa"/>
            </w:tcMar>
            <w:vAlign w:val="center"/>
          </w:tcPr>
          <w:p>
            <w:pPr>
              <w:pStyle w:val="TableContents"/>
              <w:bidi w:val="0"/>
              <w:spacing w:before="100" w:after="283"/>
              <w:jc w:val="left"/>
              <w:rPr/>
            </w:pPr>
            <w:r>
              <w:rPr/>
            </w:r>
          </w:p>
        </w:tc>
        <w:tc>
          <w:tcPr>
            <w:tcW w:w="257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before="0" w:after="140"/>
        <w:jc w:val="left"/>
        <w:rPr/>
      </w:pPr>
      <w:r>
        <w:rPr/>
      </w:r>
    </w:p>
    <w:p>
      <w:pPr>
        <w:pStyle w:val="TextBody"/>
        <w:bidi w:val="0"/>
        <w:spacing w:lineRule="auto" w:line="333" w:before="1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1. Plan Information.</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 is omitted from this registration statement and included in documents sent or given to participants in the plan covered by this registration statement pursuant to Rule 428(b)(1) of the Securities Act of 1933, as amended (the “Securities Act”) and the Note to Part I of Form S-8.</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2. Registrant Information and Employee Plan Annual Information.</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The written statement required by Item 2 is omitted from this registration statement and included in documents sent or given to participants in the plan covered by this registration statement pursuant to Rule 428(b)(1) of the Securities Act and the Note to Part I of Form S-8.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(a) The Registrant’s Annual Report on Form 10-K for the fiscal year ended October 3, 2025, as filed with the Commission on November 7, 2025, and Amendment No. 1 to the Registrant’s Annual Report on Form 10-K for the fiscal year ended October 3, 2025, as filed with the Commission on January 30, 2026;</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(b) The Registrant’s Quarterly Reports on Form 10-Q for the fiscal quarter ended January 2, 2026, as filed with the Commission on February 5, 2026, and for the fiscal quarter ended April 3, 2026, as filed with the Commission on May 5, 2026;</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(c) The Registrant’s Current Reports on Form 8-K as filed with the Commission on October 28, 2025, October 28, 2025 (Item 8.01 only), November 14, 2025, November 24, 2025, December 12, 2025, January 30, 2026, February 3, 2026 (Item 8.01 only), February 11, 2026, and May 5, 2026 (Item 8.01 only); and</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(d) The description of common stock contained in the Registrant’s registration statement on Form 8-A filed under the Exchange Act, as the description therein has been updated and superseded by the description of common stock contained in Exhibit 4.2 to the Registrant’s Annual Report on Form 10-K for the fiscal year ended September 27, 2019, filed on November 14, 2019, including any amendment or report filed for the purpose of updating such description.</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w:t>
      </w:r>
    </w:p>
    <w:p>
      <w:pPr>
        <w:pStyle w:val="TextBody"/>
        <w:bidi w:val="0"/>
        <w:spacing w:before="0" w:after="24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Section 102 of the Delaware General Corporation Law allows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 has included such a provision in Article Seventh of its Restated Certificate of Incorporation.</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Article Fourteenth of the Registrant’s Restated Certificate of Incorporation provides that to the fullest extent permitted by law, no officer of the Registrant shall be liable to the Registrant or its stockholders for monetary damages for breach of fiduciary duty as an officer, except for liability (i) for any breach of the officer’s duty of loyalty to the Registrant or its stockholders, (ii) for acts or omissions not in good faith or which involve intentional misconduct or a knowing violation of law, (iii) for any transaction from which the officer derived an improper personal benefit, or (iv) for any action by or in the right of the Registrant.</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or her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Article III, Section 14 of the Registrant’s Fourth Amended and Restated By-laws provides that a director or officer of the Registrant:</w:t>
      </w:r>
    </w:p>
    <w:p>
      <w:pPr>
        <w:pStyle w:val="TextBody"/>
        <w:bidi w:val="0"/>
        <w:spacing w:lineRule="auto" w:line="333"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shall be indemnified by the Registrant against all expenses (including attorneys’ fees), judgments, fines and amounts paid in settlement actually and reasonably incurred in any action, suit or proceeding (other than an action by or in the right of the Registrant) brought against such person by virtue of his or her position as a </w:t>
      </w:r>
    </w:p>
    <w:p>
      <w:pPr>
        <w:pStyle w:val="TextBody"/>
        <w:bidi w:val="0"/>
        <w:spacing w:before="0" w:after="24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director or officer of the Registrant if such person acted in good faith and in a manner such person reasonably believed to be in or not opposed to the best interests of the Registrant, and, with respect to any criminal action or proceeding, had no reasonable cause to believe his or her conduct was unlawful; and</w:t>
      </w:r>
    </w:p>
    <w:p>
      <w:pPr>
        <w:pStyle w:val="TextBody"/>
        <w:bidi w:val="0"/>
        <w:spacing w:lineRule="auto" w:line="333"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shall be indemnified by the Registrant against all expenses (including attorneys’ fees) actually and reasonably incurred in connection with the defense or settlement of any action or suit by or in the right of the Registrant brought against such person by virtue of his or her position as a director or officer of the Registrant if such person acted in good faith and in a manner such person reasonably believed to be in or not opposed to the best interests of the Registrant, other than with respect to any claim, issue or matter as to which such person shall have been adjudged to be liable to the Registrant unless the Court of Chancery of Delaware or the court in which such action or suit was brought shall determine that, despite the adjudication of liability but in view of all the circumstances of the case, such person is fairly and reasonably entitled to indemnity for such expenses.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Article III, Section 14 of the Registrant’s Fourth Amended and Restated By-laws provides that to the extent a director or officer has been successful, on the merits or otherwise, in defense of any action, suit or proceeding referred to in paragraphs A and B above, such person shall be indemnified by the Registrant against expenses (including attorneys’ fees) actually and reasonably incurred. Expenses will be advanced to a director or officer at such person’s request, provided that he or she undertakes to repay the amount received if it is ultimately determined that he or she is not entitled to indemnification for such expenses.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The Registrant has purchased directors’ and officers’ liability insurance which would indemnify its directors and officers against damages arising out of certain kinds of claims that might be made against them based on their negligent acts or omissions while acting in their capacity as such.</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incorporated herein by reference:</w:t>
      </w:r>
    </w:p>
    <w:p>
      <w:pPr>
        <w:pStyle w:val="TextBody"/>
        <w:bidi w:val="0"/>
        <w:spacing w:before="0" w:after="2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tbl>
      <w:tblPr>
        <w:tblW w:w="857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095"/>
        <w:gridCol w:w="2095"/>
        <w:gridCol w:w="297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
              <w:r>
                <w:rPr>
                  <w:rStyle w:val="InternetLink"/>
                  <w:rFonts w:ascii="Times New Roman;serif" w:hAnsi="Times New Roman;serif"/>
                  <w:b w:val="false"/>
                  <w:color w:val="0000FF"/>
                  <w:sz w:val="20"/>
                  <w:u w:val="single"/>
                </w:rPr>
                <w:t>Restated Certificate of Incorporation, as amended</w:t>
              </w:r>
            </w:hyperlink>
            <w:r>
              <w:rPr>
                <w:color w:val="000000"/>
              </w:rPr>
              <w:t xml:space="preserve"> </w:t>
            </w:r>
            <w:r>
              <w:rPr>
                <w:rFonts w:ascii="Times New Roman;serif" w:hAnsi="Times New Roman;serif"/>
                <w:b w:val="false"/>
                <w:color w:val="000000"/>
                <w:sz w:val="20"/>
              </w:rPr>
              <w:t>(1)</w:t>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
              <w:r>
                <w:rPr>
                  <w:rStyle w:val="InternetLink"/>
                  <w:rFonts w:ascii="Times New Roman;serif" w:hAnsi="Times New Roman;serif"/>
                  <w:b w:val="false"/>
                  <w:color w:val="0000FF"/>
                  <w:sz w:val="20"/>
                  <w:u w:val="single"/>
                </w:rPr>
                <w:t>Fourth Amended and Restated By-laws</w:t>
              </w:r>
            </w:hyperlink>
            <w:r>
              <w:rPr>
                <w:color w:val="000000"/>
              </w:rPr>
              <w:t xml:space="preserve"> </w:t>
            </w:r>
            <w:r>
              <w:rPr>
                <w:rFonts w:ascii="Times New Roman;serif" w:hAnsi="Times New Roman;serif"/>
                <w:b w:val="false"/>
                <w:color w:val="000000"/>
                <w:sz w:val="20"/>
              </w:rPr>
              <w:t>(2)</w:t>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51-opiniontosx8for2026lo.htm">
              <w:r>
                <w:rPr>
                  <w:rStyle w:val="InternetLink"/>
                  <w:rFonts w:ascii="Times New Roman;serif" w:hAnsi="Times New Roman;serif"/>
                  <w:b w:val="false"/>
                  <w:color w:val="0000FF"/>
                  <w:sz w:val="20"/>
                  <w:u w:val="single"/>
                </w:rPr>
                <w:t>Opinion of Robert J. Terry, Esq.</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231-kpmgconsent_514.htm">
              <w:r>
                <w:rPr>
                  <w:rStyle w:val="InternetLink"/>
                  <w:rFonts w:ascii="Times New Roman;serif" w:hAnsi="Times New Roman;serif"/>
                  <w:b w:val="false"/>
                  <w:color w:val="0000FF"/>
                  <w:sz w:val="20"/>
                  <w:u w:val="single"/>
                </w:rPr>
                <w:t>Consent of KPMG LLP</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51-opiniontosx8for2026lo.htm">
              <w:r>
                <w:rPr>
                  <w:rStyle w:val="InternetLink"/>
                  <w:rFonts w:ascii="Times New Roman;serif" w:hAnsi="Times New Roman;serif"/>
                  <w:b w:val="false"/>
                  <w:color w:val="0000FF"/>
                  <w:sz w:val="20"/>
                  <w:u w:val="single"/>
                </w:rPr>
                <w:t>Consent of Robert J. Terry, Esq. (included in Exhibit 5.1)</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i55d7fb73d6434187a081d2dc65f9de96_306">
              <w:r>
                <w:rPr>
                  <w:rStyle w:val="InternetLink"/>
                  <w:rFonts w:ascii="Times New Roman;serif" w:hAnsi="Times New Roman;serif"/>
                  <w:b w:val="false"/>
                  <w:color w:val="0000FF"/>
                  <w:sz w:val="20"/>
                  <w:u w:val="single"/>
                </w:rPr>
                <w:t>Power of Attorney (included as part of the signature page of this registration statement)</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991-2026longxtermincenti.htm">
              <w:r>
                <w:rPr>
                  <w:rStyle w:val="InternetLink"/>
                  <w:rFonts w:ascii="Times New Roman;serif" w:hAnsi="Times New Roman;serif"/>
                  <w:b w:val="false"/>
                  <w:color w:val="0000FF"/>
                  <w:sz w:val="20"/>
                  <w:u w:val="single"/>
                </w:rPr>
                <w:t>2026 Long-Term Incentive Plan</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69"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before="0" w:after="240"/>
        <w:jc w:val="both"/>
        <w:rPr/>
      </w:pPr>
      <w:r>
        <w:rPr/>
        <w:drawing>
          <wp:inline distT="0" distB="0" distL="0" distR="0">
            <wp:extent cx="5029200" cy="19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4"/>
                    <a:stretch>
                      <a:fillRect/>
                    </a:stretch>
                  </pic:blipFill>
                  <pic:spPr bwMode="auto">
                    <a:xfrm>
                      <a:off x="0" y="0"/>
                      <a:ext cx="5029200" cy="19050"/>
                    </a:xfrm>
                    <a:prstGeom prst="rect">
                      <a:avLst/>
                    </a:prstGeom>
                  </pic:spPr>
                </pic:pic>
              </a:graphicData>
            </a:graphic>
          </wp:inline>
        </w:drawing>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Incorporated by reference from the Registrant’s Annual Report on Form 10-K for the fiscal year ended October 3, 2025 filed with the Commission on November 7, 2025.</w:t>
      </w:r>
    </w:p>
    <w:p>
      <w:pPr>
        <w:pStyle w:val="TextBody"/>
        <w:bidi w:val="0"/>
        <w:spacing w:lineRule="auto" w:line="333"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Incorporated by reference from the Registrant’s Current Report on Form 8-K filed with the Commission on May 12, 2023.</w:t>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333" w:before="0" w:after="240"/>
        <w:jc w:val="both"/>
        <w:rPr/>
      </w:pPr>
      <w:r>
        <w:rPr>
          <w:rFonts w:ascii="Times New Roman;serif" w:hAnsi="Times New Roman;serif"/>
          <w:b w:val="false"/>
          <w:color w:val="000000"/>
          <w:sz w:val="20"/>
        </w:rPr>
        <w:t>1.</w:t>
      </w:r>
      <w:r>
        <w:rPr>
          <w:color w:val="000000"/>
          <w:u w:val="single"/>
        </w:rPr>
        <w:t xml:space="preserve"> </w:t>
      </w:r>
      <w:r>
        <w:rPr>
          <w:rFonts w:ascii="Times New Roman;serif" w:hAnsi="Times New Roman;serif"/>
          <w:b w:val="false"/>
          <w:i/>
          <w:color w:val="000000"/>
          <w:sz w:val="20"/>
          <w:u w:val="single"/>
        </w:rPr>
        <w:t>Item 512(a) of Regulation S-K</w:t>
      </w:r>
      <w:r>
        <w:rPr>
          <w:rFonts w:ascii="Times New Roman;serif" w:hAnsi="Times New Roman;serif"/>
          <w:b w:val="false"/>
          <w:color w:val="000000"/>
          <w:sz w:val="20"/>
        </w:rPr>
        <w:t>. The undersigned registrant hereby undertakes:</w:t>
      </w:r>
    </w:p>
    <w:p>
      <w:pPr>
        <w:pStyle w:val="TextBody"/>
        <w:bidi w:val="0"/>
        <w:spacing w:lineRule="auto" w:line="333"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333" w:before="0" w:after="24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paragraphs (1)(i) and (ii) do not apply if the information required to be included in a post-effective amendment by those paragraphs is contained in reports filed with or furnished to the Commission by the </w:t>
      </w:r>
    </w:p>
    <w:p>
      <w:pPr>
        <w:pStyle w:val="TextBody"/>
        <w:bidi w:val="0"/>
        <w:spacing w:before="0" w:after="24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registrant pursuant to Section 13 or Section 15(d) of the Exchange Act that are incorporated by reference in the registration statement.</w:t>
      </w:r>
    </w:p>
    <w:p>
      <w:pPr>
        <w:pStyle w:val="TextBody"/>
        <w:bidi w:val="0"/>
        <w:spacing w:lineRule="auto" w:line="333"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333"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333" w:before="0" w:after="240"/>
        <w:jc w:val="both"/>
        <w:rPr/>
      </w:pPr>
      <w:r>
        <w:rPr>
          <w:rFonts w:ascii="Times New Roman;serif" w:hAnsi="Times New Roman;serif"/>
          <w:b w:val="false"/>
          <w:color w:val="000000"/>
          <w:sz w:val="20"/>
        </w:rPr>
        <w:t>2. I</w:t>
      </w:r>
      <w:r>
        <w:rPr>
          <w:rFonts w:ascii="Times New Roman;serif" w:hAnsi="Times New Roman;serif"/>
          <w:b w:val="false"/>
          <w:i/>
          <w:color w:val="000000"/>
          <w:sz w:val="20"/>
          <w:u w:val="single"/>
        </w:rPr>
        <w:t>tem 512(b) of Regulation S-K</w:t>
      </w:r>
      <w:r>
        <w:rPr>
          <w:rFonts w:ascii="Times New Roman;serif" w:hAnsi="Times New Roman;serif"/>
          <w:b w:val="false"/>
          <w:color w:val="000000"/>
          <w:sz w:val="20"/>
        </w:rPr>
        <w:t>.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333" w:before="0" w:after="240"/>
        <w:jc w:val="both"/>
        <w:rPr/>
      </w:pPr>
      <w:r>
        <w:rPr>
          <w:rFonts w:ascii="Times New Roman;serif" w:hAnsi="Times New Roman;serif"/>
          <w:b w:val="false"/>
          <w:color w:val="000000"/>
          <w:sz w:val="20"/>
        </w:rPr>
        <w:t xml:space="preserve">3. </w:t>
      </w:r>
      <w:r>
        <w:rPr>
          <w:rFonts w:ascii="Times New Roman;serif" w:hAnsi="Times New Roman;serif"/>
          <w:b w:val="false"/>
          <w:i/>
          <w:color w:val="000000"/>
          <w:sz w:val="20"/>
          <w:u w:val="single"/>
        </w:rPr>
        <w:t>Item 512(h) of Regulation S-K</w:t>
      </w:r>
      <w:r>
        <w:rPr>
          <w:rFonts w:ascii="Times New Roman;serif" w:hAnsi="Times New Roman;serif"/>
          <w:b w:val="false"/>
          <w:color w:val="000000"/>
          <w:sz w:val="20"/>
        </w:rPr>
        <w:t>.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in the State of California, on May 14, 2026.</w:t>
      </w:r>
    </w:p>
    <w:tbl>
      <w:tblPr>
        <w:tblW w:w="5799" w:type="dxa"/>
        <w:jc w:val="left"/>
        <w:tblInd w:w="0" w:type="dxa"/>
        <w:tblLayout w:type="fixed"/>
        <w:tblCellMar>
          <w:top w:w="28" w:type="dxa"/>
          <w:left w:w="28" w:type="dxa"/>
          <w:bottom w:w="28" w:type="dxa"/>
          <w:right w:w="28" w:type="dxa"/>
        </w:tblCellMar>
      </w:tblPr>
      <w:tblGrid>
        <w:gridCol w:w="482"/>
        <w:gridCol w:w="424"/>
        <w:gridCol w:w="424"/>
        <w:gridCol w:w="1301"/>
        <w:gridCol w:w="1301"/>
        <w:gridCol w:w="1867"/>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5799"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SKYWORKS SOLUTIONS, INC.</w:t>
            </w:r>
          </w:p>
        </w:tc>
      </w:tr>
      <w:tr>
        <w:trPr/>
        <w:tc>
          <w:tcPr>
            <w:tcW w:w="133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69"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Robert J. Terry</w:t>
            </w:r>
          </w:p>
        </w:tc>
      </w:tr>
      <w:tr>
        <w:trPr/>
        <w:tc>
          <w:tcPr>
            <w:tcW w:w="133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Robert J. Terry</w:t>
            </w:r>
          </w:p>
        </w:tc>
      </w:tr>
      <w:tr>
        <w:trPr/>
        <w:tc>
          <w:tcPr>
            <w:tcW w:w="133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69"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POWER OF ATTORNEY AND SIGNATURES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We, the undersigned officers and directors of Skyworks Solutions, Inc., hereby severally constitute and appoint Philip Carter and Robert J. Terry and each of them singly, our true and lawful attorneys with full power to them, and each of them singly, to sign for us in our names in the capacities indicated below, the registration statement on Form S-8 filed herewith and any and all subsequent amendments to said registration statement, and generally to do all things in our names and on our behalf in such capacities to enable Skyworks Solutions, Inc. to comply with the provisions of the Securities Act of 1933, as amended, and all requirements of the Securities and Exchange Commission, hereby ratifying and confirming our signatures as they may be signed by our said attorneys, or any one of them, to said registration statement and any and all amendments thereto.</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8214"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1359"/>
        <w:gridCol w:w="1359"/>
        <w:gridCol w:w="1377"/>
        <w:gridCol w:w="109"/>
        <w:gridCol w:w="109"/>
        <w:gridCol w:w="109"/>
        <w:gridCol w:w="377"/>
        <w:gridCol w:w="377"/>
        <w:gridCol w:w="536"/>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DATE</w:t>
            </w:r>
          </w:p>
        </w:tc>
      </w:tr>
      <w:tr>
        <w:trPr/>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Philip G. Brace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Philip G. Brace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Philip Carter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Philip Carter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Christine King</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Christine King</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Alan S. Batey</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Alan S. Batey</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Kevin L. Beebe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Kevin L. Beebe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Eric J. Guerin</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Eric J. Guerin</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Suzanne E. McBride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Suzanne E. McBride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David P. McGlade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David P. McGlade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Robert A. Schriesheim</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Robert A. Schriesheim</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 Maryann Turcke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Maryann Turcke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09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90"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tbl>
      <w:tblPr>
        <w:tblW w:w="3845" w:type="dxa"/>
        <w:jc w:val="left"/>
        <w:tblInd w:w="0" w:type="dxa"/>
        <w:tblLayout w:type="fixed"/>
        <w:tblCellMar>
          <w:top w:w="28" w:type="dxa"/>
          <w:left w:w="28" w:type="dxa"/>
          <w:bottom w:w="28" w:type="dxa"/>
          <w:right w:w="28" w:type="dxa"/>
        </w:tblCellMar>
      </w:tblPr>
      <w:tblGrid>
        <w:gridCol w:w="3691"/>
        <w:gridCol w:w="154"/>
      </w:tblGrid>
      <w:tr>
        <w:trPr/>
        <w:tc>
          <w:tcPr>
            <w:tcW w:w="38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9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b/>
              </w:rPr>
            </w:pPr>
            <w:r>
              <w:rPr>
                <w:b/>
              </w:rPr>
              <w:t xml:space="preserve">SKYWORKS SOLUTIONS,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99" w:type="dxa"/>
        <w:jc w:val="left"/>
        <w:tblInd w:w="0" w:type="dxa"/>
        <w:tblLayout w:type="fixed"/>
        <w:tblCellMar>
          <w:top w:w="28" w:type="dxa"/>
          <w:left w:w="28" w:type="dxa"/>
          <w:bottom w:w="28" w:type="dxa"/>
          <w:right w:w="28" w:type="dxa"/>
        </w:tblCellMar>
      </w:tblPr>
      <w:tblGrid>
        <w:gridCol w:w="241"/>
        <w:gridCol w:w="946"/>
        <w:gridCol w:w="991"/>
        <w:gridCol w:w="1276"/>
        <w:gridCol w:w="11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$0.25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16,811,023 </w:t>
            </w:r>
          </w:p>
        </w:tc>
        <w:tc>
          <w:tcPr>
            <w:tcW w:w="1156" w:type="dxa"/>
            <w:tcBorders/>
            <w:shd w:fill="E7E7E2" w:val="clear"/>
            <w:vAlign w:val="center"/>
          </w:tcPr>
          <w:p>
            <w:pPr>
              <w:pStyle w:val="TableContents"/>
              <w:bidi w:val="0"/>
              <w:spacing w:before="0" w:after="283"/>
              <w:jc w:val="right"/>
              <w:rPr/>
            </w:pPr>
            <w:r>
              <w:rPr/>
              <w:t xml:space="preserve">$ 66.42 </w:t>
            </w:r>
          </w:p>
        </w:tc>
        <w:tc>
          <w:tcPr>
            <w:tcW w:w="1966" w:type="dxa"/>
            <w:tcBorders/>
            <w:shd w:fill="E7E7E2" w:val="clear"/>
            <w:vAlign w:val="center"/>
          </w:tcPr>
          <w:p>
            <w:pPr>
              <w:pStyle w:val="TableContents"/>
              <w:bidi w:val="0"/>
              <w:spacing w:before="0" w:after="283"/>
              <w:jc w:val="right"/>
              <w:rPr/>
            </w:pPr>
            <w:r>
              <w:rPr/>
              <w:t xml:space="preserve">$ 1,116,588,147.66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$ 154,200.82 </w:t>
            </w:r>
          </w:p>
        </w:tc>
      </w:tr>
      <w:tr>
        <w:trPr/>
        <w:tc>
          <w:tcPr>
            <w:tcW w:w="46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 w:name="MaxAggtOfferingPrice"/>
            <w:bookmarkEnd w:id="4"/>
            <w:r>
              <w:rPr/>
              <w:t xml:space="preserve">$ 1,116,588,147.66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$ 154,200.82 </w:t>
            </w:r>
          </w:p>
        </w:tc>
      </w:tr>
      <w:tr>
        <w:trPr/>
        <w:tc>
          <w:tcPr>
            <w:tcW w:w="46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7" w:name="NetFeeAmt"/>
            <w:bookmarkEnd w:id="7"/>
            <w:r>
              <w:rPr/>
              <w:t xml:space="preserve">$ 154,200.82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5"/>
        <w:gridCol w:w="8711"/>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(2) Consists of (i) 8,000,000 shares issuable under the Skyworks Solutions, Inc. 2026 Long-Term Incentive Plan (the "Plan"), plus (ii) an additional number of shares (up to 8,811,023 shares) as is equal to the sum of (x) the number of shares of the Registrant's common stock (the "Common Stock") reserved under the Skyworks Solutions, Inc. Second Amended and Restated 2015 Long-Term Incentive Plan (the "Prior Plan") that remained available for grant under the Prior Plan as of May 13, 2026, the date on which Skyworks Solutions, Inc. stockholders approved the Plan (the "Effective Date"), and (y) the number of shares of Common Stock subject to awards granted under the Prior Plan which awards expire, terminate, or are otherwise surrendered, cancelled, forfeited, or repurchased by the Registrant at their original issuance price pursuant to a contractual repurchase right after the Effective Date, subject to the terms of the Plan. (3) Estimated solely for the purpose of calculating the registration fee pursuant to Rules 457(c) and 457(h) of the Securities Act. The price per share and aggregate offering price are calculated on the basis of the average of the high and low prices of the Common Stock on the Nasdaq Global Select Market on May 8, 2026, in accordance with Rule 457(c) under the Securities Act.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center"/>
        <w:rPr/>
      </w:pPr>
      <w:r>
        <w:rPr/>
        <w:drawing>
          <wp:inline distT="0" distB="0" distL="0" distR="0">
            <wp:extent cx="1657350" cy="6191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5"/>
                    <a:stretch>
                      <a:fillRect/>
                    </a:stretch>
                  </pic:blipFill>
                  <pic:spPr bwMode="auto">
                    <a:xfrm>
                      <a:off x="0" y="0"/>
                      <a:ext cx="1657350" cy="619125"/>
                    </a:xfrm>
                    <a:prstGeom prst="rect">
                      <a:avLst/>
                    </a:prstGeom>
                  </pic:spPr>
                </pic:pic>
              </a:graphicData>
            </a:graphic>
          </wp:inline>
        </w:drawing>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5260 California Avenue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Irvine, CA 92617</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     2026 Long-Term Incentive Plan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have assisted in the preparation of a registration statement on Form S-8 (the “Registration Statement”) to be filed with the Securities and Exchange Commission (the “Commission”) under the Securities Act of 1933, as amended (the “Securities Act”), relating to an aggregate of 16,811,023 shares of common stock, $0.25 par value per share (the “Common Stock”) (the “Shares”), issuable under the Skyworks Solutions, Inc. (the “Registrant”) 2026 Long-Term Incentive Plan (the “2026 LTIP”).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have examined the Certificate of Incorporation and By-laws of the Company, each as amended and restated to date, and originals, or copies certified to my satisfaction, of all pertinent records of the meetings of the directors and stockholders of the Company, the Registration Statement, the 2026 LTIP and such other documents relating to the Company as I have deemed material for the purposes of this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my examination of the foregoing documents, I have assumed the genuineness of all signatures, the authenticity of all documents submitted to me as originals, the conformity to original documents of all documents submitted to me as certified, photostatic or other copies, the authenticity of the originals of any such documents and the legal competence of all signatories to such documents.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assume that the appropriate action will be taken, prior to the offer and sale of the Shares in accordance with the 2026 LTIP, to register and qualify the Shares for sale under all applicable state securities or “blue sky” laws.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express no opinion herein as to the laws of any state or jurisdiction other than the General Corporation Law of the State of Delaware.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It is understood that this opinion is to be used only in connection with the offer and sale of the Shares while the Registration Statement is in effect.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Please note that I am opining only as to the matters expressly set forth herein, and no opinion should be inferred as to any other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foregoing, I am of the opinion that the Shares have been duly authorized for issuance and, when the Shares are issued and paid for in accordance with the terms and conditions of the 2026 LTIP, the Shares will be validly issued, fully paid and nonassessable.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hereby consent to the filing of this opinion with the Commission in connection with the Registration Statement in accordance with the requirements of Item 601(b)(5) of Regulation S-K under the Securities Act. In giving such consent, I do not hereby admit that I am in the category of persons whose consent is required under Section 7 of the Securities Act or the rules and regulations of the Commission.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Robert J. Terry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Robert J. Terry, Esq.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Secretary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200"/>
        <w:jc w:val="right"/>
        <w:rPr/>
      </w:pPr>
      <w:r>
        <w:rPr/>
      </w:r>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We consent to the use of our report dated November 7, 2025, with respect to the consolidated financial statements of Skyworks Solutions, Inc., and the effectiveness of internal control over financial reporting, incorporated herein by reference.</w:t>
      </w:r>
    </w:p>
    <w:p>
      <w:pPr>
        <w:pStyle w:val="TextBody"/>
        <w:bidi w:val="0"/>
        <w:spacing w:before="0" w:after="200"/>
        <w:jc w:val="left"/>
        <w:rPr/>
      </w:pPr>
      <w:r>
        <w:rPr/>
      </w:r>
    </w:p>
    <w:p>
      <w:pPr>
        <w:pStyle w:val="TextBody"/>
        <w:bidi w:val="0"/>
        <w:spacing w:lineRule="auto" w:line="331" w:before="120" w:after="283"/>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333" w:before="120" w:after="283"/>
        <w:jc w:val="left"/>
        <w:rPr>
          <w:rFonts w:ascii="Arial;sans-serif" w:hAnsi="Arial;sans-serif"/>
          <w:b w:val="false"/>
          <w:color w:val="000000"/>
          <w:sz w:val="20"/>
        </w:rPr>
      </w:pPr>
      <w:r>
        <w:rPr>
          <w:rFonts w:ascii="Arial;sans-serif" w:hAnsi="Arial;sans-serif"/>
          <w:b w:val="false"/>
          <w:color w:val="000000"/>
          <w:sz w:val="20"/>
        </w:rPr>
        <w:t>Irvine, California</w:t>
        <w:br/>
        <w:t>May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SKYWORKS SOLUTIONS,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2026 LONG-TERM INCENTIVE PLAN</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1.Purpose</w:t>
      </w:r>
    </w:p>
    <w:p>
      <w:pPr>
        <w:pStyle w:val="TextBody"/>
        <w:bidi w:val="0"/>
        <w:spacing w:lineRule="auto" w:line="288" w:before="0" w:after="240"/>
        <w:jc w:val="left"/>
        <w:rPr/>
      </w:pPr>
      <w:r>
        <w:rPr>
          <w:rFonts w:ascii="Times New Roman;serif" w:hAnsi="Times New Roman;serif"/>
          <w:b w:val="false"/>
          <w:color w:val="000000"/>
          <w:sz w:val="24"/>
        </w:rPr>
        <w:t>The purpose of this 2026 Long-Term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of Skyworks Solutions, Inc.,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2.Certain Definitions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w:t>
      </w: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shall mean the entity that conducts the general administration of the Plan as provided in Section 3. With reference to the duties of the Committee under the Plan that have been delegated to one or more persons pursuant to Section 3(d) or Section 3(e), or as to which the Board has assumed, the term “Administrator” shall refer to such person(s) unless the Committee or the Board has revoked such delegation or the Board has terminated the assumption of such duties.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(b)</w:t>
      </w:r>
      <w:r>
        <w:rPr>
          <w:color w:val="000000"/>
        </w:rPr>
        <w:t>“</w:t>
      </w:r>
      <w:r>
        <w:rPr>
          <w:rFonts w:ascii="Times New Roman;serif" w:hAnsi="Times New Roman;serif"/>
          <w:b/>
          <w:i/>
          <w:color w:val="000000"/>
          <w:sz w:val="24"/>
        </w:rPr>
        <w:t>Award</w:t>
      </w:r>
      <w:r>
        <w:rPr>
          <w:color w:val="000000"/>
        </w:rPr>
        <w:t xml:space="preserve">” </w:t>
      </w:r>
      <w:r>
        <w:rPr>
          <w:rFonts w:ascii="Times New Roman;serif" w:hAnsi="Times New Roman;serif"/>
          <w:b w:val="false"/>
          <w:color w:val="000000"/>
          <w:sz w:val="24"/>
        </w:rPr>
        <w:t>shall mean an Option, a Restricted Stock award, a Restricted Stock Unit award, a Performance Award, a Dividend Equivalent award, an Other Stock Unit Award, or a Stock Appreciation Right, which may be awarded or granted under the Plan (collectively, “</w:t>
      </w:r>
      <w:r>
        <w:rPr>
          <w:rFonts w:ascii="Times New Roman;serif" w:hAnsi="Times New Roman;serif"/>
          <w:b/>
          <w:i/>
          <w:color w:val="000000"/>
          <w:sz w:val="24"/>
        </w:rPr>
        <w:t>Awards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left"/>
        <w:rPr/>
      </w:pPr>
      <w:r>
        <w:rPr>
          <w:rFonts w:ascii="Times New Roman;serif" w:hAnsi="Times New Roman;serif"/>
          <w:b w:val="false"/>
          <w:i/>
          <w:color w:val="000000"/>
          <w:sz w:val="24"/>
        </w:rPr>
        <w:t>(c)</w:t>
      </w:r>
      <w:r>
        <w:rPr>
          <w:color w:val="000000"/>
        </w:rPr>
        <w:t>“</w:t>
      </w:r>
      <w:r>
        <w:rPr>
          <w:rFonts w:ascii="Times New Roman;serif" w:hAnsi="Times New Roman;serif"/>
          <w:b/>
          <w:i/>
          <w:color w:val="000000"/>
          <w:sz w:val="24"/>
        </w:rPr>
        <w:t>Award Agreement</w:t>
      </w:r>
      <w:r>
        <w:rPr>
          <w:color w:val="000000"/>
        </w:rPr>
        <w:t xml:space="preserve">” </w:t>
      </w:r>
      <w:r>
        <w:rPr>
          <w:rFonts w:ascii="Times New Roman;serif" w:hAnsi="Times New Roman;serif"/>
          <w:b w:val="false"/>
          <w:color w:val="000000"/>
          <w:sz w:val="24"/>
        </w:rPr>
        <w:t>shall mean any written notice, agreement, terms and conditions, contract or other instrument or document evidencing an Award, including through electronic medium, which shall contain such terms and conditions with respect to an Award that are consistent with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w:t>
      </w:r>
      <w:r>
        <w:rPr>
          <w:color w:val="000000"/>
        </w:rPr>
        <w:t>“</w:t>
      </w:r>
      <w:r>
        <w:rPr>
          <w:rFonts w:ascii="Times New Roman;serif" w:hAnsi="Times New Roman;serif"/>
          <w:b/>
          <w:i/>
          <w:color w:val="000000"/>
          <w:sz w:val="24"/>
        </w:rPr>
        <w:t>Award Limit</w:t>
      </w:r>
      <w:r>
        <w:rPr>
          <w:color w:val="000000"/>
        </w:rPr>
        <w:t xml:space="preserve">” </w:t>
      </w:r>
      <w:r>
        <w:rPr>
          <w:rFonts w:ascii="Times New Roman;serif" w:hAnsi="Times New Roman;serif"/>
          <w:b w:val="false"/>
          <w:color w:val="000000"/>
          <w:sz w:val="24"/>
        </w:rPr>
        <w:t>shall mean, with respect to Awards that shall be payable in shares of Common Stock or in cash, as the case may be, the respective per-Participant limit set forth in Section 4(d).</w:t>
      </w:r>
    </w:p>
    <w:p>
      <w:pPr>
        <w:pStyle w:val="TextBody"/>
        <w:bidi w:val="0"/>
        <w:spacing w:lineRule="auto" w:line="240" w:before="0" w:after="240"/>
        <w:ind w:left="0" w:right="0" w:hanging="720"/>
        <w:jc w:val="left"/>
        <w:rPr/>
      </w:pPr>
      <w:r>
        <w:rPr>
          <w:rFonts w:ascii="Times New Roman;serif" w:hAnsi="Times New Roman;serif"/>
          <w:b w:val="false"/>
          <w:i/>
          <w:color w:val="000000"/>
          <w:sz w:val="24"/>
        </w:rPr>
        <w:t>(e)</w:t>
      </w: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(f)</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shall have the meaning given in an employment agreement, severance agreement, change in control agreement, consulting agreement or other similar agreement, if any, between the Company and the Participant, or if there is no such agreement (or if such agreement does not define “Cause”), then except as otherwise provided by the Administrator in an Award Agreement with respect to an Award, “Cause” shall mean the determination by the Administrator or by the Company’s appropriate management personnel that any of the following acts or events exists or has occurred with respect to a Participant:</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the Participant’s deliberate dishonesty that is significantly detrimental to the best interests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conduct by the Participant constituting an act of moral turpitude;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the Participant’s willful disloyalty to the Company or refusal or failure to obey the directions of the Board, the Company’s Chief Executive Officer or President, or the Participant’s direct supervisor;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(iv)</w:t>
      </w:r>
      <w:r>
        <w:rPr>
          <w:rFonts w:ascii="Times New Roman;serif" w:hAnsi="Times New Roman;serif"/>
          <w:b w:val="false"/>
          <w:color w:val="000000"/>
          <w:sz w:val="24"/>
        </w:rPr>
        <w:t>the Participant’s incompetent performance or substantial or continuing inattention to or neglect of duties assigned to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(g)</w:t>
      </w: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mean an event or occurrence set forth in any one or more of subsections (i) through (iv) below (including an event or occurrence that constitutes a Change in Control under one of such subsections but is specifically exempted from another such subsection):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the acquisition by an individual, entity or group (within the meaning of Section 13(d)(3) or 14(d)(2) of the Exchange Act (a “</w:t>
      </w:r>
      <w:r>
        <w:rPr>
          <w:rFonts w:ascii="Times New Roman;serif" w:hAnsi="Times New Roman;serif"/>
          <w:b/>
          <w:i/>
          <w:color w:val="000000"/>
          <w:sz w:val="24"/>
        </w:rPr>
        <w:t>Person</w:t>
      </w:r>
      <w:r>
        <w:rPr>
          <w:color w:val="000000"/>
        </w:rPr>
        <w:t>”</w:t>
      </w:r>
      <w:r>
        <w:rPr>
          <w:rFonts w:ascii="Times New Roman;serif" w:hAnsi="Times New Roman;serif"/>
          <w:b w:val="false"/>
          <w:color w:val="000000"/>
          <w:sz w:val="24"/>
        </w:rPr>
        <w:t>) of beneficial ownership of any capital stock of the Company if, after such acquisition, such Person beneficially owns (within the meaning of Rule 13d-3 promulgated under the Exchange Act) 40% or more of either (x) the then-outstanding shares of Common Stock (the “</w:t>
      </w:r>
      <w:r>
        <w:rPr>
          <w:rFonts w:ascii="Times New Roman;serif" w:hAnsi="Times New Roman;serif"/>
          <w:b/>
          <w:i/>
          <w:color w:val="000000"/>
          <w:sz w:val="24"/>
        </w:rPr>
        <w:t>Outstanding Company Common Stock</w:t>
      </w:r>
      <w:r>
        <w:rPr>
          <w:color w:val="000000"/>
        </w:rPr>
        <w:t>”</w:t>
      </w:r>
      <w:r>
        <w:rPr>
          <w:rFonts w:ascii="Times New Roman;serif" w:hAnsi="Times New Roman;serif"/>
          <w:b w:val="false"/>
          <w:color w:val="000000"/>
          <w:sz w:val="24"/>
        </w:rPr>
        <w:t>) or (y) the combined voting power of the then-outstanding securities of the Company entitled to vote generally in the election of directors (the “</w:t>
      </w:r>
      <w:r>
        <w:rPr>
          <w:rFonts w:ascii="Times New Roman;serif" w:hAnsi="Times New Roman;serif"/>
          <w:b/>
          <w:i/>
          <w:color w:val="000000"/>
          <w:sz w:val="24"/>
        </w:rPr>
        <w:t>Outstanding Company Voting Securities</w:t>
      </w:r>
      <w:r>
        <w:rPr>
          <w:color w:val="000000"/>
        </w:rPr>
        <w:t>”</w:t>
      </w:r>
      <w:r>
        <w:rPr>
          <w:rFonts w:ascii="Times New Roman;serif" w:hAnsi="Times New Roman;serif"/>
          <w:b w:val="false"/>
          <w:color w:val="000000"/>
          <w:sz w:val="24"/>
        </w:rPr>
        <w:t>); provided, however, that for purposes of this subsection (i), the following acquisitions shall not constitute a Change in Control: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and (B) of subsection (iii) of this Section 2(g);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such time as the Continuing Directors (as defined below) do not constitute a majority of the Board (or, if applicable, the Board of Directors of a successor corporation to the Company), where the term “</w:t>
      </w:r>
      <w:r>
        <w:rPr>
          <w:rFonts w:ascii="Times New Roman;serif" w:hAnsi="Times New Roman;serif"/>
          <w:b/>
          <w:i/>
          <w:color w:val="000000"/>
          <w:sz w:val="24"/>
        </w:rPr>
        <w:t>Continuing Director</w:t>
      </w:r>
      <w:r>
        <w:rPr>
          <w:color w:val="000000"/>
        </w:rPr>
        <w:t xml:space="preserve">” </w:t>
      </w:r>
      <w:r>
        <w:rPr>
          <w:rFonts w:ascii="Times New Roman;serif" w:hAnsi="Times New Roman;serif"/>
          <w:b w:val="false"/>
          <w:color w:val="000000"/>
          <w:sz w:val="24"/>
        </w:rPr>
        <w:t xml:space="preserve">means at any date a member of the Board (A) who was a member of the Board on the Effective Date or (B) who was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(B) any individual whose initial assumption of office occurred as a result of an actual or threatened election contest with respect to the election or removal of directors or other actual or threatened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solicitation of proxies or consents, by or on behalf of a person other than the Board;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Times New Roman;serif" w:hAnsi="Times New Roman;serif"/>
          <w:b/>
          <w:i/>
          <w:color w:val="000000"/>
          <w:sz w:val="24"/>
        </w:rPr>
        <w:t>Business Combination</w:t>
      </w:r>
      <w:r>
        <w:rPr>
          <w:color w:val="000000"/>
        </w:rPr>
        <w:t>”</w:t>
      </w:r>
      <w:r>
        <w:rPr>
          <w:rFonts w:ascii="Times New Roman;serif" w:hAnsi="Times New Roman;serif"/>
          <w:b w:val="false"/>
          <w:color w:val="000000"/>
          <w:sz w:val="24"/>
        </w:rPr>
        <w:t>), unless, immediately following such Business Combination, each of the following two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that as a result of such transaction owns the Company or substantially all of the Company’s assets either directly or through one or more subsidiaries) (such resulting or acquiring corporation is referred to herein as the “</w:t>
      </w:r>
      <w:r>
        <w:rPr>
          <w:rFonts w:ascii="Times New Roman;serif" w:hAnsi="Times New Roman;serif"/>
          <w:b/>
          <w:i/>
          <w:color w:val="000000"/>
          <w:sz w:val="24"/>
        </w:rPr>
        <w:t>Acquiring Corporation</w:t>
      </w:r>
      <w:r>
        <w:rPr>
          <w:color w:val="000000"/>
        </w:rPr>
        <w:t>”</w:t>
      </w:r>
      <w:r>
        <w:rPr>
          <w:rFonts w:ascii="Times New Roman;serif" w:hAnsi="Times New Roman;serif"/>
          <w:b w:val="false"/>
          <w:color w:val="000000"/>
          <w:sz w:val="24"/>
        </w:rPr>
        <w:t>) in substantially the same proportions as their ownership, immediately prior to such Business Combination, of the Outstanding Company Common Stock and Outstanding Company Voting Securities, respectively; and (B) no Person (excluding any employee benefit plan (or related trust) maintained or sponsored by the Company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(iv)</w:t>
      </w:r>
      <w:r>
        <w:rPr>
          <w:rFonts w:ascii="Times New Roman;serif" w:hAnsi="Times New Roman;serif"/>
          <w:b w:val="false"/>
          <w:color w:val="000000"/>
          <w:sz w:val="24"/>
        </w:rPr>
        <w:t>approval by the stockholders of the Company of a complete liquidation or dissolution of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all references to the “Company” in this Section 2(g) shall mean Skyworks Solutions, Inc. Notwithstanding anything herein to the contrary, to the extent that any payment or benefit under the Plan constitutes nonqualified deferred compensation within the meaning of Section 409A, then, with respect to such payment or benefit, any event constituting a Change in Control above must also constitute a “change in control event” within the meaning of Treasury Regulation Section 1.409A-3(i)(5)(i).</w:t>
      </w:r>
    </w:p>
    <w:p>
      <w:pPr>
        <w:pStyle w:val="TextBody"/>
        <w:bidi w:val="0"/>
        <w:spacing w:lineRule="auto" w:line="240" w:before="0" w:after="240"/>
        <w:ind w:left="0" w:right="0" w:hanging="720"/>
        <w:jc w:val="left"/>
        <w:rPr/>
      </w:pPr>
      <w:r>
        <w:rPr>
          <w:rFonts w:ascii="Times New Roman;serif" w:hAnsi="Times New Roman;serif"/>
          <w:b w:val="false"/>
          <w:i/>
          <w:color w:val="000000"/>
          <w:sz w:val="24"/>
        </w:rPr>
        <w:t>(h)</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shall mean the Internal Revenue Code of 1986, as amended from time to time.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color w:val="000000"/>
        </w:rPr>
        <w:t>“</w:t>
      </w:r>
      <w:r>
        <w:rPr>
          <w:rFonts w:ascii="Times New Roman;serif" w:hAnsi="Times New Roman;serif"/>
          <w:b/>
          <w:i/>
          <w:color w:val="000000"/>
          <w:sz w:val="24"/>
        </w:rPr>
        <w:t>Committee</w:t>
      </w:r>
      <w:r>
        <w:rPr>
          <w:color w:val="000000"/>
        </w:rPr>
        <w:t xml:space="preserve">” </w:t>
      </w:r>
      <w:r>
        <w:rPr>
          <w:rFonts w:ascii="Times New Roman;serif" w:hAnsi="Times New Roman;serif"/>
          <w:b w:val="false"/>
          <w:color w:val="000000"/>
          <w:sz w:val="24"/>
        </w:rPr>
        <w:t>shall mean the Compensation and Talent Committee of the Board, or another committee or subcommittee of the Board, appointed as provided in Section 3(a).</w:t>
      </w:r>
    </w:p>
    <w:p>
      <w:pPr>
        <w:pStyle w:val="TextBody"/>
        <w:bidi w:val="0"/>
        <w:spacing w:lineRule="auto" w:line="240" w:before="0" w:after="240"/>
        <w:ind w:left="0" w:right="0" w:hanging="720"/>
        <w:jc w:val="left"/>
        <w:rPr/>
      </w:pPr>
      <w:r>
        <w:rPr>
          <w:rFonts w:ascii="Times New Roman;serif" w:hAnsi="Times New Roman;serif"/>
          <w:b w:val="false"/>
          <w:i/>
          <w:color w:val="000000"/>
          <w:sz w:val="24"/>
        </w:rPr>
        <w:t>(j)</w:t>
      </w:r>
      <w:r>
        <w:rPr>
          <w:color w:val="000000"/>
        </w:rPr>
        <w:t>“</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shall mean the common stock of Skyworks Solutions, Inc., par value $0.25 per share.</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(k)</w:t>
      </w: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shall mean Skyworks Solutions, Inc., a Delaware corporation. Except where the context otherwise requires, the term “Company” shall include any present or future Subsidiary or parent corporation (as “parent corporation” is defined in Section 424(e) of the Code and any regulations promulgated thereunder) of the Company and any other business venture (including, without limitation, joint venture or limited liability company) in which the Company has a controlling interest, as determined by the Board.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(l)</w:t>
      </w:r>
      <w:r>
        <w:rPr>
          <w:color w:val="000000"/>
        </w:rPr>
        <w:t>“</w:t>
      </w:r>
      <w:r>
        <w:rPr>
          <w:rFonts w:ascii="Times New Roman;serif" w:hAnsi="Times New Roman;serif"/>
          <w:b/>
          <w:i/>
          <w:color w:val="000000"/>
          <w:sz w:val="24"/>
        </w:rPr>
        <w:t>Consultant</w:t>
      </w:r>
      <w:r>
        <w:rPr>
          <w:color w:val="000000"/>
        </w:rPr>
        <w:t xml:space="preserve">” </w:t>
      </w:r>
      <w:r>
        <w:rPr>
          <w:rFonts w:ascii="Times New Roman;serif" w:hAnsi="Times New Roman;serif"/>
          <w:b w:val="false"/>
          <w:color w:val="000000"/>
          <w:sz w:val="24"/>
        </w:rPr>
        <w:t>shall mean any consultant or adviser that qualifies as a consultant under the applicable rules of the Securities and Exchange Commission for registration of shares on a Form S-8 Registration Statement.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(m)</w:t>
      </w:r>
      <w:r>
        <w:rPr>
          <w:color w:val="000000"/>
        </w:rPr>
        <w:t>“</w:t>
      </w:r>
      <w:r>
        <w:rPr>
          <w:rFonts w:ascii="Times New Roman;serif" w:hAnsi="Times New Roman;serif"/>
          <w:b/>
          <w:i/>
          <w:color w:val="000000"/>
          <w:sz w:val="24"/>
        </w:rPr>
        <w:t>Designated Beneficiary</w:t>
      </w:r>
      <w:r>
        <w:rPr>
          <w:color w:val="000000"/>
        </w:rPr>
        <w:t xml:space="preserve">” </w:t>
      </w:r>
      <w:r>
        <w:rPr>
          <w:rFonts w:ascii="Times New Roman;serif" w:hAnsi="Times New Roman;serif"/>
          <w:b w:val="false"/>
          <w:color w:val="000000"/>
          <w:sz w:val="24"/>
        </w:rPr>
        <w:t>shall mean the beneficiary designated, in a manner determined by the Company, by a Participant to receive amounts due or exercise rights of the Participant in the event of the Participant’s death. In the absence of an effective designation by a Participant, “Designated Beneficiary” shall mean the Participant’s estate.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(n)</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shall mean that the Participant is “permanently and totally disabled” within the meaning of Section 22(e)(3) of the Code. Notwithstanding anything herein to the contrary, to the extent that a payment or benefit under the Plan constitutes nonqualified deferred compensation within the meaning of Section 409A, then, with respect to such payment or benefit, the Participant must also be “disabled” within the meaning of Section 409A(a)(2)(C) of the Code.</w:t>
      </w:r>
    </w:p>
    <w:p>
      <w:pPr>
        <w:pStyle w:val="TextBody"/>
        <w:bidi w:val="0"/>
        <w:spacing w:lineRule="auto" w:line="240" w:before="0" w:after="240"/>
        <w:ind w:left="0" w:right="0" w:hanging="720"/>
        <w:jc w:val="left"/>
        <w:rPr/>
      </w:pPr>
      <w:r>
        <w:rPr>
          <w:rFonts w:ascii="Times New Roman;serif" w:hAnsi="Times New Roman;serif"/>
          <w:b w:val="false"/>
          <w:i/>
          <w:color w:val="000000"/>
          <w:sz w:val="24"/>
        </w:rPr>
        <w:t>(o)</w:t>
      </w:r>
      <w:r>
        <w:rPr>
          <w:color w:val="000000"/>
        </w:rPr>
        <w:t>“</w:t>
      </w:r>
      <w:r>
        <w:rPr>
          <w:rFonts w:ascii="Times New Roman;serif" w:hAnsi="Times New Roman;serif"/>
          <w:b/>
          <w:i/>
          <w:color w:val="000000"/>
          <w:sz w:val="24"/>
        </w:rPr>
        <w:t>Dividend Equivalent</w:t>
      </w:r>
      <w:r>
        <w:rPr>
          <w:color w:val="000000"/>
        </w:rPr>
        <w:t xml:space="preserve">” </w:t>
      </w:r>
      <w:r>
        <w:rPr>
          <w:rFonts w:ascii="Times New Roman;serif" w:hAnsi="Times New Roman;serif"/>
          <w:b w:val="false"/>
          <w:color w:val="000000"/>
          <w:sz w:val="24"/>
        </w:rPr>
        <w:t>shall mean a right to receive the equivalent value (in cash or Common Stock) of dividends paid on Common Stock, granted under Section 8(b).</w:t>
      </w:r>
    </w:p>
    <w:p>
      <w:pPr>
        <w:pStyle w:val="TextBody"/>
        <w:bidi w:val="0"/>
        <w:spacing w:lineRule="auto" w:line="240" w:before="0" w:after="240"/>
        <w:ind w:left="0" w:right="0" w:hanging="720"/>
        <w:jc w:val="left"/>
        <w:rPr/>
      </w:pPr>
      <w:r>
        <w:rPr>
          <w:rFonts w:ascii="Times New Roman;serif" w:hAnsi="Times New Roman;serif"/>
          <w:b w:val="false"/>
          <w:i/>
          <w:color w:val="000000"/>
          <w:sz w:val="24"/>
        </w:rPr>
        <w:t>(p)</w:t>
      </w: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shall mean May 13, 2026.</w:t>
      </w:r>
    </w:p>
    <w:p>
      <w:pPr>
        <w:pStyle w:val="TextBody"/>
        <w:bidi w:val="0"/>
        <w:spacing w:lineRule="auto" w:line="240" w:before="0" w:after="240"/>
        <w:ind w:left="0" w:right="0" w:hanging="720"/>
        <w:jc w:val="left"/>
        <w:rPr/>
      </w:pPr>
      <w:r>
        <w:rPr>
          <w:rFonts w:ascii="Times New Roman;serif" w:hAnsi="Times New Roman;serif"/>
          <w:b w:val="false"/>
          <w:i/>
          <w:color w:val="000000"/>
          <w:sz w:val="24"/>
        </w:rPr>
        <w:t>(q)</w:t>
      </w:r>
      <w:r>
        <w:rPr>
          <w:color w:val="000000"/>
        </w:rPr>
        <w:t>“</w:t>
      </w:r>
      <w:r>
        <w:rPr>
          <w:rFonts w:ascii="Times New Roman;serif" w:hAnsi="Times New Roman;serif"/>
          <w:b/>
          <w:i/>
          <w:color w:val="000000"/>
          <w:sz w:val="24"/>
        </w:rPr>
        <w:t>Eligible Individual</w:t>
      </w:r>
      <w:r>
        <w:rPr>
          <w:color w:val="000000"/>
        </w:rPr>
        <w:t xml:space="preserve">” </w:t>
      </w:r>
      <w:r>
        <w:rPr>
          <w:rFonts w:ascii="Times New Roman;serif" w:hAnsi="Times New Roman;serif"/>
          <w:b w:val="false"/>
          <w:color w:val="000000"/>
          <w:sz w:val="24"/>
        </w:rPr>
        <w:t xml:space="preserve">shall mean any person who is an Employee or a Consultant, as determined by the Administrator. </w:t>
      </w:r>
    </w:p>
    <w:p>
      <w:pPr>
        <w:pStyle w:val="TextBody"/>
        <w:bidi w:val="0"/>
        <w:spacing w:lineRule="auto" w:line="240" w:before="0" w:after="240"/>
        <w:ind w:left="0" w:right="0" w:hanging="720"/>
        <w:jc w:val="left"/>
        <w:rPr/>
      </w:pPr>
      <w:r>
        <w:rPr>
          <w:rFonts w:ascii="Times New Roman;serif" w:hAnsi="Times New Roman;serif"/>
          <w:b w:val="false"/>
          <w:i/>
          <w:color w:val="000000"/>
          <w:sz w:val="24"/>
        </w:rPr>
        <w:t>(r)</w:t>
      </w:r>
      <w:r>
        <w:rPr>
          <w:color w:val="000000"/>
        </w:rPr>
        <w:t>“</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4"/>
        </w:rPr>
        <w:t>shall mean any officer or other employee (as defined in accordance with Section 3401(c) of the Code)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(s)</w:t>
      </w:r>
      <w:r>
        <w:rPr>
          <w:color w:val="000000"/>
        </w:rPr>
        <w:t>“</w:t>
      </w:r>
      <w:r>
        <w:rPr>
          <w:rFonts w:ascii="Times New Roman;serif" w:hAnsi="Times New Roman;serif"/>
          <w:b/>
          <w:i/>
          <w:color w:val="000000"/>
          <w:sz w:val="24"/>
        </w:rPr>
        <w:t>Equity Acceleration Date</w:t>
      </w:r>
      <w:r>
        <w:rPr>
          <w:color w:val="000000"/>
        </w:rPr>
        <w:t xml:space="preserve">” </w:t>
      </w:r>
      <w:r>
        <w:rPr>
          <w:rFonts w:ascii="Times New Roman;serif" w:hAnsi="Times New Roman;serif"/>
          <w:b w:val="false"/>
          <w:color w:val="000000"/>
          <w:sz w:val="24"/>
        </w:rPr>
        <w:t>shall mean, with respect to an Award held by a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the effective date of a Change in Control, in the event that the Participant experiences a Qualifying Termination that is within the period of time commencing three (3) months prior to the Change in Control and ending on the effective date of the Change in Control;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the effective date of the Participant’s Termination of Service, in the event that the Participant experiences a Qualifying Termination that is within the period of time commencing on the effective date of a Change in Control and ending twelve (12) months following the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(t)</w:t>
      </w:r>
      <w:r>
        <w:rPr>
          <w:color w:val="000000"/>
        </w:rPr>
        <w:t>“</w:t>
      </w:r>
      <w:r>
        <w:rPr>
          <w:rFonts w:ascii="Times New Roman;serif" w:hAnsi="Times New Roman;serif"/>
          <w:b/>
          <w:i/>
          <w:color w:val="000000"/>
          <w:sz w:val="24"/>
        </w:rPr>
        <w:t>Expiration Date</w:t>
      </w:r>
      <w:r>
        <w:rPr>
          <w:color w:val="000000"/>
        </w:rPr>
        <w:t xml:space="preserve">” </w:t>
      </w:r>
      <w:r>
        <w:rPr>
          <w:rFonts w:ascii="Times New Roman;serif" w:hAnsi="Times New Roman;serif"/>
          <w:b w:val="false"/>
          <w:color w:val="000000"/>
          <w:sz w:val="24"/>
        </w:rPr>
        <w:t>shall mean May 12, 2036.</w:t>
      </w:r>
    </w:p>
    <w:p>
      <w:pPr>
        <w:pStyle w:val="TextBody"/>
        <w:bidi w:val="0"/>
        <w:spacing w:lineRule="auto" w:line="240" w:before="0" w:after="240"/>
        <w:ind w:left="0" w:right="0" w:hanging="720"/>
        <w:jc w:val="left"/>
        <w:rPr/>
      </w:pPr>
      <w:r>
        <w:rPr>
          <w:rFonts w:ascii="Times New Roman;serif" w:hAnsi="Times New Roman;serif"/>
          <w:b w:val="false"/>
          <w:i/>
          <w:color w:val="000000"/>
          <w:sz w:val="24"/>
        </w:rPr>
        <w:t>(u)</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amended from time to time.</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(v)</w:t>
      </w: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shall mean, as of any given date, the value of a share of Common Stock determined as follows: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If the Common Stock is listed on any established stock exchange, national market system or automated quotation system (such as Nasdaq),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by Nasdaq or such other source as the Administrator deems reliable, such as </w:t>
      </w:r>
      <w:r>
        <w:rPr>
          <w:rFonts w:ascii="Times New Roman;serif" w:hAnsi="Times New Roman;serif"/>
          <w:b w:val="false"/>
          <w:i/>
          <w:color w:val="000000"/>
          <w:sz w:val="24"/>
        </w:rPr>
        <w:t>The Wall Street Journal</w:t>
      </w:r>
      <w:r>
        <w:rPr>
          <w:rFonts w:ascii="Times New Roman;serif" w:hAnsi="Times New Roman;serif"/>
          <w:b w:val="false"/>
          <w:color w:val="000000"/>
          <w:sz w:val="24"/>
        </w:rPr>
        <w: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If the Common Stock is regularly quoted by a recognized securities dealer but closing sales prices are not reported,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If the Common Stock is neither listed on an established stock exchange or a national market system nor regularly quoted by a recognized securities dealer, its Fair Market Value shall be established by the Administrator in good faith.</w:t>
      </w:r>
    </w:p>
    <w:p>
      <w:pPr>
        <w:pStyle w:val="TextBody"/>
        <w:bidi w:val="0"/>
        <w:spacing w:lineRule="auto" w:line="240" w:before="0" w:after="240"/>
        <w:ind w:left="0" w:right="0" w:hanging="720"/>
        <w:jc w:val="left"/>
        <w:rPr/>
      </w:pPr>
      <w:r>
        <w:rPr>
          <w:rFonts w:ascii="Times New Roman;serif" w:hAnsi="Times New Roman;serif"/>
          <w:b w:val="false"/>
          <w:i/>
          <w:color w:val="000000"/>
          <w:sz w:val="24"/>
        </w:rPr>
        <w:t>(w)</w:t>
      </w:r>
      <w:r>
        <w:rPr>
          <w:color w:val="000000"/>
        </w:rPr>
        <w:t>“</w:t>
      </w:r>
      <w:r>
        <w:rPr>
          <w:rFonts w:ascii="Times New Roman;serif" w:hAnsi="Times New Roman;serif"/>
          <w:b/>
          <w:i/>
          <w:color w:val="000000"/>
          <w:sz w:val="24"/>
        </w:rPr>
        <w:t>Full Value Award</w:t>
      </w:r>
      <w:r>
        <w:rPr>
          <w:color w:val="000000"/>
        </w:rPr>
        <w:t xml:space="preserve">” </w:t>
      </w:r>
      <w:r>
        <w:rPr>
          <w:rFonts w:ascii="Times New Roman;serif" w:hAnsi="Times New Roman;serif"/>
          <w:b w:val="false"/>
          <w:color w:val="000000"/>
          <w:sz w:val="24"/>
        </w:rPr>
        <w:t>shall mean any Award other than an Option, Stock Appreciation Right or other Award for which the Participant pays the Fair Market Value of the Common Stock as of the date of grant (whether directly or by forgoing a right to receive a payment from the Company or any Subsidiary).</w:t>
      </w:r>
    </w:p>
    <w:p>
      <w:pPr>
        <w:pStyle w:val="TextBody"/>
        <w:bidi w:val="0"/>
        <w:spacing w:lineRule="auto" w:line="240" w:before="0" w:after="240"/>
        <w:ind w:left="0" w:right="0" w:hanging="720"/>
        <w:jc w:val="left"/>
        <w:rPr/>
      </w:pPr>
      <w:r>
        <w:rPr>
          <w:rFonts w:ascii="Times New Roman;serif" w:hAnsi="Times New Roman;serif"/>
          <w:b w:val="false"/>
          <w:i/>
          <w:color w:val="000000"/>
          <w:sz w:val="24"/>
        </w:rPr>
        <w:t>(x)</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shall have the meaning given in an employment agreement, severance agreement, change in control agreement or other similar agreement, if any, between the Company and the Participant, or if there is no such agreement (or if such agreement does not define “Good Reason”), then except as otherwise provided by the Administrator in an Award Agreement with respect to an Award, “Good Reason” shall mean either of the following actions, if taken without the express written consent of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A reduction of 5% or more in the Participant’s base salary in effect immediately prior to the Change in Control;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A change in the Participant’s principal place of employment in effect immediately prior to the Change in Control to a location that is more than fifty (50) miles from such principal place of employment.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 Participant’s Termination of Service shall not be deemed to be for Good Reason unless, within sixty (60) days of the occurrence of the event constituting Good Reason, the Participant has provided the Company (or the acquiring entity) with (A) at least thirty (30) days’ advance written notice of the Participant’s decision to terminate his or her employment for Good Reason, and (B) a period of not less than thirty (30) days to cure the event or condition described in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subsection (i) or (ii), and the Company (or the acquiring entity) has failed to so cure the event or has waived its right to cure the event, to the extent it is then subject to cure.</w:t>
      </w:r>
    </w:p>
    <w:p>
      <w:pPr>
        <w:pStyle w:val="TextBody"/>
        <w:bidi w:val="0"/>
        <w:spacing w:lineRule="auto" w:line="240" w:before="0" w:after="240"/>
        <w:ind w:left="0" w:right="0" w:hanging="720"/>
        <w:jc w:val="left"/>
        <w:rPr/>
      </w:pPr>
      <w:r>
        <w:rPr>
          <w:rFonts w:ascii="Times New Roman;serif" w:hAnsi="Times New Roman;serif"/>
          <w:b w:val="false"/>
          <w:i/>
          <w:color w:val="000000"/>
          <w:sz w:val="24"/>
        </w:rPr>
        <w:t>(y)</w:t>
      </w:r>
      <w:r>
        <w:rPr>
          <w:color w:val="000000"/>
        </w:rPr>
        <w:t>“</w:t>
      </w:r>
      <w:r>
        <w:rPr>
          <w:rFonts w:ascii="Times New Roman;serif" w:hAnsi="Times New Roman;serif"/>
          <w:b/>
          <w:i/>
          <w:color w:val="000000"/>
          <w:sz w:val="24"/>
        </w:rPr>
        <w:t>Measurement Date</w:t>
      </w:r>
      <w:r>
        <w:rPr>
          <w:color w:val="000000"/>
        </w:rPr>
        <w:t xml:space="preserve">” </w:t>
      </w:r>
      <w:r>
        <w:rPr>
          <w:rFonts w:ascii="Times New Roman;serif" w:hAnsi="Times New Roman;serif"/>
          <w:b w:val="false"/>
          <w:color w:val="000000"/>
          <w:sz w:val="24"/>
        </w:rPr>
        <w:t>shall mean, with respect to a Performance Award, the last day of the applicable Performance Period over which Performance Goals are measured pursuant to the terms of the Performance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(z)</w:t>
      </w:r>
      <w:r>
        <w:rPr>
          <w:color w:val="000000"/>
        </w:rPr>
        <w:t>“</w:t>
      </w:r>
      <w:r>
        <w:rPr>
          <w:rFonts w:ascii="Times New Roman;serif" w:hAnsi="Times New Roman;serif"/>
          <w:b/>
          <w:i/>
          <w:color w:val="000000"/>
          <w:sz w:val="24"/>
        </w:rPr>
        <w:t>Nasdaq</w:t>
      </w:r>
      <w:r>
        <w:rPr>
          <w:color w:val="000000"/>
        </w:rPr>
        <w:t xml:space="preserve">” </w:t>
      </w:r>
      <w:r>
        <w:rPr>
          <w:rFonts w:ascii="Times New Roman;serif" w:hAnsi="Times New Roman;serif"/>
          <w:b w:val="false"/>
          <w:color w:val="000000"/>
          <w:sz w:val="24"/>
        </w:rPr>
        <w:t>shall mean the Nasdaq Global Select Market.</w:t>
      </w:r>
    </w:p>
    <w:p>
      <w:pPr>
        <w:pStyle w:val="TextBody"/>
        <w:bidi w:val="0"/>
        <w:spacing w:lineRule="auto" w:line="240" w:before="0" w:after="240"/>
        <w:ind w:left="0" w:right="0" w:hanging="720"/>
        <w:jc w:val="left"/>
        <w:rPr/>
      </w:pPr>
      <w:r>
        <w:rPr>
          <w:rFonts w:ascii="Times New Roman;serif" w:hAnsi="Times New Roman;serif"/>
          <w:b w:val="false"/>
          <w:i/>
          <w:color w:val="000000"/>
          <w:sz w:val="24"/>
        </w:rPr>
        <w:t>(aa)</w:t>
      </w:r>
      <w:r>
        <w:rPr>
          <w:color w:val="000000"/>
        </w:rPr>
        <w:t>“</w:t>
      </w:r>
      <w:r>
        <w:rPr>
          <w:rFonts w:ascii="Times New Roman;serif" w:hAnsi="Times New Roman;serif"/>
          <w:b/>
          <w:i/>
          <w:color w:val="000000"/>
          <w:sz w:val="24"/>
        </w:rPr>
        <w:t>Option</w:t>
      </w:r>
      <w:r>
        <w:rPr>
          <w:color w:val="000000"/>
        </w:rPr>
        <w:t xml:space="preserve">” </w:t>
      </w:r>
      <w:r>
        <w:rPr>
          <w:rFonts w:ascii="Times New Roman;serif" w:hAnsi="Times New Roman;serif"/>
          <w:b w:val="false"/>
          <w:color w:val="000000"/>
          <w:sz w:val="24"/>
        </w:rPr>
        <w:t>shall mean a right to purchase shares of Common Stock at a specified exercise price, granted under Section 5. Any Option granted pursuant to the Plan is intended not to be an incentive stock option as described in Section 422 of the Code and shall be designated a “Nonqualified Stock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(ab)</w:t>
      </w:r>
      <w:r>
        <w:rPr>
          <w:color w:val="000000"/>
        </w:rPr>
        <w:t>“</w:t>
      </w:r>
      <w:r>
        <w:rPr>
          <w:rFonts w:ascii="Times New Roman;serif" w:hAnsi="Times New Roman;serif"/>
          <w:b/>
          <w:i/>
          <w:color w:val="000000"/>
          <w:sz w:val="24"/>
        </w:rPr>
        <w:t>Other Stock Unit Award</w:t>
      </w:r>
      <w:r>
        <w:rPr>
          <w:color w:val="000000"/>
        </w:rPr>
        <w:t xml:space="preserve">” </w:t>
      </w:r>
      <w:r>
        <w:rPr>
          <w:rFonts w:ascii="Times New Roman;serif" w:hAnsi="Times New Roman;serif"/>
          <w:b w:val="false"/>
          <w:color w:val="000000"/>
          <w:sz w:val="24"/>
        </w:rPr>
        <w:t>shall mean an Award of shares of Common Stock, or other Award that is valued in whole or in part by reference to, or is otherwise based on, shares of Common Stock or other property, granted under Section 8.</w:t>
      </w:r>
    </w:p>
    <w:p>
      <w:pPr>
        <w:pStyle w:val="TextBody"/>
        <w:bidi w:val="0"/>
        <w:spacing w:lineRule="auto" w:line="240" w:before="0" w:after="240"/>
        <w:ind w:left="0" w:right="0" w:hanging="720"/>
        <w:jc w:val="left"/>
        <w:rPr/>
      </w:pPr>
      <w:r>
        <w:rPr>
          <w:rFonts w:ascii="Times New Roman;serif" w:hAnsi="Times New Roman;serif"/>
          <w:b w:val="false"/>
          <w:i/>
          <w:color w:val="000000"/>
          <w:sz w:val="24"/>
        </w:rPr>
        <w:t>(ac)</w:t>
      </w: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shall mean a person who has been granted an Award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(ad)</w:t>
      </w:r>
      <w:r>
        <w:rPr>
          <w:color w:val="000000"/>
        </w:rPr>
        <w:t>“</w:t>
      </w:r>
      <w:r>
        <w:rPr>
          <w:rFonts w:ascii="Times New Roman;serif" w:hAnsi="Times New Roman;serif"/>
          <w:b/>
          <w:i/>
          <w:color w:val="000000"/>
          <w:sz w:val="24"/>
        </w:rPr>
        <w:t>Performance Award</w:t>
      </w:r>
      <w:r>
        <w:rPr>
          <w:color w:val="000000"/>
        </w:rPr>
        <w:t xml:space="preserve">” </w:t>
      </w:r>
      <w:r>
        <w:rPr>
          <w:rFonts w:ascii="Times New Roman;serif" w:hAnsi="Times New Roman;serif"/>
          <w:b w:val="false"/>
          <w:color w:val="000000"/>
          <w:sz w:val="24"/>
        </w:rPr>
        <w:t>shall mean a Restricted Stock Award, an Other Stock Unit Award, a cash bonus award, a stock bonus award, or any other Award under the Plan that is made subject to the achievement of Performance Goals pursuant to Section 8 and is paid in cash, Common Stock or a combination of both.</w:t>
      </w:r>
    </w:p>
    <w:p>
      <w:pPr>
        <w:pStyle w:val="TextBody"/>
        <w:bidi w:val="0"/>
        <w:spacing w:lineRule="auto" w:line="240" w:before="0" w:after="240"/>
        <w:ind w:left="0" w:right="0" w:hanging="720"/>
        <w:jc w:val="left"/>
        <w:rPr/>
      </w:pPr>
      <w:r>
        <w:rPr>
          <w:rFonts w:ascii="Times New Roman;serif" w:hAnsi="Times New Roman;serif"/>
          <w:b w:val="false"/>
          <w:i/>
          <w:color w:val="000000"/>
          <w:sz w:val="24"/>
        </w:rPr>
        <w:t>(ae)</w:t>
      </w:r>
      <w:r>
        <w:rPr>
          <w:color w:val="000000"/>
        </w:rPr>
        <w:t>“</w:t>
      </w:r>
      <w:r>
        <w:rPr>
          <w:rFonts w:ascii="Times New Roman;serif" w:hAnsi="Times New Roman;serif"/>
          <w:b/>
          <w:i/>
          <w:color w:val="000000"/>
          <w:sz w:val="24"/>
        </w:rPr>
        <w:t>Performance Criteria</w:t>
      </w:r>
      <w:r>
        <w:rPr>
          <w:color w:val="000000"/>
        </w:rPr>
        <w:t xml:space="preserve">” </w:t>
      </w:r>
      <w:r>
        <w:rPr>
          <w:rFonts w:ascii="Times New Roman;serif" w:hAnsi="Times New Roman;serif"/>
          <w:b w:val="false"/>
          <w:color w:val="000000"/>
          <w:sz w:val="24"/>
        </w:rPr>
        <w:t>shall mean the criteria (and adjustments) that the Administrator selects for an Award for purposes of establishing the Performance Goal or Performance Goals for a Performance Period, determined as follows: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 xml:space="preserve">The Performance Criteria that shall be used to establish Performance Goals shall include one or more of the following: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any of which may be measured with respect to an individual Participant, the Company, or any one or more of the Company’s Subsidiaries, divisions or business units, and in absolute or relative terms (including, but not limited to, (A) as compared to any incremental increase or decrease, (B) as compared to results of a peer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group or other individuals or companies comparably, similarly or otherwise situated, or (C) as compared to a business plan, budget or forecast).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The Administrator may, in its sole discretion, provide that one or more adjustments be made to one or more of the Performance Goals, including the exclusion of one or more of the following: (A) extraordinary and/or nonrecurring items, (B) the cumulative effects of changes in accounting principles or applicable laws, (C) gains or losses on the dispositions of discontinued operations, (D) the write-down of any asset, (E) charges for restructuring and rationalization programs, (F) amortization of purchased intangibles associated with acquisitions, (G) compensation expenses related to acquisitions, (H) other acquisition-related charges (including, but not limited to, items attributable to the business operations of any entity acquired by the Company during the Performance Period), (I) impairment charges, (J) gain or loss on minority equity investments, (K) noncash income tax expenses, (L) equity-based compensation expenses, (M) items relating to financing activities; (N) other nonoperating items; (O) items related to the disposal of a business or segment of a business; (P) items attributable to any stock dividend, stock split, combination or exchange of shares occurring during the Performance Period; or (Q) any other adjustment as determined by the Administrator.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(af)</w:t>
      </w:r>
      <w:r>
        <w:rPr>
          <w:color w:val="000000"/>
        </w:rPr>
        <w:t>“</w:t>
      </w:r>
      <w:r>
        <w:rPr>
          <w:rFonts w:ascii="Times New Roman;serif" w:hAnsi="Times New Roman;serif"/>
          <w:b/>
          <w:i/>
          <w:color w:val="000000"/>
          <w:sz w:val="24"/>
        </w:rPr>
        <w:t>Performance Goals</w:t>
      </w:r>
      <w:r>
        <w:rPr>
          <w:color w:val="000000"/>
        </w:rPr>
        <w:t xml:space="preserve">” </w:t>
      </w:r>
      <w:r>
        <w:rPr>
          <w:rFonts w:ascii="Times New Roman;serif" w:hAnsi="Times New Roman;serif"/>
          <w:b w:val="false"/>
          <w:color w:val="000000"/>
          <w:sz w:val="24"/>
        </w:rPr>
        <w:t>shall mean, for a Performance Period, one or more goals established in writing by the Administrator for the Performance Period based upon one or more Performance Criteria or other measures.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w:t>
      </w:r>
      <w:r>
        <w:rPr>
          <w:color w:val="000000"/>
        </w:rPr>
        <w:t>“</w:t>
      </w:r>
      <w:r>
        <w:rPr>
          <w:rFonts w:ascii="Times New Roman;serif" w:hAnsi="Times New Roman;serif"/>
          <w:b/>
          <w:i/>
          <w:color w:val="000000"/>
          <w:sz w:val="24"/>
        </w:rPr>
        <w:t>Performance Period</w:t>
      </w:r>
      <w:r>
        <w:rPr>
          <w:color w:val="000000"/>
        </w:rPr>
        <w:t xml:space="preserve">” </w:t>
      </w:r>
      <w:r>
        <w:rPr>
          <w:rFonts w:ascii="Times New Roman;serif" w:hAnsi="Times New Roman;serif"/>
          <w:b w:val="false"/>
          <w:color w:val="000000"/>
          <w:sz w:val="24"/>
        </w:rPr>
        <w:t>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(ah)</w:t>
      </w:r>
      <w:r>
        <w:rPr>
          <w:color w:val="000000"/>
        </w:rPr>
        <w:t>“</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shall mean this Skyworks Solutions, Inc. 2026 Long-Term Incentive Plan, as it may be amended or restated from time to time.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(ai)</w:t>
      </w:r>
      <w:r>
        <w:rPr>
          <w:color w:val="000000"/>
        </w:rPr>
        <w:t>“</w:t>
      </w:r>
      <w:r>
        <w:rPr>
          <w:rFonts w:ascii="Times New Roman;serif" w:hAnsi="Times New Roman;serif"/>
          <w:b/>
          <w:i/>
          <w:color w:val="000000"/>
          <w:sz w:val="24"/>
        </w:rPr>
        <w:t>Prior Plan</w:t>
      </w:r>
      <w:r>
        <w:rPr>
          <w:color w:val="000000"/>
        </w:rPr>
        <w:t xml:space="preserve">” </w:t>
      </w:r>
      <w:r>
        <w:rPr>
          <w:rFonts w:ascii="Times New Roman;serif" w:hAnsi="Times New Roman;serif"/>
          <w:b w:val="false"/>
          <w:color w:val="000000"/>
          <w:sz w:val="24"/>
        </w:rPr>
        <w:t>shall mean the Skyworks Solutions, Inc. Second Amended and Restated 2015 Long-Term Incentive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(aj)</w:t>
      </w:r>
      <w:r>
        <w:rPr>
          <w:color w:val="000000"/>
        </w:rPr>
        <w:t>“</w:t>
      </w:r>
      <w:r>
        <w:rPr>
          <w:rFonts w:ascii="Times New Roman;serif" w:hAnsi="Times New Roman;serif"/>
          <w:b/>
          <w:i/>
          <w:color w:val="000000"/>
          <w:sz w:val="24"/>
        </w:rPr>
        <w:t>Qualifying Termination</w:t>
      </w:r>
      <w:r>
        <w:rPr>
          <w:color w:val="000000"/>
        </w:rPr>
        <w:t xml:space="preserve">” </w:t>
      </w:r>
      <w:r>
        <w:rPr>
          <w:rFonts w:ascii="Times New Roman;serif" w:hAnsi="Times New Roman;serif"/>
          <w:b w:val="false"/>
          <w:color w:val="000000"/>
          <w:sz w:val="24"/>
        </w:rPr>
        <w:t>shall mean a Participant’s Termination of Service by the Company without Cause or by the Participant for Good Reason, in either case within the period of time commencing three (3) months prior to and ending twelve (12) months following the Change in Control. For the avoidance of doubt, the term “Qualifying Termination” shall apply only to an Employee’s Termination of Service. In the case of a Consultant, no Termination of Service shall be a “Qualifying Termination” unless the Administrator, in its sole discretion, provides otherwise.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(ak)</w:t>
      </w:r>
      <w:r>
        <w:rPr>
          <w:color w:val="000000"/>
        </w:rPr>
        <w:t>“</w:t>
      </w:r>
      <w:r>
        <w:rPr>
          <w:rFonts w:ascii="Times New Roman;serif" w:hAnsi="Times New Roman;serif"/>
          <w:b/>
          <w:color w:val="000000"/>
          <w:sz w:val="24"/>
        </w:rPr>
        <w:t>Reorganization Event</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any merger or consolidation of the Company with or into another entity as a result of which all of the Common Stock of the Company is converted into or exchanged for the right to receive cash, securities or other property or is cancelled;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any exchange of all of the Common Stock of the Company for cash, securities or other property pursuant to a share exchange transaction;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any liquidation or dissolution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(al)</w:t>
      </w:r>
      <w:r>
        <w:rPr>
          <w:color w:val="000000"/>
        </w:rPr>
        <w:t>“</w:t>
      </w:r>
      <w:r>
        <w:rPr>
          <w:rFonts w:ascii="Times New Roman;serif" w:hAnsi="Times New Roman;serif"/>
          <w:b/>
          <w:i/>
          <w:color w:val="000000"/>
          <w:sz w:val="24"/>
        </w:rPr>
        <w:t>Restricted Stock</w:t>
      </w:r>
      <w:r>
        <w:rPr>
          <w:color w:val="000000"/>
        </w:rPr>
        <w:t xml:space="preserve">” </w:t>
      </w:r>
      <w:r>
        <w:rPr>
          <w:rFonts w:ascii="Times New Roman;serif" w:hAnsi="Times New Roman;serif"/>
          <w:b w:val="false"/>
          <w:color w:val="000000"/>
          <w:sz w:val="24"/>
        </w:rPr>
        <w:t>shall mean Common Stock granted under Section 7 that is subject to certain restrictions and may be subject to risk of forfeiture or repurchase.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(am)</w:t>
      </w:r>
      <w:r>
        <w:rPr>
          <w:color w:val="000000"/>
        </w:rPr>
        <w:t>“</w:t>
      </w:r>
      <w:r>
        <w:rPr>
          <w:rFonts w:ascii="Times New Roman;serif" w:hAnsi="Times New Roman;serif"/>
          <w:b/>
          <w:i/>
          <w:color w:val="000000"/>
          <w:sz w:val="24"/>
        </w:rPr>
        <w:t>Restricted Stock Award</w:t>
      </w:r>
      <w:r>
        <w:rPr>
          <w:color w:val="000000"/>
        </w:rPr>
        <w:t xml:space="preserve">” </w:t>
      </w:r>
      <w:r>
        <w:rPr>
          <w:rFonts w:ascii="Times New Roman;serif" w:hAnsi="Times New Roman;serif"/>
          <w:b w:val="false"/>
          <w:color w:val="000000"/>
          <w:sz w:val="24"/>
        </w:rPr>
        <w:t>shall mean an Award for Restricted Stock or Restricted Stock Units.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(an)</w:t>
      </w:r>
      <w:r>
        <w:rPr>
          <w:color w:val="000000"/>
        </w:rPr>
        <w:t>“</w:t>
      </w:r>
      <w:r>
        <w:rPr>
          <w:rFonts w:ascii="Times New Roman;serif" w:hAnsi="Times New Roman;serif"/>
          <w:b/>
          <w:i/>
          <w:color w:val="000000"/>
          <w:sz w:val="24"/>
        </w:rPr>
        <w:t>Restricted Stock Units</w:t>
      </w:r>
      <w:r>
        <w:rPr>
          <w:color w:val="000000"/>
        </w:rPr>
        <w:t xml:space="preserve">” </w:t>
      </w:r>
      <w:r>
        <w:rPr>
          <w:rFonts w:ascii="Times New Roman;serif" w:hAnsi="Times New Roman;serif"/>
          <w:b w:val="false"/>
          <w:color w:val="000000"/>
          <w:sz w:val="24"/>
        </w:rPr>
        <w:t>shall mean the right to receive Common Stock granted under Section 7.</w:t>
      </w:r>
    </w:p>
    <w:p>
      <w:pPr>
        <w:pStyle w:val="TextBody"/>
        <w:bidi w:val="0"/>
        <w:spacing w:lineRule="auto" w:line="240" w:before="0" w:after="240"/>
        <w:ind w:left="0" w:right="0" w:hanging="720"/>
        <w:jc w:val="left"/>
        <w:rPr/>
      </w:pPr>
      <w:r>
        <w:rPr>
          <w:rFonts w:ascii="Times New Roman;serif" w:hAnsi="Times New Roman;serif"/>
          <w:b w:val="false"/>
          <w:i/>
          <w:color w:val="000000"/>
          <w:sz w:val="24"/>
        </w:rPr>
        <w:t>(ao)</w:t>
      </w:r>
      <w:r>
        <w:rPr>
          <w:color w:val="000000"/>
        </w:rPr>
        <w:t>“</w:t>
      </w:r>
      <w:r>
        <w:rPr>
          <w:rFonts w:ascii="Times New Roman;serif" w:hAnsi="Times New Roman;serif"/>
          <w:b/>
          <w:i/>
          <w:color w:val="000000"/>
          <w:sz w:val="24"/>
        </w:rPr>
        <w:t>Section 409A</w:t>
      </w:r>
      <w:r>
        <w:rPr>
          <w:color w:val="000000"/>
        </w:rPr>
        <w:t xml:space="preserve">” </w:t>
      </w:r>
      <w:r>
        <w:rPr>
          <w:rFonts w:ascii="Times New Roman;serif" w:hAnsi="Times New Roman;serif"/>
          <w:b w:val="false"/>
          <w:color w:val="000000"/>
          <w:sz w:val="24"/>
        </w:rPr>
        <w:t>shall mean Section 409A of the Code or any successor provision thereto, and the regulations and other interpretive guidance issued thereunder, including without limitation any such regulations or other guidance that may be issued after the Effective Date.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(ap)</w:t>
      </w:r>
      <w:r>
        <w:rPr>
          <w:color w:val="000000"/>
        </w:rPr>
        <w:t>“</w:t>
      </w:r>
      <w:r>
        <w:rPr>
          <w:rFonts w:ascii="Times New Roman;serif" w:hAnsi="Times New Roman;serif"/>
          <w:b/>
          <w:i/>
          <w:color w:val="000000"/>
          <w:sz w:val="24"/>
        </w:rPr>
        <w:t>Stock Appreciation Right</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SAR</w:t>
      </w:r>
      <w:r>
        <w:rPr>
          <w:color w:val="000000"/>
        </w:rPr>
        <w:t xml:space="preserve">” </w:t>
      </w:r>
      <w:r>
        <w:rPr>
          <w:rFonts w:ascii="Times New Roman;serif" w:hAnsi="Times New Roman;serif"/>
          <w:b w:val="false"/>
          <w:color w:val="000000"/>
          <w:sz w:val="24"/>
        </w:rPr>
        <w:t>shall mean a stock appreciation right granted under Section 6.</w:t>
      </w:r>
    </w:p>
    <w:p>
      <w:pPr>
        <w:pStyle w:val="TextBody"/>
        <w:bidi w:val="0"/>
        <w:spacing w:lineRule="auto" w:line="240" w:before="0" w:after="240"/>
        <w:ind w:left="0" w:right="0" w:hanging="720"/>
        <w:jc w:val="left"/>
        <w:rPr/>
      </w:pPr>
      <w:r>
        <w:rPr>
          <w:rFonts w:ascii="Times New Roman;serif" w:hAnsi="Times New Roman;serif"/>
          <w:b w:val="false"/>
          <w:i/>
          <w:color w:val="000000"/>
          <w:sz w:val="24"/>
        </w:rPr>
        <w:t>(aq)</w:t>
      </w: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(ar)</w:t>
      </w:r>
      <w:r>
        <w:rPr>
          <w:color w:val="000000"/>
        </w:rPr>
        <w:t>“</w:t>
      </w:r>
      <w:r>
        <w:rPr>
          <w:rFonts w:ascii="Times New Roman;serif" w:hAnsi="Times New Roman;serif"/>
          <w:b/>
          <w:i/>
          <w:color w:val="000000"/>
          <w:sz w:val="24"/>
        </w:rPr>
        <w:t>Substitute Award</w:t>
      </w:r>
      <w:r>
        <w:rPr>
          <w:color w:val="000000"/>
        </w:rPr>
        <w:t xml:space="preserve">” </w:t>
      </w:r>
      <w:r>
        <w:rPr>
          <w:rFonts w:ascii="Times New Roman;serif" w:hAnsi="Times New Roman;serif"/>
          <w:b w:val="false"/>
          <w:color w:val="000000"/>
          <w:sz w:val="24"/>
        </w:rPr>
        <w:t>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pStyle w:val="TextBody"/>
        <w:bidi w:val="0"/>
        <w:spacing w:lineRule="auto" w:line="240" w:before="0" w:after="240"/>
        <w:ind w:left="0" w:right="0" w:hanging="720"/>
        <w:jc w:val="left"/>
        <w:rPr/>
      </w:pPr>
      <w:r>
        <w:rPr>
          <w:rFonts w:ascii="Times New Roman;serif" w:hAnsi="Times New Roman;serif"/>
          <w:b w:val="false"/>
          <w:i/>
          <w:color w:val="000000"/>
          <w:sz w:val="24"/>
        </w:rPr>
        <w:t>(as)</w:t>
      </w:r>
      <w:r>
        <w:rPr>
          <w:color w:val="000000"/>
        </w:rPr>
        <w:t>“</w:t>
      </w:r>
      <w:r>
        <w:rPr>
          <w:rFonts w:ascii="Times New Roman;serif" w:hAnsi="Times New Roman;serif"/>
          <w:b/>
          <w:color w:val="000000"/>
          <w:sz w:val="24"/>
        </w:rPr>
        <w:t>Termination of Service</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there is a simultaneous commencement of employment with the Company or any Subsidiary or service as a nonemployee director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 xml:space="preserve">As to an Employee, the time when the employee-employer relationship between a Participant and the Company or any Subsidiary is terminated for any reason, including, without limitation, a termination by resignation, discharge, death, Disability or retirement; but excluding: (A) terminations where there is a simultaneous reemployment or continuing employment of a Participant by the Company or any Subsidiary, (B) terminations that are followed by the simultaneous establishment of a consulting relationship by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or a Subsidiary with the former employee, and (C) at the sole discretion of the Administrator, terminations that result in a temporary severance of the employee-employer relationship.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Administrator, in its sole discretion, shall determine the effect of all matters and questions relating to a Termination of Service, including, without limitation, the question of whether a Termination of Service resulted from a discharge for Cause, and all questions of whether a particular leave of absence constitutes a Termination of Service. For purposes of the Plan, a Participant’s employee-employer relationship or consultancy relations shall be deemed to be terminated in the event that the Subsidiary employing or contracting with such Participant ceases to remain a Subsidiary following any merger, sale of stock or other corporate transaction or event (including, without limitation, a spinoff).</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3.Administration and Delegation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(a)Administrator.</w:t>
      </w:r>
      <w:r>
        <w:rPr>
          <w:color w:val="000000"/>
        </w:rPr>
        <w:t xml:space="preserve"> </w:t>
      </w:r>
      <w:r>
        <w:rPr>
          <w:rFonts w:ascii="Times New Roman;serif" w:hAnsi="Times New Roman;serif"/>
          <w:b w:val="false"/>
          <w:color w:val="000000"/>
          <w:sz w:val="24"/>
        </w:rPr>
        <w:t>The Committee (or another committee or a subcommittee of the Board assuming the functions of the Committee under the Plan) shall administer the Plan (except as otherwise permitted herein) and shall consist solely of two or more nonemployee directors appointed by and holding office at the pleasure of the Board, each of whom is intended to qualify as a “non-employee director” as defined by Rule 16b-3 under the Exchange Act or any successor rule and an “independent director” under the rules of Nasdaq (or other securities exchange or automated quotation system on which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 Notwithstanding the foregoing, the Committee may delegate its authority hereunder to the extent permitted by Sections 3(d) and 3(e). In its sole discretion, the Board may at any time and from time to time exercise any and all rights and duties of the Committee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(b)Duties and Powers of Administrator.</w:t>
      </w:r>
      <w:r>
        <w:rPr>
          <w:color w:val="000000"/>
        </w:rPr>
        <w:t xml:space="preserve"> </w:t>
      </w:r>
      <w:r>
        <w:rPr>
          <w:rFonts w:ascii="Times New Roman;serif" w:hAnsi="Times New Roman;serif"/>
          <w:b w:val="false"/>
          <w:color w:val="000000"/>
          <w:sz w:val="24"/>
        </w:rPr>
        <w:t>The Administrator shall have authority to grant Awards and to adopt, amend and repeal such administrative rules, guidelines and practices relating to the Plan as it shall deem advisable. The Administrator may correct any defect, supply any omission or reconcile any inconsistency in the Plan or any Award in the manner and to the extent it shall deem expedient to carry the Plan into effect and it shall be the sole and final judge of such expediency. All decisions by the Administrator shall be made in the Administrator’s sole discretion and shall be final and binding on all persons having or claiming any interest in the Plan or in any Award. No director or person acting pursuant to the authority delegated by the Administrator shall be liable for any action or determination relating to or under the Plan made in good faith.</w:t>
      </w:r>
    </w:p>
    <w:p>
      <w:pPr>
        <w:pStyle w:val="TextBody"/>
        <w:bidi w:val="0"/>
        <w:spacing w:lineRule="auto" w:line="240" w:before="0" w:after="240"/>
        <w:ind w:left="0" w:right="0" w:hanging="720"/>
        <w:jc w:val="left"/>
        <w:rPr/>
      </w:pPr>
      <w:r>
        <w:rPr>
          <w:rFonts w:ascii="Times New Roman;serif" w:hAnsi="Times New Roman;serif"/>
          <w:b w:val="false"/>
          <w:i/>
          <w:color w:val="000000"/>
          <w:sz w:val="24"/>
        </w:rPr>
        <w:t>(c)Award Eligibility.</w:t>
      </w:r>
      <w:r>
        <w:rPr>
          <w:color w:val="000000"/>
        </w:rPr>
        <w:t xml:space="preserve"> </w:t>
      </w:r>
      <w:r>
        <w:rPr>
          <w:rFonts w:ascii="Times New Roman;serif" w:hAnsi="Times New Roman;serif"/>
          <w:b w:val="false"/>
          <w:color w:val="000000"/>
          <w:sz w:val="24"/>
        </w:rPr>
        <w:t>The Administrator may, from time to time, select from among all Eligible Individuals those to whom an Award shall be granted under the Plan and shall determine the nature and amount of the Award, consistent with the requirements of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(d)Delegation to Committees or Subcommittees.</w:t>
      </w:r>
      <w:r>
        <w:rPr>
          <w:color w:val="000000"/>
        </w:rPr>
        <w:t xml:space="preserve"> </w:t>
      </w:r>
      <w:r>
        <w:rPr>
          <w:rFonts w:ascii="Times New Roman;serif" w:hAnsi="Times New Roman;serif"/>
          <w:b w:val="false"/>
          <w:color w:val="000000"/>
          <w:sz w:val="24"/>
        </w:rPr>
        <w:t>To the extent permitted by applicable law, the Board or Committee may delegate any or all of its powers under the Plan to one or more committees or subcommittees of the Board.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(e)Delegation to Delegated Persons.</w:t>
      </w:r>
      <w:r>
        <w:rPr>
          <w:color w:val="000000"/>
        </w:rPr>
        <w:t xml:space="preserve"> </w:t>
      </w:r>
      <w:r>
        <w:rPr>
          <w:rFonts w:ascii="Times New Roman;serif" w:hAnsi="Times New Roman;serif"/>
          <w:b w:val="false"/>
          <w:color w:val="000000"/>
          <w:sz w:val="24"/>
        </w:rPr>
        <w:t>Subject to any requirements of applicable law (including as applicable Sections 152 and 157(c) of the General Corporation Law of the State of Delaware), the Administrator may, by resolution, delegate to one or more persons (including officers of the Company) or bodies (such persons or bodies, the “</w:t>
      </w:r>
      <w:r>
        <w:rPr>
          <w:rFonts w:ascii="Times New Roman;serif" w:hAnsi="Times New Roman;serif"/>
          <w:b/>
          <w:i/>
          <w:color w:val="000000"/>
          <w:sz w:val="24"/>
        </w:rPr>
        <w:t>Delegated Persons</w:t>
      </w:r>
      <w:r>
        <w:rPr>
          <w:color w:val="000000"/>
        </w:rPr>
        <w:t>”</w:t>
      </w:r>
      <w:r>
        <w:rPr>
          <w:rFonts w:ascii="Times New Roman;serif" w:hAnsi="Times New Roman;serif"/>
          <w:b w:val="false"/>
          <w:color w:val="000000"/>
          <w:sz w:val="24"/>
        </w:rPr>
        <w:t>) the power to grant Awards (subject to any limitations under the Plan) to eligible service providers of the Company and to exercise such other powers under the Plan as the Administrator may determine, provided that the Administrator shall fix: (i) the maximum number of shares that may be issued pursuant to such resolution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 such Awards may be issued, and the minimum consideration for the shares issuable upon exercise thereof; and, provided further, that no Delegated Person shall be authorized to grant Awards to itself; and provided, further, that no Delegated Person shall be authorized to grant Awards to: (i) any “executive officer” of the Company (as defined by Rule 3b-7 under the Exchange Act), (ii) any “officer” of the Company (as defined by Rule 16a-1(f) under the Exchange Act), or (iii) officers of the Company to whom authority to grant or amend Awards has been delegated hereunder. Any delegation under this Section 3(e) shall be subject to any other restrictions and limits that the Administrator specifies at the time of such delegation, and the Administrator may at any time rescind the authority so delegated or appoint a new delegate.</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4.Stock Available for Awards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(a)Number of Shares.</w:t>
      </w:r>
      <w:r>
        <w:rPr>
          <w:color w:val="000000"/>
        </w:rPr>
        <w:t xml:space="preserve"> </w:t>
      </w:r>
      <w:r>
        <w:rPr>
          <w:rFonts w:ascii="Times New Roman;serif" w:hAnsi="Times New Roman;serif"/>
          <w:b w:val="false"/>
          <w:color w:val="000000"/>
          <w:sz w:val="24"/>
        </w:rPr>
        <w:t>Subject to adjustment under Section 10, Awards may be made under the Plan for a number of shares of Common Stock that is equal to the sum of: (i) 8,000,000 million shares of Common Stock; and (ii) such additional number of shares of Common Stock (up to 8,811,023 million shares) as is equal to the sum of (x) the number of shares of Common Stock reserved for issuance under the Prior Plan that remained available for grant under the Prior Plan as of the Effective Date, and (y) the number of shares of Common Stock subject to awards granted under the Prior Plan which awards expire, terminate or are otherwise surrendered, canceled, forfeited or repurchased by the Company at their original issuance price pursuant to a contractual repurchase right after the Effective Date.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(b)Lapses.</w:t>
      </w:r>
      <w:r>
        <w:rPr>
          <w:color w:val="000000"/>
        </w:rPr>
        <w:t xml:space="preserve"> </w:t>
      </w:r>
      <w:r>
        <w:rPr>
          <w:rFonts w:ascii="Times New Roman;serif" w:hAnsi="Times New Roman;serif"/>
          <w:b w:val="false"/>
          <w:color w:val="000000"/>
          <w:sz w:val="24"/>
        </w:rPr>
        <w:t xml:space="preserve">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To the extent that a Full Value Award granted under the Prior Plan is forfeited or expires or such Full Value Award is settled for cash (in whole or in part), the shares of Common Stock available under the Plan shall be increased by one share of Common Stock subject to such Full Value Award that is forfeited, expired, or settled in cash for every one share of Common Stock subject to such Full Value Award notwithstanding the fungible share counting provisions of the Prior Plan. Shares delivered (either by actual delivery, attestation or net exercise) to the Company by a Participant (i) to purchase shares of Common Stock upon the exercise of an Award or (ii) to satisfy tax withholding obligations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with respect to any Awards (including shares retained from the Award creating the tax obligation) shall not be added back to the number of shares available for the future grant of Awards. In the case of the exercise of a SAR for shares, the number of shares counted against the shares available under the Plan shall be the full number of shares subject to the SAR multiplied by the percentage of the SAR actually exercised, regardless of the number of shares actually used to settle such SAR upon exercise. Shares of Common Stock issued under the Plan may consist in whole or in part of authorized but unissued shares, treasury shares, or shares purchased on the open market; provided, however, that shares of Common Stock repurchased by the Company on the open market using the proceeds from the exercise of an Award shall not increase the number of shares available for future grant of Awards. The payment of Dividend Equivalents in cash in conjunction with any outstanding Award shall not be counted against the number of shares of Common Stock available for issuance under the Plan. Awards settleable only in cash shall not be counted against the number of shares of Common Stock available for issuance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(c)Substitute Awards.</w:t>
      </w:r>
      <w:r>
        <w:rPr>
          <w:color w:val="000000"/>
        </w:rPr>
        <w:t xml:space="preserve"> </w:t>
      </w:r>
      <w:r>
        <w:rPr>
          <w:rFonts w:ascii="Times New Roman;serif" w:hAnsi="Times New Roman;serif"/>
          <w:b w:val="false"/>
          <w:color w:val="000000"/>
          <w:sz w:val="24"/>
        </w:rPr>
        <w:t>To the extent permitted by applicable law, Substitute Awards shall not reduce the number of shares of Common Stock authorized for grant under the Plan or count against the Award Limit with respect to any Participant. Substitute Awards may be granted on such terms as the Administrator deems appropriate in the circumstances, notwithstanding any limitations on Awards contained in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(d)Per-Participant Limit.</w:t>
      </w:r>
      <w:r>
        <w:rPr>
          <w:color w:val="000000"/>
        </w:rPr>
        <w:t xml:space="preserve"> </w:t>
      </w:r>
      <w:r>
        <w:rPr>
          <w:rFonts w:ascii="Times New Roman;serif" w:hAnsi="Times New Roman;serif"/>
          <w:b w:val="false"/>
          <w:color w:val="000000"/>
          <w:sz w:val="24"/>
        </w:rPr>
        <w:t>The maximum number of shares of Common Stock with respect to which Awards may be granted to any Participant under the Plan during any calendar year shall be 1,500,000 and the maximum aggregate amount of cash that may be paid during any calendar year with respect to one or more Awards payable in cash shall be $5,000,000. For purposes of the foregoing limits, the combination of an Option in tandem with an SAR shall be treated as a single Award.</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5.Stock Options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(a)General.</w:t>
      </w:r>
      <w:r>
        <w:rPr>
          <w:color w:val="000000"/>
        </w:rPr>
        <w:t xml:space="preserve"> </w:t>
      </w:r>
      <w:r>
        <w:rPr>
          <w:rFonts w:ascii="Times New Roman;serif" w:hAnsi="Times New Roman;serif"/>
          <w:b w:val="false"/>
          <w:color w:val="000000"/>
          <w:sz w:val="24"/>
        </w:rPr>
        <w:t>The Administrator may grant Options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(b)Exercise Price.</w:t>
      </w:r>
      <w:r>
        <w:rPr>
          <w:color w:val="000000"/>
        </w:rPr>
        <w:t xml:space="preserve"> </w:t>
      </w:r>
      <w:r>
        <w:rPr>
          <w:rFonts w:ascii="Times New Roman;serif" w:hAnsi="Times New Roman;serif"/>
          <w:b w:val="false"/>
          <w:color w:val="000000"/>
          <w:sz w:val="24"/>
        </w:rPr>
        <w:t>The Administrator shall establish the exercise price of each Option and specify such exercise price in the applicable option agreement; provided, however, that the exercise price shall not be less than 100% of the Fair Market Value at the time the Option is granted.</w:t>
      </w:r>
    </w:p>
    <w:p>
      <w:pPr>
        <w:pStyle w:val="TextBody"/>
        <w:bidi w:val="0"/>
        <w:spacing w:lineRule="auto" w:line="240" w:before="0" w:after="240"/>
        <w:ind w:left="0" w:right="0" w:hanging="720"/>
        <w:jc w:val="left"/>
        <w:rPr/>
      </w:pPr>
      <w:r>
        <w:rPr>
          <w:rFonts w:ascii="Times New Roman;serif" w:hAnsi="Times New Roman;serif"/>
          <w:b w:val="false"/>
          <w:i/>
          <w:color w:val="000000"/>
          <w:sz w:val="24"/>
        </w:rPr>
        <w:t>(c)Option Vesting.</w:t>
      </w:r>
      <w:r>
        <w:rPr>
          <w:color w:val="000000"/>
        </w:rPr>
        <w:t xml:space="preserve"> </w:t>
      </w:r>
      <w:r>
        <w:rPr>
          <w:rFonts w:ascii="Times New Roman;serif" w:hAnsi="Times New Roman;serif"/>
          <w:b w:val="false"/>
          <w:color w:val="000000"/>
          <w:sz w:val="24"/>
        </w:rPr>
        <w:t xml:space="preserve">The period during which the right to exercise, in whole or in part, an Option vests in the Participant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 No portion of an Option that is unexercisable at a Participant’s Termination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of Service shall thereafter become exercisable, except as may be otherwise provided in the Plan or by the Administrator either in the Award Agreement or by action of the Administrator following the grant of the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(d)Termination of Service.</w:t>
      </w:r>
      <w:r>
        <w:rPr>
          <w:color w:val="000000"/>
        </w:rPr>
        <w:t xml:space="preserve"> </w:t>
      </w:r>
      <w:r>
        <w:rPr>
          <w:rFonts w:ascii="Times New Roman;serif" w:hAnsi="Times New Roman;serif"/>
          <w:b w:val="false"/>
          <w:color w:val="000000"/>
          <w:sz w:val="24"/>
        </w:rPr>
        <w:t>Except as otherwise provided (i) in Sections 5(e), 11(d), 11(e), (ii) in an employment agreement, severance agreement, change in control agreement or other similar agreement, if any, between the Company and the Participant, (iii) by the Administrator in an Award Agreement, or (iv) by action of the Administrator following the grant of an Option, all outstanding Options held by a Participant that are exercisable upon the Participant’s Termination of Service, shall remain exercisable for a period of time expiring on the earlier of (a) the three (3) month anniversary of the Participant’s Termination of Service, and (b) the final expiration date of such Options as set forth in the applicable Award Agreement, subject to the other terms and conditions of such Award Agreement; provided that such Options shall be exercisable only to the extent that the Participant was entitled to exercise such Options on the date of the Termination of Service. Notwithstanding the foregoing, if the Participant violates the non-solicitation, non-competition or confidentiality provisions of any employment contract, confidentiality and nondisclosure agreement or other agreement between such Participant and the Company, the right to exercise Options under this Section 5(d) shall terminate immediately upon written notice to the Participant from the Company describing such violation.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(e)Termination of Service for Cause.</w:t>
      </w:r>
      <w:r>
        <w:rPr>
          <w:color w:val="000000"/>
        </w:rPr>
        <w:t xml:space="preserve"> </w:t>
      </w:r>
      <w:r>
        <w:rPr>
          <w:rFonts w:ascii="Times New Roman;serif" w:hAnsi="Times New Roman;serif"/>
          <w:b w:val="false"/>
          <w:color w:val="000000"/>
          <w:sz w:val="24"/>
        </w:rPr>
        <w:t>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that were exercisable by the Participant immediately prior to the Participant’s Termination of Service for Cause, shall terminate immediately upon the effective date of such Termination of Service and shall not be exercisable. The Participant shall be considered to have been discharged for Cause if the Company determines, within 30 days after the Participant’s resignation, that discharge for Cause was warranted.</w:t>
      </w:r>
    </w:p>
    <w:p>
      <w:pPr>
        <w:pStyle w:val="TextBody"/>
        <w:bidi w:val="0"/>
        <w:spacing w:lineRule="auto" w:line="240" w:before="0" w:after="240"/>
        <w:ind w:left="0" w:right="0" w:hanging="720"/>
        <w:jc w:val="left"/>
        <w:rPr/>
      </w:pPr>
      <w:r>
        <w:rPr>
          <w:rFonts w:ascii="Times New Roman;serif" w:hAnsi="Times New Roman;serif"/>
          <w:b w:val="false"/>
          <w:i/>
          <w:color w:val="000000"/>
          <w:sz w:val="24"/>
        </w:rPr>
        <w:t>(f)Limitation on Repricing.</w:t>
      </w:r>
      <w:r>
        <w:rPr>
          <w:color w:val="000000"/>
        </w:rPr>
        <w:t xml:space="preserve"> </w:t>
      </w:r>
      <w:r>
        <w:rPr>
          <w:rFonts w:ascii="Times New Roman;serif" w:hAnsi="Times New Roman;serif"/>
          <w:b w:val="false"/>
          <w:color w:val="000000"/>
          <w:sz w:val="24"/>
        </w:rPr>
        <w:t>Unless such action is approved by the Company’s stockholders, the Company may not (except as provided for under Section 10): (i) amend any outstanding Option granted under the Plan to provide an exercise price per share that is lower than the then-current exercise price per share of such outstanding Option, (ii)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cancel in exchange for a cash payment any outstanding Option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pStyle w:val="TextBody"/>
        <w:bidi w:val="0"/>
        <w:spacing w:lineRule="auto" w:line="240" w:before="0" w:after="240"/>
        <w:ind w:left="0" w:right="0" w:hanging="720"/>
        <w:jc w:val="left"/>
        <w:rPr/>
      </w:pPr>
      <w:r>
        <w:rPr>
          <w:rFonts w:ascii="Times New Roman;serif" w:hAnsi="Times New Roman;serif"/>
          <w:b w:val="false"/>
          <w:i/>
          <w:color w:val="000000"/>
          <w:sz w:val="24"/>
        </w:rPr>
        <w:t>(g)No Reload Rights.</w:t>
      </w:r>
      <w:r>
        <w:rPr>
          <w:color w:val="000000"/>
        </w:rPr>
        <w:t xml:space="preserve"> </w:t>
      </w:r>
      <w:r>
        <w:rPr>
          <w:rFonts w:ascii="Times New Roman;serif" w:hAnsi="Times New Roman;serif"/>
          <w:b w:val="false"/>
          <w:color w:val="000000"/>
          <w:sz w:val="24"/>
        </w:rPr>
        <w:t>No Option granted under the Plan shall contain any provision entitling the optionee to the automatic grant of additional Options in connection with any exercise of the original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(h)Duration of Options.</w:t>
      </w:r>
      <w:r>
        <w:rPr>
          <w:color w:val="000000"/>
        </w:rPr>
        <w:t xml:space="preserve"> </w:t>
      </w:r>
      <w:r>
        <w:rPr>
          <w:rFonts w:ascii="Times New Roman;serif" w:hAnsi="Times New Roman;serif"/>
          <w:b w:val="false"/>
          <w:color w:val="000000"/>
          <w:sz w:val="24"/>
        </w:rPr>
        <w:t xml:space="preserve">Each Option shall be exercisable at such times and subject to such terms and conditions as the Administrator may specify in the applicable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option agreement; provided, however, that no Option will be granted for a term in excess of ten (10) years. The Administrator shall determine the time period, including the time period following a Termination of Service, during which the Participant has the right to exercise the vested Options, which time period may not extend beyond the term of the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(i)Exercise of Option.</w:t>
      </w:r>
      <w:r>
        <w:rPr>
          <w:color w:val="000000"/>
        </w:rPr>
        <w:t xml:space="preserve"> </w:t>
      </w:r>
      <w:r>
        <w:rPr>
          <w:rFonts w:ascii="Times New Roman;serif" w:hAnsi="Times New Roman;serif"/>
          <w:b w:val="false"/>
          <w:color w:val="000000"/>
          <w:sz w:val="24"/>
        </w:rPr>
        <w:t>Options may be exercised by delivery to the Company of a written notice of exercise signed by the proper person or by any other form of notice (including electronic notice) approved by the Administrator together with payment in full as specified in Section 12(g) for the number of shares for which the Option is exercised. Shares of Common Stock subject to the Option will be delivered by the Company following exercise as soon as practicable.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(j)Partial Exercise.</w:t>
      </w:r>
      <w:r>
        <w:rPr>
          <w:color w:val="000000"/>
        </w:rPr>
        <w:t xml:space="preserve"> </w:t>
      </w:r>
      <w:r>
        <w:rPr>
          <w:rFonts w:ascii="Times New Roman;serif" w:hAnsi="Times New Roman;serif"/>
          <w:b w:val="false"/>
          <w:color w:val="000000"/>
          <w:sz w:val="24"/>
        </w:rPr>
        <w:t>An exercisable Option may be exercised in whole or in part. However, an Option shall not be exercisable with respect to fractional shares and the Administrator may require that, by the terms of the Option, a partial exercise be with respect to a minimum number of shares.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(k)Substitute Awards.</w:t>
      </w:r>
      <w:r>
        <w:rPr>
          <w:color w:val="000000"/>
        </w:rPr>
        <w:t xml:space="preserve"> </w:t>
      </w:r>
      <w:r>
        <w:rPr>
          <w:rFonts w:ascii="Times New Roman;serif" w:hAnsi="Times New Roman;serif"/>
          <w:b w:val="false"/>
          <w:color w:val="000000"/>
          <w:sz w:val="24"/>
        </w:rPr>
        <w:t>In connection with a merger or consolidation of an entity with the Company or the acquisition by the Company of property or stock of an entity, the Administrator may grant Options in substitution for any options or other stock or stock-based awards granted by such entity or an affiliate thereof. An Option that is a Substitute Award may be granted on such terms as the Administrator deems appropriate in the circumstances, notwithstanding any limitations on Options contained in this Section 5 or in Section 3(c). Notwithstanding the foregoing provisions of this Section 5 to the contrary, in the case of an Option that is a Substitute Award, the price per share of the shares of Common Stock subject to such Option may be less than the Fair Market Value per share on the date of grant, provided, that such price per share shall be determined in accordance with Section 409A (and, if applicable, with Section 424 of the Code and the regulations thereunder).</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6.Stock Appreciation Rights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(a)General.</w:t>
      </w:r>
      <w:r>
        <w:rPr>
          <w:color w:val="000000"/>
        </w:rPr>
        <w:t xml:space="preserve"> </w:t>
      </w:r>
      <w:r>
        <w:rPr>
          <w:rFonts w:ascii="Times New Roman;serif" w:hAnsi="Times New Roman;serif"/>
          <w:b w:val="false"/>
          <w:color w:val="000000"/>
          <w:sz w:val="24"/>
        </w:rPr>
        <w:t>A Stock Appreciation Right, or SAR, is an Award entitling the holder, upon exercise, to receive Common Stock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Administrator in the SAR Award. SARs may not be granted with a term in excess of ten (10) years from the date of grant.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(b)Grants.</w:t>
      </w:r>
      <w:r>
        <w:rPr>
          <w:color w:val="000000"/>
        </w:rPr>
        <w:t xml:space="preserve"> </w:t>
      </w:r>
      <w:r>
        <w:rPr>
          <w:rFonts w:ascii="Times New Roman;serif" w:hAnsi="Times New Roman;serif"/>
          <w:b w:val="false"/>
          <w:color w:val="000000"/>
          <w:sz w:val="24"/>
        </w:rPr>
        <w:t>Stock Appreciation Rights may be granted in tandem with, or independently of, Options granted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(i)Tandem Awards.</w:t>
      </w:r>
      <w:r>
        <w:rPr>
          <w:color w:val="000000"/>
        </w:rPr>
        <w:t xml:space="preserve"> </w:t>
      </w:r>
      <w:r>
        <w:rPr>
          <w:rFonts w:ascii="Times New Roman;serif" w:hAnsi="Times New Roman;serif"/>
          <w:b w:val="false"/>
          <w:color w:val="000000"/>
          <w:sz w:val="24"/>
        </w:rPr>
        <w:t xml:space="preserve">When Stock Appreciation Rights are expressly granted in tandem with Options, (A) the Stock Appreciation Right will be exercisable only at such time or times, and to the extent, that the related Option is exercisable (except to the extent designated by the Administrator in connection with a Reorganization Event and will be exercisable in accordance with the procedure required for exercise of the related Option);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(B) the Stock Appreciation Right will terminate and no longer be exercisable upon the termination or exercise of the related Option, except to the extent designated by the Administrator in connection with a Reorganization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(C) the Option will terminate and no longer be exercisable upon the exercise of the related Stock Appreciation Right; and (D) the Stock Appreciation Right will be transferable only with the related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(ii)Independent SARs.</w:t>
      </w:r>
      <w:r>
        <w:rPr>
          <w:color w:val="000000"/>
        </w:rPr>
        <w:t xml:space="preserve"> </w:t>
      </w:r>
      <w:r>
        <w:rPr>
          <w:rFonts w:ascii="Times New Roman;serif" w:hAnsi="Times New Roman;serif"/>
          <w:b w:val="false"/>
          <w:color w:val="000000"/>
          <w:sz w:val="24"/>
        </w:rPr>
        <w:t>A Stock Appreciation Right not expressly granted in tandem with an Option will become exercisable at such time or times, and on such conditions, as the Administrator may specify in the SAR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(c)Exercise.</w:t>
      </w:r>
      <w:r>
        <w:rPr>
          <w:color w:val="000000"/>
        </w:rPr>
        <w:t xml:space="preserve"> </w:t>
      </w:r>
      <w:r>
        <w:rPr>
          <w:rFonts w:ascii="Times New Roman;serif" w:hAnsi="Times New Roman;serif"/>
          <w:b w:val="false"/>
          <w:color w:val="000000"/>
          <w:sz w:val="24"/>
        </w:rPr>
        <w:t>Stock Appreciation Rights may be exercised by delivery to the Company of a written notice of exercise signed by the proper person or by any other form of notice (including electronic notice) approved by the Administrator, together with any other documents required by the Administrator.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(d)Limitation on Repricing.</w:t>
      </w:r>
      <w:r>
        <w:rPr>
          <w:color w:val="000000"/>
        </w:rPr>
        <w:t xml:space="preserve"> </w:t>
      </w:r>
      <w:r>
        <w:rPr>
          <w:rFonts w:ascii="Times New Roman;serif" w:hAnsi="Times New Roman;serif"/>
          <w:b w:val="false"/>
          <w:color w:val="000000"/>
          <w:sz w:val="24"/>
        </w:rPr>
        <w:t>Unless such action is approved by the Company’s stockholders, the Company may not (except as provided for under Section 10): (i) amend any outstanding SAR granted under the Plan to provide an exercise price per share that is lower than the then-current exercise price per share of such outstanding SAR, (ii) cancel any outstanding stock appreciation right (whether or not granted under the Plan) and grant in substitution therefor new Awards under the Plan covering the same or a different number of shares of Common Stock and having an exercise price per share lower than the then-current exercise price per share of the cancelled stock appreciation right, (iii) cancel in exchange for a cash payment any outstanding SAR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7.Restricted Stock; Restricted Stock Units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(a)General.</w:t>
      </w:r>
      <w:r>
        <w:rPr>
          <w:color w:val="000000"/>
        </w:rPr>
        <w:t xml:space="preserve"> </w:t>
      </w:r>
      <w:r>
        <w:rPr>
          <w:rFonts w:ascii="Times New Roman;serif" w:hAnsi="Times New Roman;serif"/>
          <w:b w:val="false"/>
          <w:color w:val="000000"/>
          <w:sz w:val="24"/>
        </w:rPr>
        <w:t>The Administrator may grant Awards of Restricted Stock to Eligible Individuals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are not satisfied prior to the end of the applicable restriction period or periods established by the Administrator for such Award. Instead of granting Awards of Restricted Stock, the Administrator may grant Awards of Restricted Stock Units to Eligible Individuals entitling recipients to receive shares of Common Stock to be delivered at the time such shares of Common Stock vest subject to such terms and conditions on the delivery of the shares of Common Stock as the Administrator shall determine. The Administrator shall determine the terms and conditions of a Restricted Stock Award, including the conditions for repurchase, forfeiture, or vesting, and the issue price, if any.</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(b)Stock Certificates; Dividends.</w:t>
      </w:r>
      <w:r>
        <w:rPr>
          <w:color w:val="000000"/>
        </w:rPr>
        <w:t xml:space="preserve"> </w:t>
      </w:r>
      <w:r>
        <w:rPr>
          <w:rFonts w:ascii="Times New Roman;serif" w:hAnsi="Times New Roman;serif"/>
          <w:b w:val="false"/>
          <w:color w:val="000000"/>
          <w:sz w:val="24"/>
        </w:rPr>
        <w:t>Subject to Section 12(l), any stock certificates issued in respect of an award of Restricted Stock shall be registered in the name of the Participant and, unless otherwise determined by the Administrator,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Designated Beneficiary. Any dividends (whether paid in cash, stock or property) declared and paid by the Company with respect to unvested shares of Restricted Stock shall be subject to accrual as provided in Section 12(h). The Administrator may grant Dividend Equivalents under the Plan with respect to an Award of Restricted Stock Units to any Eligible Individual, provided that such Dividend Equivalents (whether paid in cash, stock or property) shall be subject to accrual as provided in Section 12(h).</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8.Performance Awards, Dividend Equivalents, and Other Stock Unit Awards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(a)Performance Awards.</w:t>
      </w:r>
      <w:r>
        <w:rPr>
          <w:color w:val="000000"/>
        </w:rPr>
        <w:t xml:space="preserve"> </w:t>
      </w:r>
      <w:r>
        <w:rPr>
          <w:rFonts w:ascii="Times New Roman;serif" w:hAnsi="Times New Roman;serif"/>
          <w:b w:val="false"/>
          <w:color w:val="000000"/>
          <w:sz w:val="24"/>
        </w:rPr>
        <w:t>The Administrator may grant Performance Awards under the Plan to any Eligible Individual. The value of Performance Awards shall be subject to the achievement of Performance Goals over a specified Performance Period. The Performance Goals applicable to a Performance Award may (i) vary by Participant, (ii) be different for different Awards, or (iii) be particular to a Participant or the Subsidiary, division, business unit, department, branch, or other unit in which the Participant works. The Administrator, in its discretion, may adjust the cash or number of shares of Common Stock payable pursuant to any Performance Award, and the Administrator may, at any time, waive the achievement of the applicable Performance Goals, including in the case of the death or Disability of the Participant or a Change in Control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(b)Dividend Equivalents.</w:t>
      </w:r>
      <w:r>
        <w:rPr>
          <w:color w:val="000000"/>
        </w:rPr>
        <w:t xml:space="preserve"> </w:t>
      </w:r>
      <w:r>
        <w:rPr>
          <w:rFonts w:ascii="Times New Roman;serif" w:hAnsi="Times New Roman;serif"/>
          <w:b w:val="false"/>
          <w:color w:val="000000"/>
          <w:sz w:val="24"/>
        </w:rPr>
        <w:t>The Administrator may grant Dividend Equivalents under the Plan to any Eligible Individual based on dividends declared on the Common Stock, to be credited as of dividend payment dates during the period between the date an Award is granted to a Participant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foregoing, no Dividend Equivalents shall be payable with respect to Options or Stock Appreciation Rights. Any Dividend Equivalents shall be subject to accrual as provided in Section 12(h).</w:t>
      </w:r>
    </w:p>
    <w:p>
      <w:pPr>
        <w:pStyle w:val="TextBody"/>
        <w:bidi w:val="0"/>
        <w:spacing w:lineRule="auto" w:line="240" w:before="0" w:after="240"/>
        <w:ind w:left="0" w:right="0" w:hanging="720"/>
        <w:jc w:val="left"/>
        <w:rPr/>
      </w:pPr>
      <w:r>
        <w:rPr>
          <w:rFonts w:ascii="Times New Roman;serif" w:hAnsi="Times New Roman;serif"/>
          <w:b w:val="false"/>
          <w:i/>
          <w:color w:val="000000"/>
          <w:sz w:val="24"/>
        </w:rPr>
        <w:t>(c)Other Stock Unit Awards.</w:t>
      </w:r>
      <w:r>
        <w:rPr>
          <w:color w:val="000000"/>
        </w:rPr>
        <w:t xml:space="preserve"> </w:t>
      </w:r>
      <w:r>
        <w:rPr>
          <w:rFonts w:ascii="Times New Roman;serif" w:hAnsi="Times New Roman;serif"/>
          <w:b w:val="false"/>
          <w:color w:val="000000"/>
          <w:sz w:val="24"/>
        </w:rPr>
        <w:t>The Administrator may grant Other Stock Unit Awards under the Plan to any Eligible Individual. Such Other Stock Unit Awards shall be available as a form of payment in the settlement of other Awards granted under the Plan or as payment in lieu of compensation to which a Participant is otherwise entitled. Other Stock Unit Awards may be paid in shares of Common Stock or cash, as the Administrator shall determine. Subject to the provisions of the Plan, the Administrator shall determine the conditions of each Other Stock Unit Award, including any purchase price applicable thereto and any conditions applicable thereto, including without limitation, performance-based conditions.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9.Effect of a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(a)Qualifying Termination Prior to Change in Control.</w:t>
      </w:r>
      <w:r>
        <w:rPr>
          <w:color w:val="000000"/>
        </w:rPr>
        <w:t xml:space="preserve"> </w:t>
      </w:r>
      <w:r>
        <w:rPr>
          <w:rFonts w:ascii="Times New Roman;serif" w:hAnsi="Times New Roman;serif"/>
          <w:b w:val="false"/>
          <w:color w:val="000000"/>
          <w:sz w:val="24"/>
        </w:rPr>
        <w:t>Notwithstanding anything in this Plan to the contrary, in the event that a Participant experiences a Qualifying Termination that is within the period of time commencing three (3) months prior to the Change in Control and ending on the effective date of the Change in Control, then on the date of the Termination of Service, each outstanding and unvested Award held by such Participant as of the day prior to the date of the Participant’s Termination of Service shall</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remain outstanding for the period of three (3) months following the Participant’s Termination of Service with any vesting of such Award being suspended until it is determined whether there is a Change in Control during the three (3) month period following the Participant’s Termination of Service;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if a Change in Control occurs within the three (3) month period following the Participant’s Termination of Service, be treated as if the Participant had remained employed by the Company through the effective date of the Change in Control and notwithstanding any vesting schedule, forfeiture provisions, or anything else to the contrary in the respective Award Agreement governing such Award, subject to the same terms and conditions as in effect immediately prior to the Participant’s Termination of Service and subject to any applicable provisions of this Section 9; and</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if no Change in Control occurs within the three (3) month period following the Participant’s Termination of Service, terminate and be of no further force or effect except as otherwise provided by the Administrator or in a written agreement between the Company and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(b)Treatment of Awards upon a Change in Control.</w:t>
      </w:r>
      <w:r>
        <w:rPr>
          <w:color w:val="000000"/>
        </w:rPr>
        <w:t xml:space="preserve"> </w:t>
      </w:r>
      <w:r>
        <w:rPr>
          <w:rFonts w:ascii="Times New Roman;serif" w:hAnsi="Times New Roman;serif"/>
          <w:b w:val="false"/>
          <w:color w:val="000000"/>
          <w:sz w:val="24"/>
        </w:rPr>
        <w:t>In the event of a Change in Control (without regard to whether such event also constitutes a Reorganization Event), the following provisions shall apply to all then-outstanding Awards (including any Awards that remain outstanding as of the Change in Control pursuant to Section 9(a)):</w:t>
      </w:r>
    </w:p>
    <w:p>
      <w:pPr>
        <w:pStyle w:val="TextBody"/>
        <w:bidi w:val="0"/>
        <w:spacing w:lineRule="auto" w:line="240" w:before="0" w:after="240"/>
        <w:ind w:left="0" w:right="0" w:hanging="720"/>
        <w:jc w:val="left"/>
        <w:rPr/>
      </w:pPr>
      <w:r>
        <w:rPr>
          <w:rFonts w:ascii="Times New Roman;serif" w:hAnsi="Times New Roman;serif"/>
          <w:b w:val="false"/>
          <w:i/>
          <w:color w:val="000000"/>
          <w:sz w:val="24"/>
        </w:rPr>
        <w:t>(i)Performance Awards.</w:t>
      </w:r>
      <w:r>
        <w:rPr>
          <w:color w:val="000000"/>
        </w:rPr>
        <w:t xml:space="preserve"> </w:t>
      </w:r>
      <w:r>
        <w:rPr>
          <w:rFonts w:ascii="Times New Roman;serif" w:hAnsi="Times New Roman;serif"/>
          <w:b w:val="false"/>
          <w:color w:val="000000"/>
          <w:sz w:val="24"/>
        </w:rPr>
        <w:t>If the Change in Control occurs prior to the Measurement Date for a Performance Award that vests based upon the achievement of Performance Goals and upon a Participant providing continued service to the Company, then upon the effective date of the Change in Control such Award shall be earned as to the greater of (A) the “Target” level of shares for such Award, or (B) the number of shares that would have been earned pursuant to the terms of such Award based upon performance up through and including the day prior to the date of the Change in Control; provided, however, that if the Administrator determines in its sole discretion that it is impracticable to calculate the number of shares that would have been earned under clause (B) above with respect to one or more of the applicable Performance Goals of the Award, then such Award shall be earned as to the “Target” level of shares covered by such Performance Goal(s). For the avoidance of doubt, any deemed satisfaction of Performance Goals as described in this Section 9(b)(i) shall occur prior to the assumption, substitution, or accelerated vesting of such Award as provided in this Section 9(b) or in Section 9(c).</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(ii)Awards Not Assumed.</w:t>
      </w:r>
      <w:r>
        <w:rPr>
          <w:color w:val="000000"/>
        </w:rPr>
        <w:t xml:space="preserve"> </w:t>
      </w:r>
      <w:r>
        <w:rPr>
          <w:rFonts w:ascii="Times New Roman;serif" w:hAnsi="Times New Roman;serif"/>
          <w:b w:val="false"/>
          <w:color w:val="000000"/>
          <w:sz w:val="24"/>
        </w:rPr>
        <w:t>In the event that the successor or surviving company in the Change in Control does not agree to assume, or substitute for, an outstanding Award (or in the event that the Company is the ultimate parent corporation in the Change in Control and does not agree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Administrator, then such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Award, after giving effect to any deemed satisfaction of Performance Goals as described in Section 9(b)(i). If an Award becomes exercisable pursuant to this Section 9(b)(ii), the Administrator shall notify the Participant that the Award shall be fully exercisable beginning prior to the Change in Control contingent on the occurrence of the Change in Control, and the Award shall terminate on the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(iii)Awards Assumed.</w:t>
      </w:r>
      <w:r>
        <w:rPr>
          <w:color w:val="000000"/>
        </w:rPr>
        <w:t xml:space="preserve"> </w:t>
      </w:r>
      <w:r>
        <w:rPr>
          <w:rFonts w:ascii="Times New Roman;serif" w:hAnsi="Times New Roman;serif"/>
          <w:b w:val="false"/>
          <w:color w:val="000000"/>
          <w:sz w:val="24"/>
        </w:rPr>
        <w:t>In the event that the successor or surviving company in the Change in Control agrees to assume, or substitute for, an outstanding Award (or in the event that the Company is the ultimate parent corporation in the Change in Control and agrees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9(b)(i)), as determined in the sole discretion of the Administrator, then for the avoidance of doubt, such Award shall, following the Change in Control, continue to be subject to the same time-based vesting schedule to which the Award was subject immediately prior to the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(c)Treatment of Awards upon a Qualifying Termination.</w:t>
      </w:r>
      <w:r>
        <w:rPr>
          <w:color w:val="000000"/>
        </w:rPr>
        <w:t xml:space="preserve"> </w:t>
      </w:r>
      <w:r>
        <w:rPr>
          <w:rFonts w:ascii="Times New Roman;serif" w:hAnsi="Times New Roman;serif"/>
          <w:b w:val="false"/>
          <w:color w:val="000000"/>
          <w:sz w:val="24"/>
        </w:rPr>
        <w:t xml:space="preserve">Subject to the provisions of Section 13(f), in the event that a Participant experiences a Qualifying Termination, each outstanding and unvested Award under the Plan held by the Participant on the Equity Acceleration Date that, pursuant to its terms and after giving effect to any deemed satisfaction of Performance Goals as described in Section 9(b)(i) and any deemed continued employment through the effective date of the Change in Control as described in Section 9(a), vests solely based upon providing continued service to the Company (or, if applicable, a successor corporation to the Company), including, without limitation, Options, SARs, Restricted Stock Awards, and Performance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Award. For the avoidance of doubt, the reference in this Section 9(c) to “Performance Awards that are earned but unissued” shall include any Awards (i) for which the Measurement Date occurs on or prior to the effective date of the Change in Control, and (ii) for which the Change in Control occurs prior to the Measurement Date and which are upon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Change in Control converted into, or substituted by, Awards vesting solely based upon providing continued service to the Company or its successor, pursuant to Section 9(b) above.</w:t>
      </w:r>
    </w:p>
    <w:p>
      <w:pPr>
        <w:pStyle w:val="TextBody"/>
        <w:bidi w:val="0"/>
        <w:spacing w:lineRule="auto" w:line="240" w:before="0" w:after="240"/>
        <w:ind w:left="0" w:right="0" w:hanging="720"/>
        <w:jc w:val="left"/>
        <w:rPr/>
      </w:pPr>
      <w:r>
        <w:rPr>
          <w:rFonts w:ascii="Times New Roman;serif" w:hAnsi="Times New Roman;serif"/>
          <w:b w:val="false"/>
          <w:i/>
          <w:color w:val="000000"/>
          <w:sz w:val="24"/>
        </w:rPr>
        <w:t>(d)Share Issuance.</w:t>
      </w:r>
      <w:r>
        <w:rPr>
          <w:color w:val="000000"/>
        </w:rPr>
        <w:t xml:space="preserve"> </w:t>
      </w:r>
      <w:r>
        <w:rPr>
          <w:rFonts w:ascii="Times New Roman;serif" w:hAnsi="Times New Roman;serif"/>
          <w:b w:val="false"/>
          <w:color w:val="000000"/>
          <w:sz w:val="24"/>
        </w:rPr>
        <w:t>Subject to Section 12(f), any shares of Common Stock that are issued pursuant to Section 9(b)(ii) or Section 9(c) shall be issued to the applicable Participant on, or as soon as practicable (but not more than sixty (60) days) after, the Equity Acceleration Date (or such later date as may be required by Section 13(f)).</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10.Effect of Changes in Common Stock and Reorganization Events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(a)Changes in Capitalization.</w:t>
      </w:r>
      <w:r>
        <w:rPr>
          <w:color w:val="000000"/>
        </w:rPr>
        <w:t xml:space="preserve"> </w:t>
      </w:r>
      <w:r>
        <w:rPr>
          <w:rFonts w:ascii="Times New Roman;serif" w:hAnsi="Times New Roman;serif"/>
          <w:b w:val="false"/>
          <w:color w:val="000000"/>
          <w:sz w:val="24"/>
        </w:rPr>
        <w:t>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Award Limit set forth in Section 4(d), (iii) the number and class of securities and exercise price per share of each outstanding Option, (iv) the share- and per-share provisions of each Stock Appreciation Right, (v) the repurchase price per share subject to each outstanding award of Restricted Stock and (vi) the share- and per-share provisions of each outstanding Restricted Stock Unit Award and each outstanding Other Stock Unit Award, shall be appropriately adjusted by the Company (or substituted Awards may be made, if applicable) to the extent determined by the Board.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(b)Consequences of a Reorganization Event on Awards Other than Restricted Stock.</w:t>
      </w:r>
      <w:r>
        <w:rPr>
          <w:color w:val="000000"/>
        </w:rPr>
        <w:t xml:space="preserve"> </w:t>
      </w:r>
      <w:r>
        <w:rPr>
          <w:rFonts w:ascii="Times New Roman;serif" w:hAnsi="Times New Roman;serif"/>
          <w:b w:val="false"/>
          <w:color w:val="000000"/>
          <w:sz w:val="24"/>
        </w:rPr>
        <w:t>In connection with a Reorganization Event, the Board shall take any one or more of the following actions as to all or any outstanding Awards other than Restricted Stock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serif" w:hAnsi="Times New Roman;serif"/>
          <w:b/>
          <w:i/>
          <w:color w:val="000000"/>
          <w:sz w:val="24"/>
        </w:rPr>
        <w:t>Acquisition Price</w:t>
      </w:r>
      <w:r>
        <w:rPr>
          <w:color w:val="000000"/>
        </w:rPr>
        <w:t>”</w:t>
      </w:r>
      <w:r>
        <w:rPr>
          <w:rFonts w:ascii="Times New Roman;serif" w:hAnsi="Times New Roman;serif"/>
          <w:b w:val="false"/>
          <w:color w:val="000000"/>
          <w:sz w:val="24"/>
        </w:rPr>
        <w:t>),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For purposes of subsection (i) above, an Option shall be considered assumed if, following consummation of the Reorganization Event, the Option confers the right to purchase, for each share of Common Stock subject to the Option immediately prior to the consummation of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extent all or any portion of an Option becomes exercisable solely as a result of subsection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subsection (ii) above.</w:t>
      </w:r>
    </w:p>
    <w:p>
      <w:pPr>
        <w:pStyle w:val="TextBody"/>
        <w:bidi w:val="0"/>
        <w:spacing w:lineRule="auto" w:line="240" w:before="0" w:after="240"/>
        <w:ind w:left="0" w:right="0" w:hanging="720"/>
        <w:jc w:val="left"/>
        <w:rPr/>
      </w:pPr>
      <w:r>
        <w:rPr>
          <w:rFonts w:ascii="Times New Roman;serif" w:hAnsi="Times New Roman;serif"/>
          <w:b w:val="false"/>
          <w:i/>
          <w:color w:val="000000"/>
          <w:sz w:val="24"/>
        </w:rPr>
        <w:t>(c)Consequences of a Reorganization Event on Awards of Restricted Stock.</w:t>
      </w:r>
      <w:r>
        <w:rPr>
          <w:color w:val="000000"/>
        </w:rPr>
        <w:t xml:space="preserve"> </w:t>
      </w:r>
      <w:r>
        <w:rPr>
          <w:rFonts w:ascii="Times New Roman;serif" w:hAnsi="Times New Roman;serif"/>
          <w:b w:val="false"/>
          <w:color w:val="000000"/>
          <w:sz w:val="24"/>
        </w:rPr>
        <w:t>Upon the occurrence of a Reorganization Event other than a liquidation or dissolution of the Company, the repurchase and other rights of the Company under each outstanding Award of Restricted Stock shall inure to the benefit of the Company’s successor and shall apply to the cash, securities or other property that the Common Stock was converted into or exchanged for pursuant to such Reorganization Event in the same manner and to the same extent as they applied to the Common Stock subject to such Award of Restricted Stock. Upon the occurrence of a Reorganization Event involving the liquidation or dissolution of the Company, except to the extent specifically provided to the contrary in the instrument evidencing any Award of Restricted Stock or any other agreement between a Participant and the Company, all restrictions and conditions on all Awards of Restricted Stock then outstanding shall automatically be deemed terminated or satisfied.</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11.Termination of Service Due to Death or Disability</w:t>
      </w:r>
    </w:p>
    <w:p>
      <w:pPr>
        <w:pStyle w:val="TextBody"/>
        <w:bidi w:val="0"/>
        <w:spacing w:lineRule="auto" w:line="240" w:before="0" w:after="240"/>
        <w:ind w:left="0" w:right="0" w:hanging="720"/>
        <w:jc w:val="left"/>
        <w:rPr/>
      </w:pPr>
      <w:r>
        <w:rPr>
          <w:rFonts w:ascii="Times New Roman;serif" w:hAnsi="Times New Roman;serif"/>
          <w:b w:val="false"/>
          <w:i/>
          <w:color w:val="000000"/>
          <w:sz w:val="24"/>
        </w:rPr>
        <w:t>(a)Acceleration of Awards.</w:t>
      </w:r>
      <w:r>
        <w:rPr>
          <w:color w:val="000000"/>
        </w:rPr>
        <w:t xml:space="preserve"> </w:t>
      </w:r>
      <w:r>
        <w:rPr>
          <w:rFonts w:ascii="Times New Roman;serif" w:hAnsi="Times New Roman;serif"/>
          <w:b w:val="false"/>
          <w:color w:val="000000"/>
          <w:sz w:val="24"/>
        </w:rPr>
        <w:t>In the event that a Participant experiences a Termination of Service due to death or Disability, on the date of such Termination of Service each outstanding and unvested Award under the Plan held by the Participant that, pursuant to its terms, vests solely based upon providing continued service to the Company, including, without limitation, Options, SARs, Restricted Stock Awards, and Performance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(b)Performance Awards.</w:t>
      </w:r>
      <w:r>
        <w:rPr>
          <w:color w:val="000000"/>
        </w:rPr>
        <w:t xml:space="preserve"> </w:t>
      </w:r>
      <w:r>
        <w:rPr>
          <w:rFonts w:ascii="Times New Roman;serif" w:hAnsi="Times New Roman;serif"/>
          <w:b w:val="false"/>
          <w:color w:val="000000"/>
          <w:sz w:val="24"/>
        </w:rPr>
        <w:t xml:space="preserve">In the event that a Participant holds a Performance Award that vests based upon the achievement of Performance Goals and upon providing continued service to the Company and the Participant’s Termination of Service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due to death or Disability occurs prior to the Measurement Date for such Award, then such Award shall, as of the Measurement Date, (i) be earned as to the greater of (A) the “Target” level of shares for such Award, or (B) the number of shares that would have been earned pursuant to the terms of such Award had the Participant remained employed through the Measurement Date, and (ii) automatically become vested, exercisable, and issuable, and any forfeiture restrictions thereon shall immediately lapse, as applicable, in each case, as of the Measurement Date, with respect to one-hundred percent (100%) of that number of then-unvested shares underlying such equity Award that are earned pursuant to subsection (i) above.</w:t>
      </w:r>
    </w:p>
    <w:p>
      <w:pPr>
        <w:pStyle w:val="TextBody"/>
        <w:bidi w:val="0"/>
        <w:spacing w:lineRule="auto" w:line="240" w:before="0" w:after="240"/>
        <w:ind w:left="0" w:right="0" w:hanging="720"/>
        <w:jc w:val="left"/>
        <w:rPr/>
      </w:pPr>
      <w:r>
        <w:rPr>
          <w:rFonts w:ascii="Times New Roman;serif" w:hAnsi="Times New Roman;serif"/>
          <w:b w:val="false"/>
          <w:i/>
          <w:color w:val="000000"/>
          <w:sz w:val="24"/>
        </w:rPr>
        <w:t>(c)Share Issuance.</w:t>
      </w:r>
      <w:r>
        <w:rPr>
          <w:color w:val="000000"/>
        </w:rPr>
        <w:t xml:space="preserve"> </w:t>
      </w:r>
      <w:r>
        <w:rPr>
          <w:rFonts w:ascii="Times New Roman;serif" w:hAnsi="Times New Roman;serif"/>
          <w:b w:val="false"/>
          <w:color w:val="000000"/>
          <w:sz w:val="24"/>
        </w:rPr>
        <w:t>Subject to Section 12(f), any shares of Common Stock that are issued pursuant to Section 11(a) shall be issued to the Participant (or to the Participant’s estate, if applicable) on, or as soon as practicable (but not more than sixty (60) days) after, the date of the Participant’s Termination of Service (or such later date as may be required by Section 13(f)). Subject to Section 12(f), any shares of Common Stock that are issued pursuant to Section 11(b) shall be issued to the Participant (or to the Participant’s estate, if applicable) on, or as soon as practicable (but not more than sixty (60) days) after, the Measurement Date.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(d)Exercise Period of Options Upon Death.</w:t>
      </w:r>
      <w:r>
        <w:rPr>
          <w:color w:val="000000"/>
        </w:rPr>
        <w:t xml:space="preserve"> </w:t>
      </w:r>
      <w:r>
        <w:rPr>
          <w:rFonts w:ascii="Times New Roman;serif" w:hAnsi="Times New Roman;serif"/>
          <w:b w:val="false"/>
          <w:color w:val="000000"/>
          <w:sz w:val="24"/>
        </w:rPr>
        <w:t>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death (including any Options that become vested and exercisable pursuant to Section 11(a)) shall remain exercisable for a period of time expiring on the earlier of (a) the one (1) year anniversary of the Participant’s Termination of Service due to death, and (b) the final expiration date of such Options as set forth in the applicable Award Agreement, subject to the other terms and conditions of such Award Agreement.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(e)Exercise Period of Options Upon Disability.</w:t>
      </w:r>
      <w:r>
        <w:rPr>
          <w:color w:val="000000"/>
        </w:rPr>
        <w:t xml:space="preserve"> </w:t>
      </w:r>
      <w:r>
        <w:rPr>
          <w:rFonts w:ascii="Times New Roman;serif" w:hAnsi="Times New Roman;serif"/>
          <w:b w:val="false"/>
          <w:color w:val="000000"/>
          <w:sz w:val="24"/>
        </w:rPr>
        <w:t>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Disability (including any Options that become vested and exercisable pursuant to Section 11(a)) shall remain exercisable for a period of time expiring on the earlier of (a) the six (6) month anniversary of the Participant’s Termination of Service due to Disability, and (b) the final expiration date of such Options as set forth in the applicable Award Agreement, subject to the other terms and conditions of such Award Agreement.</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12.General Provisions Applicable to Awards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(a)Transferability of Awards.</w:t>
      </w:r>
      <w:r>
        <w:rPr>
          <w:color w:val="000000"/>
        </w:rPr>
        <w:t xml:space="preserve"> </w:t>
      </w:r>
      <w:r>
        <w:rPr>
          <w:rFonts w:ascii="Times New Roman;serif" w:hAnsi="Times New Roman;serif"/>
          <w:b w:val="false"/>
          <w:color w:val="000000"/>
          <w:sz w:val="24"/>
        </w:rPr>
        <w:t xml:space="preserve">Except as the Administrator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Participant. References to a Participant, to the extent relevant in the context, shall include references to authorized transferees.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(b)Award Agreement.</w:t>
      </w:r>
      <w:r>
        <w:rPr>
          <w:color w:val="000000"/>
        </w:rPr>
        <w:t xml:space="preserve"> </w:t>
      </w:r>
      <w:r>
        <w:rPr>
          <w:rFonts w:ascii="Times New Roman;serif" w:hAnsi="Times New Roman;serif"/>
          <w:b w:val="false"/>
          <w:color w:val="000000"/>
          <w:sz w:val="24"/>
        </w:rPr>
        <w:t>Each Award shall be evidenced by an Award Agreement (which may be electronic).</w:t>
      </w:r>
    </w:p>
    <w:p>
      <w:pPr>
        <w:pStyle w:val="TextBody"/>
        <w:bidi w:val="0"/>
        <w:spacing w:lineRule="auto" w:line="240" w:before="0" w:after="240"/>
        <w:ind w:left="0" w:right="0" w:hanging="720"/>
        <w:jc w:val="left"/>
        <w:rPr/>
      </w:pPr>
      <w:r>
        <w:rPr>
          <w:rFonts w:ascii="Times New Roman;serif" w:hAnsi="Times New Roman;serif"/>
          <w:b w:val="false"/>
          <w:i/>
          <w:color w:val="000000"/>
          <w:sz w:val="24"/>
        </w:rPr>
        <w:t>(c)Limitations Applicable to Section 16 Persons.</w:t>
      </w:r>
      <w:r>
        <w:rPr>
          <w:color w:val="000000"/>
        </w:rPr>
        <w:t xml:space="preserve"> </w:t>
      </w:r>
      <w:r>
        <w:rPr>
          <w:rFonts w:ascii="Times New Roman;serif" w:hAnsi="Times New Roman;serif"/>
          <w:b w:val="false"/>
          <w:color w:val="000000"/>
          <w:sz w:val="24"/>
        </w:rPr>
        <w:t>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under the Exchange Act or any successor rule)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(d)Administrator Discretion.</w:t>
      </w:r>
      <w:r>
        <w:rPr>
          <w:color w:val="000000"/>
        </w:rPr>
        <w:t xml:space="preserve"> </w:t>
      </w:r>
      <w:r>
        <w:rPr>
          <w:rFonts w:ascii="Times New Roman;serif" w:hAnsi="Times New Roman;serif"/>
          <w:b w:val="false"/>
          <w:color w:val="000000"/>
          <w:sz w:val="24"/>
        </w:rPr>
        <w:t>Except as otherwise provided by the Plan, each Award may be made alone or in addition or in relation to any other Award. The terms of each Award need not be identical, and the Administrator need not treat Participants uniformly.</w:t>
      </w:r>
    </w:p>
    <w:p>
      <w:pPr>
        <w:pStyle w:val="TextBody"/>
        <w:bidi w:val="0"/>
        <w:spacing w:lineRule="auto" w:line="240" w:before="0" w:after="240"/>
        <w:ind w:left="0" w:right="0" w:hanging="720"/>
        <w:jc w:val="left"/>
        <w:rPr/>
      </w:pPr>
      <w:r>
        <w:rPr>
          <w:rFonts w:ascii="Times New Roman;serif" w:hAnsi="Times New Roman;serif"/>
          <w:b w:val="false"/>
          <w:i/>
          <w:color w:val="000000"/>
          <w:sz w:val="24"/>
        </w:rPr>
        <w:t>(e)Termination of Service.</w:t>
      </w:r>
      <w:r>
        <w:rPr>
          <w:color w:val="000000"/>
        </w:rPr>
        <w:t xml:space="preserve"> </w:t>
      </w:r>
      <w:r>
        <w:rPr>
          <w:rFonts w:ascii="Times New Roman;serif" w:hAnsi="Times New Roman;serif"/>
          <w:b w:val="false"/>
          <w:color w:val="000000"/>
          <w:sz w:val="24"/>
        </w:rPr>
        <w:t>Subject to the provisions of Sections 9 and 11, the Administrator in its sole discretion shall determine the effect on an Award of the Disability, death, or other Termination of Service or change in the employment or other status of a Participant and the extent to which, and the period during which, the Participant, or the Participant’s legal representative, conservator, guardian or Designated Beneficiary, may exercise rights under the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(f)Withholding.</w:t>
      </w:r>
      <w:r>
        <w:rPr>
          <w:color w:val="000000"/>
        </w:rPr>
        <w:t xml:space="preserve"> </w:t>
      </w:r>
      <w:r>
        <w:rPr>
          <w:rFonts w:ascii="Times New Roman;serif" w:hAnsi="Times New Roman;serif"/>
          <w:b w:val="false"/>
          <w:color w:val="000000"/>
          <w:sz w:val="24"/>
        </w:rPr>
        <w:t xml:space="preserve">The Company shall have the authority and the right to deduct or withhold, or require a Participant to remit to the Company, an amount sufficient to satisfy federal, state, local and foreign taxes (including applicable income and payroll taxes) required by law to be withheld with respect to any taxable event concerning a Participant arising as a result of the Plan. The Administrator may in its sole discretion and in satisfaction of the foregoing requirement allow a Participant to elect to have the Company withhold shares of Common Stock otherwise issuable under an Award (or allow the surrender of shares of Common Stock). The number of shares of Common Stock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except that, to the extent that the Company is able to withhold or receive surrendered shares of Common Stock having a Fair Market Value that exceeds the applicable minimum statutory withholding tax without financial accounting implications or the Company is withholding in a jurisdiction that does not have a minimum statutory withholding tax, the Company may withhold or allow the surrender of such number of shares of Common Stock (up to the number of shares having a Fair Market Value equal to the applicable maximum individual statutory rate of tax (determined by, or in a manner approved by, the Company)) as the Company shall determine in its sole discretion to satisfy the tax liability associated with any Award. The Administrator shall determine the fair market value of the Common Stock, consistent with applicable provisions of the Code, for tax withholding obligations due in connection with a broker-assisted cashless Option or Stock Appreciation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Right exercise involving the sale of shares to pay the Option or Stock Appreciation Right exercise price or any tax withholding obligation.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(g)Payment.</w:t>
      </w:r>
      <w:r>
        <w:rPr>
          <w:color w:val="000000"/>
        </w:rPr>
        <w:t xml:space="preserve"> </w:t>
      </w:r>
      <w:r>
        <w:rPr>
          <w:rFonts w:ascii="Times New Roman;serif" w:hAnsi="Times New Roman;serif"/>
          <w:b w:val="false"/>
          <w:color w:val="000000"/>
          <w:sz w:val="24"/>
        </w:rPr>
        <w:t>The Administrator shall determine the methods by which payments shall be made by any Participant with respect to any Awards granted under the Plan, including, without limitation: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in cash or by check, payable to the order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except as the Administrator may otherwise provide in an option agreement, by (A) delivery of an irrevocable and unconditional undertaking by a creditworthy broker to deliver promptly to the Company sufficient funds to pay the exercise price and/or any required tax withholding, or (B) delivery by the Participant to the Company of a copy of irrevocable and unconditional instructions to a creditworthy broker to deliver promptly to the Company cash or a check sufficient to pay the exercise price and/or any required tax withholding, provided, in either case, that delivery of such required payments is then made to the Company upon settlement of such sale;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when the Common Stock is registered under the Exchange Act, by delivery of shares of Common Stock owned by the Participant valued at their Fair Market Value, provided (A) such method of payment is then permitted under applicable law, (B) such Common Stock, if acquired directly from the Company, was owned by the Participant for such minimum period of time, if any, as may be established by the Administrator in its discretion and (C) such Common Stock is not subject to any repurchase, forfeiture, unfulfilled vesting or other similar requirements;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(iv)</w:t>
      </w:r>
      <w:r>
        <w:rPr>
          <w:rFonts w:ascii="Times New Roman;serif" w:hAnsi="Times New Roman;serif"/>
          <w:b w:val="false"/>
          <w:color w:val="000000"/>
          <w:sz w:val="24"/>
        </w:rPr>
        <w:t>to the extent permitted by applicable law and by the Administrator, by payment of such other lawful consideration as the Administrator may determine;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(v)</w:t>
      </w:r>
      <w:r>
        <w:rPr>
          <w:rFonts w:ascii="Times New Roman;serif" w:hAnsi="Times New Roman;serif"/>
          <w:b w:val="false"/>
          <w:color w:val="000000"/>
          <w:sz w:val="24"/>
        </w:rPr>
        <w:t>by any combination of the above-permitted forms of payment.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(h)Accrued Dividends.</w:t>
      </w:r>
      <w:r>
        <w:rPr>
          <w:color w:val="000000"/>
        </w:rPr>
        <w:t xml:space="preserve"> </w:t>
      </w:r>
      <w:r>
        <w:rPr>
          <w:rFonts w:ascii="Times New Roman;serif" w:hAnsi="Times New Roman;serif"/>
          <w:b w:val="false"/>
          <w:color w:val="000000"/>
          <w:sz w:val="24"/>
        </w:rPr>
        <w:t>Any dividends (whether paid in cash, stock or property) declared and paid by the Company with respect to shares of Restricted Stock or Dividend Equivalents granted with respect to Restricted Stock Units or other Awards with respect to which Dividend Equivalents may be granted (either, “</w:t>
      </w:r>
      <w:r>
        <w:rPr>
          <w:rFonts w:ascii="Times New Roman;serif" w:hAnsi="Times New Roman;serif"/>
          <w:b/>
          <w:i/>
          <w:color w:val="000000"/>
          <w:sz w:val="24"/>
        </w:rPr>
        <w:t>Accrued Dividends</w:t>
      </w:r>
      <w:r>
        <w:rPr>
          <w:color w:val="000000"/>
        </w:rPr>
        <w:t>”</w:t>
      </w:r>
      <w:r>
        <w:rPr>
          <w:rFonts w:ascii="Times New Roman;serif" w:hAnsi="Times New Roman;serif"/>
          <w:b w:val="false"/>
          <w:color w:val="000000"/>
          <w:sz w:val="24"/>
        </w:rPr>
        <w:t>) shall be paid to the Participant only if and when such shares become free from the restrictions on transferability and forfeitability that apply to such shares or, in the case of a Restricted Stock Unit or other Award, the Award vests and the shares are delivered to the Participant. In addition, Accrued Dividends with respect to an Award with performance-based vesting that are based on dividends paid prior to the vesting of such Award shall be paid out to the Participant only to the extent that the performance-based vesting conditions are subsequently satisfied and the Award vests.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Restricted Stock, Restricted Stock Units or other Awards. No interest will be paid on Accrued Dividends.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(i)Fractional Shares.</w:t>
      </w:r>
      <w:r>
        <w:rPr>
          <w:color w:val="000000"/>
        </w:rPr>
        <w:t xml:space="preserve"> </w:t>
      </w:r>
      <w:r>
        <w:rPr>
          <w:rFonts w:ascii="Times New Roman;serif" w:hAnsi="Times New Roman;serif"/>
          <w:b w:val="false"/>
          <w:color w:val="000000"/>
          <w:sz w:val="24"/>
        </w:rPr>
        <w:t>No fractional shares of Common Stock shall be issued pursuant to Awards granted under the Plan, and the Administrator shall determine, in its sole discretion, whether cash shall be given in lieu of fractional shares or whether such fractional shares shall be eliminated by rounding down.</w:t>
      </w:r>
    </w:p>
    <w:p>
      <w:pPr>
        <w:pStyle w:val="TextBody"/>
        <w:bidi w:val="0"/>
        <w:spacing w:lineRule="auto" w:line="240" w:before="0" w:after="240"/>
        <w:ind w:left="0" w:right="0" w:hanging="720"/>
        <w:jc w:val="left"/>
        <w:rPr/>
      </w:pPr>
      <w:r>
        <w:rPr>
          <w:rFonts w:ascii="Times New Roman;serif" w:hAnsi="Times New Roman;serif"/>
          <w:b w:val="false"/>
          <w:i/>
          <w:color w:val="000000"/>
          <w:sz w:val="24"/>
        </w:rPr>
        <w:t>(j)Amendment of Award.</w:t>
      </w:r>
      <w:r>
        <w:rPr>
          <w:color w:val="000000"/>
        </w:rPr>
        <w:t xml:space="preserve"> </w:t>
      </w:r>
      <w:r>
        <w:rPr>
          <w:rFonts w:ascii="Times New Roman;serif" w:hAnsi="Times New Roman;serif"/>
          <w:b w:val="false"/>
          <w:color w:val="000000"/>
          <w:sz w:val="24"/>
        </w:rPr>
        <w:t>Except as provided in Sections 5 and 6, the Administrator may amend, modify or terminate any outstanding Award, including but not limited to, substituting therefor another Award of the same or a different type and changing the date of exercise or realization, provided that the Participant’s consent to such action shall be required unless the Administrator determines that the action, taking into account any related action, would not materially and adversely affect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(k)Conditions on Delivery of Stock.</w:t>
      </w:r>
      <w:r>
        <w:rPr>
          <w:color w:val="000000"/>
        </w:rPr>
        <w:t xml:space="preserve"> </w:t>
      </w:r>
      <w:r>
        <w:rPr>
          <w:rFonts w:ascii="Times New Roman;serif" w:hAnsi="Times New Roman;serif"/>
          <w:b w:val="false"/>
          <w:color w:val="000000"/>
          <w:sz w:val="24"/>
        </w:rPr>
        <w:t>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the shares of Common Stock are covered by an effective registration statement or applicable exemption from registration and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lineRule="auto" w:line="240" w:before="0" w:after="240"/>
        <w:ind w:left="0" w:right="0" w:hanging="720"/>
        <w:jc w:val="left"/>
        <w:rPr/>
      </w:pPr>
      <w:r>
        <w:rPr>
          <w:rFonts w:ascii="Times New Roman;serif" w:hAnsi="Times New Roman;serif"/>
          <w:b w:val="false"/>
          <w:i/>
          <w:color w:val="000000"/>
          <w:sz w:val="24"/>
        </w:rPr>
        <w:t>(l)Book Entry.</w:t>
      </w:r>
      <w:r>
        <w:rPr>
          <w:color w:val="000000"/>
        </w:rPr>
        <w:t xml:space="preserve"> </w:t>
      </w:r>
      <w:r>
        <w:rPr>
          <w:rFonts w:ascii="Times New Roman;serif" w:hAnsi="Times New Roman;serif"/>
          <w:b w:val="false"/>
          <w:color w:val="000000"/>
          <w:sz w:val="24"/>
        </w:rPr>
        <w:t>Notwithstanding any other provision of the Plan, unless otherwise determined by the Administrator or required by any applicable law, rule or regulation, the Company shall not deliver to any Participant certificates evidencing shares of Common Stock issued in connection with any Award and instead such shares of Common Stock shall be recorded in the books of the Company (or, as applicable, its transfer agent or stock plan administrator).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(m)Acceleration.</w:t>
      </w:r>
      <w:r>
        <w:rPr>
          <w:color w:val="000000"/>
        </w:rPr>
        <w:t xml:space="preserve"> </w:t>
      </w:r>
      <w:r>
        <w:rPr>
          <w:rFonts w:ascii="Times New Roman;serif" w:hAnsi="Times New Roman;serif"/>
          <w:b w:val="false"/>
          <w:color w:val="000000"/>
          <w:sz w:val="24"/>
        </w:rPr>
        <w:t>Except as otherwise provided in the Plan, the Administrator may at any time provide that any Award shall become immediately exercisable in full or in part, free of some or all restrictions or conditions, or otherwise realizable in full or in part, as the case may be.</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13.Miscellaneous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(a)No Right To Employment or Other Status.</w:t>
      </w:r>
      <w:r>
        <w:rPr>
          <w:color w:val="000000"/>
        </w:rPr>
        <w:t xml:space="preserve"> </w:t>
      </w:r>
      <w:r>
        <w:rPr>
          <w:rFonts w:ascii="Times New Roman;serif" w:hAnsi="Times New Roman;serif"/>
          <w:b w:val="false"/>
          <w:color w:val="000000"/>
          <w:sz w:val="24"/>
        </w:rPr>
        <w:t>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(b)No Rights as Stockholder.</w:t>
      </w:r>
      <w:r>
        <w:rPr>
          <w:color w:val="000000"/>
        </w:rPr>
        <w:t xml:space="preserve"> </w:t>
      </w:r>
      <w:r>
        <w:rPr>
          <w:rFonts w:ascii="Times New Roman;serif" w:hAnsi="Times New Roman;serif"/>
          <w:b w:val="false"/>
          <w:color w:val="000000"/>
          <w:sz w:val="24"/>
        </w:rPr>
        <w:t xml:space="preserve">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lineRule="auto" w:line="240" w:before="0" w:after="240"/>
        <w:ind w:left="0" w:right="0" w:hanging="720"/>
        <w:jc w:val="left"/>
        <w:rPr/>
      </w:pPr>
      <w:r>
        <w:rPr>
          <w:rFonts w:ascii="Times New Roman;serif" w:hAnsi="Times New Roman;serif"/>
          <w:b w:val="false"/>
          <w:i/>
          <w:color w:val="000000"/>
          <w:sz w:val="24"/>
        </w:rPr>
        <w:t>(c)Term of Plan.</w:t>
      </w:r>
      <w:r>
        <w:rPr>
          <w:color w:val="000000"/>
        </w:rPr>
        <w:t xml:space="preserve"> </w:t>
      </w:r>
      <w:r>
        <w:rPr>
          <w:rFonts w:ascii="Times New Roman;serif" w:hAnsi="Times New Roman;serif"/>
          <w:b w:val="false"/>
          <w:color w:val="000000"/>
          <w:sz w:val="24"/>
        </w:rPr>
        <w:t>No Awards shall be granted under the Plan on or after the Expiration Date. Any Awards that are outstanding on the Expiration Date shall remain in force according to the terms of the Plan and the applicable Award Agreement.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(d)Amendment of Plan.</w:t>
      </w:r>
      <w:r>
        <w:rPr>
          <w:color w:val="000000"/>
        </w:rPr>
        <w:t xml:space="preserve"> </w:t>
      </w:r>
      <w:r>
        <w:rPr>
          <w:rFonts w:ascii="Times New Roman;serif" w:hAnsi="Times New Roman;serif"/>
          <w:b w:val="false"/>
          <w:color w:val="000000"/>
          <w:sz w:val="24"/>
        </w:rPr>
        <w:t>The Board or the Committee may amend, suspend or terminate the Plan or any portion thereof at any time; provided that, without approval of the Company’s stockholders, no amendment may (i) increase the number of shares authorized under the Plan (other than pursuant to Section 10), (ii) materially increase the benefits provided under the Plan, (iii) materially expand the class of participants eligible to participate in the Plan, (iv) expand the types of Awards provided under the Plan or (v) make any other changes that require stockholder approval under the rules of Nasdaq (or other securities exchange or automated quotation system on which shares of Common Stock are listed, quoted or traded). No amendment, suspension or termination of the Plan shall, without the consent of the Participant, impair any rights or obligations under any Award theretofore granted or awarded, unless the applicable Award Agreement itself otherwise expressly so provides. No Awards may be granted or awarded under the Plan during any period of suspension or after termination of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(e)Provisions for Foreign Participants.</w:t>
      </w:r>
      <w:r>
        <w:rPr>
          <w:color w:val="000000"/>
        </w:rPr>
        <w:t xml:space="preserve"> </w:t>
      </w:r>
      <w:r>
        <w:rPr>
          <w:rFonts w:ascii="Times New Roman;serif" w:hAnsi="Times New Roman;serif"/>
          <w:b w:val="false"/>
          <w:color w:val="000000"/>
          <w:sz w:val="24"/>
        </w:rPr>
        <w:t>The Administrator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pStyle w:val="TextBody"/>
        <w:bidi w:val="0"/>
        <w:spacing w:lineRule="auto" w:line="240" w:before="0" w:after="240"/>
        <w:ind w:left="0" w:right="0" w:hanging="720"/>
        <w:jc w:val="left"/>
        <w:rPr/>
      </w:pPr>
      <w:r>
        <w:rPr>
          <w:rFonts w:ascii="Times New Roman;serif" w:hAnsi="Times New Roman;serif"/>
          <w:b w:val="false"/>
          <w:i/>
          <w:color w:val="000000"/>
          <w:sz w:val="24"/>
        </w:rPr>
        <w:t>(f)Compliance with Section 409A.</w:t>
      </w:r>
      <w:r>
        <w:rPr>
          <w:color w:val="000000"/>
        </w:rPr>
        <w:t xml:space="preserve"> </w:t>
      </w:r>
      <w:r>
        <w:rPr>
          <w:rFonts w:ascii="Times New Roman;serif" w:hAnsi="Times New Roman;serif"/>
          <w:b w:val="false"/>
          <w:color w:val="000000"/>
          <w:sz w:val="24"/>
        </w:rPr>
        <w:t>If and to the extent (A) any portion of any payment, compensation or other benefit provided to a Participant pursuant to the Plan in connection with his or her Termination of Service constitutes “nonqualified deferred compensation” within the meaning of Section 409A, and (B)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serif" w:hAnsi="Times New Roman;serif"/>
          <w:b/>
          <w:i/>
          <w:color w:val="000000"/>
          <w:sz w:val="24"/>
        </w:rPr>
        <w:t>New Payment Date</w:t>
      </w:r>
      <w:r>
        <w:rPr>
          <w:color w:val="000000"/>
        </w:rPr>
        <w:t>”</w:t>
      </w:r>
      <w:r>
        <w:rPr>
          <w:rFonts w:ascii="Times New Roman;serif" w:hAnsi="Times New Roman;serif"/>
          <w:b w:val="false"/>
          <w:color w:val="000000"/>
          <w:sz w:val="24"/>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(g)Governing Law.</w:t>
      </w:r>
      <w:r>
        <w:rPr>
          <w:color w:val="000000"/>
        </w:rPr>
        <w:t xml:space="preserve"> </w:t>
      </w:r>
      <w:r>
        <w:rPr>
          <w:rFonts w:ascii="Times New Roman;serif" w:hAnsi="Times New Roman;serif"/>
          <w:b w:val="false"/>
          <w:color w:val="000000"/>
          <w:sz w:val="24"/>
        </w:rPr>
        <w:t xml:space="preserve">The provisions of the Plan and all Awards made hereunder shall be governed by and interpreted in accordance with the laws of the State of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Delaware, without giving effect to any choice or conflict of law provision or rule (whether of Delaware or any other jurisdiction) that would cause the application of laws of any jurisdiction other than those of Delaware.</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127/000000412725000085/exhibit31-restatedcertific.htm" TargetMode="External"/><Relationship Id="rId3" Type="http://schemas.openxmlformats.org/officeDocument/2006/relationships/hyperlink" Target="https://www.sec.gov/Archives/edgar/data/4127/000000412723000016/exhibit31fourthamendmentan.htm" TargetMode="Externa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16722</Words>
  <Characters>88424</Characters>
  <CharactersWithSpaces>104799</CharactersWithSpaces>
  <Paragraphs>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