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161290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20,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Skyworks Solutions,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140" w:type="dxa"/>
            <w:vAlign w:val="bottom"/>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180" w:type="dxa"/>
            <w:vAlign w:val="bottom"/>
            <w:gridSpan w:val="3"/>
          </w:tcPr>
          <w:p>
            <w:pPr>
              <w:jc w:val="right"/>
              <w:ind w:right="1310"/>
              <w:spacing w:after="0"/>
              <w:rPr>
                <w:sz w:val="20"/>
                <w:szCs w:val="20"/>
                <w:color w:val="auto"/>
              </w:rPr>
            </w:pPr>
            <w:r>
              <w:rPr>
                <w:rFonts w:ascii="Times New Roman" w:cs="Times New Roman" w:eastAsia="Times New Roman" w:hAnsi="Times New Roman"/>
                <w:sz w:val="18"/>
                <w:szCs w:val="18"/>
                <w:b w:val="1"/>
                <w:bCs w:val="1"/>
                <w:color w:val="auto"/>
              </w:rPr>
              <w:t>001-05560</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80" w:type="dxa"/>
            <w:vAlign w:val="bottom"/>
          </w:tcPr>
          <w:p>
            <w:pPr>
              <w:jc w:val="right"/>
              <w:ind w:right="1390"/>
              <w:spacing w:after="0"/>
              <w:rPr>
                <w:sz w:val="20"/>
                <w:szCs w:val="20"/>
                <w:color w:val="auto"/>
              </w:rPr>
            </w:pPr>
            <w:r>
              <w:rPr>
                <w:rFonts w:ascii="Times New Roman" w:cs="Times New Roman" w:eastAsia="Times New Roman" w:hAnsi="Times New Roman"/>
                <w:sz w:val="18"/>
                <w:szCs w:val="18"/>
                <w:b w:val="1"/>
                <w:bCs w:val="1"/>
                <w:color w:val="auto"/>
              </w:rPr>
              <w:t>04-2302115</w:t>
            </w:r>
          </w:p>
        </w:tc>
      </w:tr>
      <w:tr>
        <w:trPr>
          <w:trHeight w:val="191"/>
        </w:trPr>
        <w:tc>
          <w:tcPr>
            <w:tcW w:w="3140" w:type="dxa"/>
            <w:vAlign w:val="bottom"/>
            <w:tcBorders>
              <w:top w:val="single" w:sz="8" w:color="auto"/>
            </w:tcBorders>
          </w:tcPr>
          <w:p>
            <w:pPr>
              <w:jc w:val="center"/>
              <w:ind w:left="390"/>
              <w:spacing w:after="0" w:line="191" w:lineRule="exact"/>
              <w:rPr>
                <w:sz w:val="20"/>
                <w:szCs w:val="20"/>
                <w:color w:val="auto"/>
              </w:rPr>
            </w:pPr>
            <w:r>
              <w:rPr>
                <w:rFonts w:ascii="Times New Roman" w:cs="Times New Roman" w:eastAsia="Times New Roman" w:hAnsi="Times New Roman"/>
                <w:sz w:val="18"/>
                <w:szCs w:val="18"/>
                <w:color w:val="auto"/>
              </w:rPr>
              <w:t>(State or other jurisdiction of</w:t>
            </w:r>
          </w:p>
        </w:tc>
        <w:tc>
          <w:tcPr>
            <w:tcW w:w="4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5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3280" w:type="dxa"/>
            <w:vAlign w:val="bottom"/>
            <w:tcBorders>
              <w:top w:val="single" w:sz="8" w:color="auto"/>
            </w:tcBorders>
          </w:tcPr>
          <w:p>
            <w:pPr>
              <w:spacing w:after="0"/>
              <w:rPr>
                <w:sz w:val="16"/>
                <w:szCs w:val="16"/>
                <w:color w:val="auto"/>
              </w:rPr>
            </w:pPr>
          </w:p>
        </w:tc>
      </w:tr>
      <w:tr>
        <w:trPr>
          <w:trHeight w:val="234"/>
        </w:trPr>
        <w:tc>
          <w:tcPr>
            <w:tcW w:w="314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w w:val="99"/>
              </w:rPr>
              <w:t>incorporation)</w:t>
            </w: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20" w:type="dxa"/>
            <w:vAlign w:val="bottom"/>
            <w:gridSpan w:val="3"/>
          </w:tcPr>
          <w:p>
            <w:pPr>
              <w:jc w:val="center"/>
              <w:ind w:right="64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328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37"/>
        </w:trPr>
        <w:tc>
          <w:tcPr>
            <w:tcW w:w="3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2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8"/>
              </w:rPr>
              <w:t>5260 California Avenue</w:t>
            </w:r>
          </w:p>
        </w:tc>
        <w:tc>
          <w:tcPr>
            <w:tcW w:w="3280" w:type="dxa"/>
            <w:vAlign w:val="bottom"/>
          </w:tcPr>
          <w:p>
            <w:pPr>
              <w:spacing w:after="0"/>
              <w:rPr>
                <w:sz w:val="24"/>
                <w:szCs w:val="24"/>
                <w:color w:val="auto"/>
              </w:rPr>
            </w:pPr>
          </w:p>
        </w:tc>
      </w:tr>
      <w:tr>
        <w:trPr>
          <w:trHeight w:val="220"/>
        </w:trPr>
        <w:tc>
          <w:tcPr>
            <w:tcW w:w="3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2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Irvine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CA 92617</w:t>
            </w:r>
          </w:p>
        </w:tc>
        <w:tc>
          <w:tcPr>
            <w:tcW w:w="3280" w:type="dxa"/>
            <w:vAlign w:val="bottom"/>
          </w:tcPr>
          <w:p>
            <w:pPr>
              <w:spacing w:after="0"/>
              <w:rPr>
                <w:sz w:val="19"/>
                <w:szCs w:val="19"/>
                <w:color w:val="auto"/>
              </w:rPr>
            </w:pPr>
          </w:p>
        </w:tc>
      </w:tr>
      <w:tr>
        <w:trPr>
          <w:trHeight w:val="234"/>
        </w:trPr>
        <w:tc>
          <w:tcPr>
            <w:tcW w:w="3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2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color w:val="auto"/>
                <w:w w:val="99"/>
              </w:rPr>
              <w:t>(Address of principal executive office) (Zip Code)</w:t>
            </w:r>
          </w:p>
        </w:tc>
        <w:tc>
          <w:tcPr>
            <w:tcW w:w="3280" w:type="dxa"/>
            <w:vAlign w:val="bottom"/>
          </w:tcPr>
          <w:p>
            <w:pPr>
              <w:spacing w:after="0"/>
              <w:rPr>
                <w:sz w:val="20"/>
                <w:szCs w:val="20"/>
                <w:color w:val="auto"/>
              </w:rPr>
            </w:pPr>
          </w:p>
        </w:tc>
      </w:tr>
      <w:tr>
        <w:trPr>
          <w:trHeight w:val="414"/>
        </w:trPr>
        <w:tc>
          <w:tcPr>
            <w:tcW w:w="3140" w:type="dxa"/>
            <w:vAlign w:val="bottom"/>
          </w:tcPr>
          <w:p>
            <w:pPr>
              <w:spacing w:after="0"/>
              <w:rPr>
                <w:sz w:val="24"/>
                <w:szCs w:val="24"/>
                <w:color w:val="auto"/>
              </w:rPr>
            </w:pPr>
          </w:p>
        </w:tc>
        <w:tc>
          <w:tcPr>
            <w:tcW w:w="4180" w:type="dxa"/>
            <w:vAlign w:val="bottom"/>
            <w:gridSpan w:val="3"/>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w w:val="99"/>
              </w:rPr>
              <w:t>(949) 231-3000</w:t>
            </w: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80" w:type="dxa"/>
            <w:vAlign w:val="bottom"/>
          </w:tcPr>
          <w:p>
            <w:pPr>
              <w:spacing w:after="0"/>
              <w:rPr>
                <w:sz w:val="24"/>
                <w:szCs w:val="24"/>
                <w:color w:val="auto"/>
              </w:rPr>
            </w:pPr>
          </w:p>
        </w:tc>
      </w:tr>
      <w:tr>
        <w:trPr>
          <w:trHeight w:val="234"/>
        </w:trPr>
        <w:tc>
          <w:tcPr>
            <w:tcW w:w="3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340" w:type="dxa"/>
            <w:vAlign w:val="bottom"/>
            <w:gridSpan w:val="4"/>
          </w:tcPr>
          <w:p>
            <w:pPr>
              <w:jc w:val="center"/>
              <w:ind w:right="34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280" w:type="dxa"/>
            <w:vAlign w:val="bottom"/>
          </w:tcPr>
          <w:p>
            <w:pPr>
              <w:spacing w:after="0"/>
              <w:rPr>
                <w:sz w:val="20"/>
                <w:szCs w:val="20"/>
                <w:color w:val="auto"/>
              </w:rPr>
            </w:pPr>
          </w:p>
        </w:tc>
      </w:tr>
      <w:tr>
        <w:trPr>
          <w:trHeight w:val="414"/>
        </w:trPr>
        <w:tc>
          <w:tcPr>
            <w:tcW w:w="3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2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3280" w:type="dxa"/>
            <w:vAlign w:val="bottom"/>
          </w:tcPr>
          <w:p>
            <w:pPr>
              <w:spacing w:after="0"/>
              <w:rPr>
                <w:sz w:val="24"/>
                <w:szCs w:val="24"/>
                <w:color w:val="auto"/>
              </w:rPr>
            </w:pPr>
          </w:p>
        </w:tc>
      </w:tr>
      <w:tr>
        <w:trPr>
          <w:trHeight w:val="234"/>
        </w:trPr>
        <w:tc>
          <w:tcPr>
            <w:tcW w:w="3140" w:type="dxa"/>
            <w:vAlign w:val="bottom"/>
          </w:tcPr>
          <w:p>
            <w:pPr>
              <w:spacing w:after="0"/>
              <w:rPr>
                <w:sz w:val="20"/>
                <w:szCs w:val="20"/>
                <w:color w:val="auto"/>
              </w:rPr>
            </w:pPr>
          </w:p>
        </w:tc>
        <w:tc>
          <w:tcPr>
            <w:tcW w:w="4820" w:type="dxa"/>
            <w:vAlign w:val="bottom"/>
            <w:gridSpan w:val="5"/>
          </w:tcPr>
          <w:p>
            <w:pPr>
              <w:jc w:val="center"/>
              <w:ind w:left="70"/>
              <w:spacing w:after="0"/>
              <w:rPr>
                <w:sz w:val="20"/>
                <w:szCs w:val="20"/>
                <w:color w:val="auto"/>
              </w:rPr>
            </w:pPr>
            <w:r>
              <w:rPr>
                <w:rFonts w:ascii="Times New Roman" w:cs="Times New Roman" w:eastAsia="Times New Roman" w:hAnsi="Times New Roman"/>
                <w:sz w:val="18"/>
                <w:szCs w:val="18"/>
                <w:color w:val="auto"/>
                <w:w w:val="99"/>
              </w:rPr>
              <w:t>(Former name or former address, if changed since last report)</w:t>
            </w:r>
          </w:p>
        </w:tc>
        <w:tc>
          <w:tcPr>
            <w:tcW w:w="328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137160</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520" w:hanging="512"/>
        <w:spacing w:after="0"/>
        <w:tabs>
          <w:tab w:leader="none" w:pos="52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sz w:val="24"/>
          <w:szCs w:val="24"/>
          <w:color w:val="auto"/>
        </w:rPr>
      </w:pPr>
    </w:p>
    <w:p>
      <w:pPr>
        <w:ind w:left="480" w:hanging="472"/>
        <w:spacing w:after="0"/>
        <w:tabs>
          <w:tab w:leader="none" w:pos="4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80" w:hanging="472"/>
        <w:spacing w:after="0"/>
        <w:tabs>
          <w:tab w:leader="none" w:pos="4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720" w:firstLine="8"/>
        <w:spacing w:after="0" w:line="498" w:lineRule="auto"/>
        <w:tabs>
          <w:tab w:leader="none" w:pos="477"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560" w:type="dxa"/>
            <w:vAlign w:val="bottom"/>
          </w:tcPr>
          <w:p>
            <w:pPr>
              <w:spacing w:after="0"/>
              <w:rPr>
                <w:sz w:val="18"/>
                <w:szCs w:val="18"/>
                <w:color w:val="auto"/>
              </w:rPr>
            </w:pPr>
          </w:p>
        </w:tc>
        <w:tc>
          <w:tcPr>
            <w:tcW w:w="2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3900" w:type="dxa"/>
            <w:vAlign w:val="bottom"/>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rPr>
              <w:t>Name of each exchange</w:t>
            </w:r>
          </w:p>
        </w:tc>
      </w:tr>
      <w:tr>
        <w:trPr>
          <w:trHeight w:val="238"/>
        </w:trPr>
        <w:tc>
          <w:tcPr>
            <w:tcW w:w="4560" w:type="dxa"/>
            <w:vAlign w:val="bottom"/>
            <w:tcBorders>
              <w:bottom w:val="single" w:sz="8" w:color="auto"/>
            </w:tcBorders>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3900" w:type="dxa"/>
            <w:vAlign w:val="bottom"/>
            <w:tcBorders>
              <w:bottom w:val="single" w:sz="8" w:color="auto"/>
            </w:tcBorders>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r>
      <w:tr>
        <w:trPr>
          <w:trHeight w:val="228"/>
        </w:trPr>
        <w:tc>
          <w:tcPr>
            <w:tcW w:w="456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9"/>
              </w:rPr>
              <w:t>Common Stock, Par Value $0.25 per share</w:t>
            </w:r>
          </w:p>
        </w:tc>
        <w:tc>
          <w:tcPr>
            <w:tcW w:w="2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SWKS</w:t>
            </w:r>
          </w:p>
        </w:tc>
        <w:tc>
          <w:tcPr>
            <w:tcW w:w="39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179"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25" w:right="339" w:bottom="1440" w:gutter="0" w:footer="0" w:header="0"/>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229"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On October 27, 2025, Skyworks Solutions, Inc. (“Skyworks”) entered into an Agreement and Plan of Merger (the “Merger Agreement”), by and among Skyworks, Qorvo, Inc., a Delaware corporation (“Qorvo”), Comet Acquisition Corp., a Delaware corporation and a wholly owned subsidiary of Skyworks (“Merger Sub I”), and Comet Acquisition II, LLC, a Delaware limited liability company and a wholly owned subsidiary of Skyworks (“Merger Sub II”). Pursuant to the Merger Agreement, and subject to the satisfaction or waiver of the conditions specified therein, (i) Merger Sub I will merge with and into Qorvo (the “First Merger”), with Qorvo surviving the First Merger as a wholly owned subsidiary of Skyworks (the “Surviving Corporation”), and</w:t>
      </w:r>
    </w:p>
    <w:p>
      <w:pPr>
        <w:spacing w:after="0" w:line="3" w:lineRule="exact"/>
        <w:rPr>
          <w:sz w:val="20"/>
          <w:szCs w:val="20"/>
          <w:color w:val="auto"/>
        </w:rPr>
      </w:pPr>
    </w:p>
    <w:p>
      <w:pPr>
        <w:ind w:right="180" w:firstLine="8"/>
        <w:spacing w:after="0" w:line="253" w:lineRule="auto"/>
        <w:tabs>
          <w:tab w:leader="none" w:pos="26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following the First Merger, and as the second step in a single integrated transaction with the First Merger, the Surviving Corporation will merge with and into Merger Sub II (the “Second Merger,” and together with the First Merger, the “Mergers”), with Merger Sub II continuing as the surviving entity in the Second Merger and a wholly owned subsidiary of Skyworks. This Form 8-K is being filed in connection with certain transactions related to the Mergers.</w:t>
      </w:r>
    </w:p>
    <w:p>
      <w:pPr>
        <w:spacing w:after="0" w:line="18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Unaudited Pro Forma Financial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Financial Statements of Business Acquired.</w:t>
      </w:r>
    </w:p>
    <w:p>
      <w:pPr>
        <w:spacing w:after="0" w:line="225"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The audited consolidated financial statements of Qorvo as of March 28, 2026 and March 29, 2025 and for each of the three years in the period ended March 28, 2026 are attached hereto as Exhibit 99.1 and are incorporated into this Item 9.01(b) by reference.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Pro forma Financial Information</w:t>
      </w:r>
    </w:p>
    <w:p>
      <w:pPr>
        <w:spacing w:after="0" w:line="225"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The unaudited pro forma financial information of Skyworks, including the unaudited pro forma condensed combined balance sheet as of April 3, 2026 and the unaudited pro forma condensed combined statements of operations for the fiscal year ended October 3, 2025 and the six-month period ended April 3, 2026, which give effect to the Mergers on the basis described therein are included in Exhibit 99.2 and is incorporated into this Item 9.01(b) by reference.</w:t>
      </w:r>
    </w:p>
    <w:p>
      <w:pPr>
        <w:spacing w:after="0" w:line="180" w:lineRule="exact"/>
        <w:rPr>
          <w:sz w:val="20"/>
          <w:szCs w:val="20"/>
          <w:color w:val="auto"/>
        </w:rPr>
      </w:pPr>
    </w:p>
    <w:p>
      <w:pPr>
        <w:ind w:left="760" w:hanging="752"/>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218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38"/>
        </w:trPr>
        <w:tc>
          <w:tcPr>
            <w:tcW w:w="320" w:type="dxa"/>
            <w:vAlign w:val="bottom"/>
          </w:tcPr>
          <w:p>
            <w:pPr>
              <w:spacing w:after="0"/>
              <w:rPr>
                <w:sz w:val="20"/>
                <w:szCs w:val="20"/>
                <w:color w:val="auto"/>
              </w:rPr>
            </w:pPr>
          </w:p>
        </w:tc>
        <w:tc>
          <w:tcPr>
            <w:tcW w:w="82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No.</w:t>
            </w:r>
          </w:p>
        </w:tc>
        <w:tc>
          <w:tcPr>
            <w:tcW w:w="2180" w:type="dxa"/>
            <w:vAlign w:val="bottom"/>
          </w:tcPr>
          <w:p>
            <w:pPr>
              <w:spacing w:after="0"/>
              <w:rPr>
                <w:sz w:val="20"/>
                <w:szCs w:val="20"/>
                <w:color w:val="auto"/>
              </w:rPr>
            </w:pPr>
          </w:p>
        </w:tc>
        <w:tc>
          <w:tcPr>
            <w:tcW w:w="7920" w:type="dxa"/>
            <w:vAlign w:val="bottom"/>
            <w:gridSpan w:val="5"/>
          </w:tcPr>
          <w:p>
            <w:pPr>
              <w:ind w:left="24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320" w:type="dxa"/>
            <w:vAlign w:val="bottom"/>
            <w:tcBorders>
              <w:top w:val="single" w:sz="8" w:color="auto"/>
              <w:bottom w:val="single" w:sz="8" w:color="0000EE"/>
            </w:tcBorders>
          </w:tcPr>
          <w:p>
            <w:pPr>
              <w:spacing w:after="0" w:line="169" w:lineRule="exact"/>
              <w:rPr>
                <w:sz w:val="20"/>
                <w:szCs w:val="20"/>
                <w:color w:val="auto"/>
              </w:rPr>
            </w:pPr>
            <w:r>
              <w:rPr>
                <w:rFonts w:ascii="Times New Roman" w:cs="Times New Roman" w:eastAsia="Times New Roman" w:hAnsi="Times New Roman"/>
                <w:sz w:val="18"/>
                <w:szCs w:val="18"/>
                <w:color w:val="0000EE"/>
                <w:w w:val="95"/>
              </w:rPr>
              <w:t>23.</w:t>
            </w:r>
            <w:r>
              <w:rPr>
                <w:rFonts w:ascii="Times New Roman" w:cs="Times New Roman" w:eastAsia="Times New Roman" w:hAnsi="Times New Roman"/>
                <w:sz w:val="18"/>
                <w:szCs w:val="18"/>
                <w:u w:val="single" w:color="auto"/>
                <w:color w:val="0000EE"/>
                <w:w w:val="95"/>
              </w:rPr>
              <w:t>1</w:t>
            </w:r>
          </w:p>
        </w:tc>
        <w:tc>
          <w:tcPr>
            <w:tcW w:w="6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6600" w:type="dxa"/>
            <w:vAlign w:val="bottom"/>
            <w:tcBorders>
              <w:top w:val="single" w:sz="8" w:color="auto"/>
              <w:bottom w:val="single" w:sz="8" w:color="0000EE"/>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EE"/>
                <w:w w:val="99"/>
              </w:rPr>
              <w:t>Consent of Ernst &amp; Young LLP, Independent Registered Public Accounting Firm for Qorvo</w:t>
            </w:r>
          </w:p>
        </w:tc>
        <w:tc>
          <w:tcPr>
            <w:tcW w:w="3500" w:type="dxa"/>
            <w:vAlign w:val="bottom"/>
            <w:tcBorders>
              <w:top w:val="single" w:sz="8" w:color="auto"/>
            </w:tcBorders>
            <w:gridSpan w:val="4"/>
          </w:tcPr>
          <w:p>
            <w:pPr>
              <w:spacing w:after="0"/>
              <w:rPr>
                <w:sz w:val="14"/>
                <w:szCs w:val="14"/>
                <w:color w:val="auto"/>
              </w:rPr>
            </w:pPr>
          </w:p>
        </w:tc>
      </w:tr>
      <w:tr>
        <w:trPr>
          <w:trHeight w:val="412"/>
        </w:trPr>
        <w:tc>
          <w:tcPr>
            <w:tcW w:w="3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1</w:t>
            </w: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74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The audited consolidated financial statements of Qorvo as of March 28, 2026 and March 29, 2025 and for each of the three years in the</w:t>
            </w:r>
          </w:p>
        </w:tc>
        <w:tc>
          <w:tcPr>
            <w:tcW w:w="360" w:type="dxa"/>
            <w:vAlign w:val="bottom"/>
          </w:tcPr>
          <w:p>
            <w:pPr>
              <w:spacing w:after="0"/>
              <w:rPr>
                <w:sz w:val="24"/>
                <w:szCs w:val="24"/>
                <w:color w:val="auto"/>
              </w:rPr>
            </w:pPr>
          </w:p>
        </w:tc>
      </w:tr>
      <w:tr>
        <w:trPr>
          <w:trHeight w:val="196"/>
        </w:trPr>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8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9"/>
              </w:rPr>
              <w:t>period ended March 28, 2026.</w:t>
            </w:r>
          </w:p>
        </w:tc>
        <w:tc>
          <w:tcPr>
            <w:tcW w:w="7920" w:type="dxa"/>
            <w:vAlign w:val="bottom"/>
            <w:gridSpan w:val="5"/>
          </w:tcPr>
          <w:p>
            <w:pPr>
              <w:spacing w:after="0"/>
              <w:rPr>
                <w:sz w:val="17"/>
                <w:szCs w:val="17"/>
                <w:color w:val="auto"/>
              </w:rPr>
            </w:pPr>
          </w:p>
        </w:tc>
      </w:tr>
      <w:tr>
        <w:trPr>
          <w:trHeight w:val="412"/>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2</w:t>
            </w: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0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The unaudited pro forma condensed combined balance sheet as of April 3, 2026 and the unaudited pro forma condensed combined</w:t>
            </w:r>
          </w:p>
        </w:tc>
      </w:tr>
      <w:tr>
        <w:trPr>
          <w:trHeight w:val="196"/>
        </w:trPr>
        <w:tc>
          <w:tcPr>
            <w:tcW w:w="320" w:type="dxa"/>
            <w:vAlign w:val="bottom"/>
            <w:tcBorders>
              <w:top w:val="single" w:sz="8" w:color="0000EE"/>
            </w:tcBorders>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0" w:type="dxa"/>
            <w:vAlign w:val="bottom"/>
            <w:tcBorders>
              <w:top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statements of operations for the fiscal year ended October 3, 2025 and the six-month period ended April 3, 2026.</w:t>
            </w:r>
          </w:p>
        </w:tc>
        <w:tc>
          <w:tcPr>
            <w:tcW w:w="700" w:type="dxa"/>
            <w:vAlign w:val="bottom"/>
            <w:gridSpan w:val="2"/>
          </w:tcPr>
          <w:p>
            <w:pPr>
              <w:spacing w:after="0"/>
              <w:rPr>
                <w:sz w:val="17"/>
                <w:szCs w:val="17"/>
                <w:color w:val="auto"/>
              </w:rPr>
            </w:pPr>
          </w:p>
        </w:tc>
      </w:tr>
      <w:tr>
        <w:trPr>
          <w:trHeight w:val="453"/>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120" w:type="dxa"/>
            <w:vAlign w:val="bottom"/>
            <w:tcBorders>
              <w:top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1980" w:type="dxa"/>
            <w:vAlign w:val="bottom"/>
            <w:gridSpan w:val="3"/>
          </w:tcPr>
          <w:p>
            <w:pPr>
              <w:spacing w:after="0"/>
              <w:rPr>
                <w:sz w:val="24"/>
                <w:szCs w:val="24"/>
                <w:color w:val="auto"/>
              </w:rPr>
            </w:pPr>
          </w:p>
        </w:tc>
      </w:tr>
      <w:tr>
        <w:trPr>
          <w:trHeight w:val="432"/>
        </w:trPr>
        <w:tc>
          <w:tcPr>
            <w:tcW w:w="3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44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29" w:lineRule="exact"/>
        <w:rPr>
          <w:sz w:val="20"/>
          <w:szCs w:val="20"/>
          <w:color w:val="auto"/>
        </w:rPr>
      </w:pPr>
    </w:p>
    <w:p>
      <w:pPr>
        <w:ind w:right="20" w:firstLine="648"/>
        <w:spacing w:after="0" w:line="281" w:lineRule="auto"/>
        <w:rPr>
          <w:sz w:val="20"/>
          <w:szCs w:val="20"/>
          <w:color w:val="auto"/>
        </w:rPr>
      </w:pPr>
      <w:r>
        <w:rPr>
          <w:rFonts w:ascii="Times New Roman" w:cs="Times New Roman" w:eastAsia="Times New Roman" w:hAnsi="Times New Roman"/>
          <w:sz w:val="17"/>
          <w:szCs w:val="17"/>
          <w:color w:val="auto"/>
        </w:rPr>
        <w:t>This communication is for informational purposes only and does not constitute, or form a part of,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and otherwise in accordance with applicable law.</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229"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This communication includes “forward-looking statements.” Forward-looking statements relate to future events, including, but not limited to, the Exchange Offers, the Consent Solicitations and the Mergers, as applicable. These forward-looking statements include information relating to future events, prospects, expectations and results of Skyworks (e.g., certain projections and business trends, including with respect to future sales and revenue, as well as plans for dividend payments). Forward-looking statements can often be identified by words such as “anticipates,” “estimates,” “expects,” “forecasts,” “intends,” “believes,” “plans,” “may,” “will” or “continue,” and similar expressions and variations or negatives of these words. All such statements are subject to certain risks, uncertainties and other important factors that could cause actual results to differ materially and adversely from those projected and may affect Skyworks’ future operating results, financial position and cash flows.</w:t>
      </w:r>
    </w:p>
    <w:p>
      <w:pPr>
        <w:spacing w:after="0" w:line="189"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These risks, uncertainties and other important factors include: the risks of doing business internationally, including from trade war or trade protection measures (e.g., tariffs, retaliatory tariffs and other countermeasures or taxes), increased import/export restrictions and controls (e.g., Skyworks’ ability to obtain foreign-sourced raw materials, including from Chinese-based sources, as well as Skyworks’ ability to sell products to certain specified foreign entities only pursuant to a limited export license from the U.S. Department of Commerce), the susceptibility of the semiconductor industry and the markets addressed by Skyworks’, and Skyworks’ customers’, products to economic cycles or changes in economic conditions, including inflation and recession that could result from trade war or trade protection measures; Skyworks’ reliance on a small number of key customers for a large percentage of Skyworks’ sales; decreased gross margins and loss of market share as a result of increased competition; Skyworks’ ability to obtain design wins from customers; Skyworks’ ability to convert design wins into revenue; market acceptance of Skyworks’ products and Skyworks’ customers’ products, including market acceptance of new, emerging technologies such as AI; the mix and volume of phone models sold by Skyworks’ largest customer; the potential impacts on Skyworks’ business, reputation, relationships, results of operations, cash flows and financial condition as a result of the proposed merger transactions with Qorvo; the possibility that expected benefits related to such transactions with Qorvo may not materialize as expected; such transactions with Qorvo being timely completed, if completed at all; regulatory approvals required for the transaction not being timely obtained, if obtained at all, or being obtained subject to conditions; Skyworks or Qorvo’s business experiencing disruptions as a result of the acquisition or due to transaction-related uncertainty or other factors making it more difficult to maintain relationships with employees, customers, other business partners or governmental entities; Skyworks and Qorvo being unable to successfully implement integration strategies or to achieve expected synergies and operating efficiencies within the expected time-frames or at all; the costs, fees, expenses and other charges related to the Mergers, including with respect to any related litigation; reduced flexibility in operating Skyworks’ business as a result of the indebtedness incurred in connection with the transaction with Silicon Laboratories Inc. and the substantial amount of additional indebtedness Skyworks expects to incur in connection with the Qorvo transactions; delays in the deployment of commercial 5G networks or in consumer adoption of 5G-enabled devices; the volatility of Skyworks’ stock price; changes in laws, regulations and/or policies that could adversely affect Skyworks’ operations and financial results, the economy and Skyworks’ customers’ demand for Skyworks’ products, or the financial markets and Skyworks’ ability to raise capital; fluctuations in Skyworks’ manufacturing yields due to Skyworks’ complex and specialized manufacturing processes; Skyworks’ ability to develop, manufacture and market innovative products, avoid product obsolescence, reduce costs in a timely manner, transition Skyworks’ products to smaller geometry process technologies and achieve higher levels of design integration; the quality of Skyworks’ products and any defect remediation costs; Skyworks’ products’ ability to perform under stringent operating conditions; the availability and pricing of third-party semiconductor foundry, assembly and test capacity, raw materials, including rare earth and similar minerals, supplier components, equipment and shipping and logistics services, including limits on Skyworks’ customers’ ability to obtain such services and materials; risks that Skyworks may not be able to optimize Skyworks’ manufacturing footprint and achieve any financial and operational benefits from such efforts, including reducing fixed costs or improving utilization rates, disruptions to Skyworks’ manufacturing processes, including relating to any relocation of Skyworks’ key facilities; Skyworks’ ability to successfully manage Skyworks’ senior management transitions; Skyworks’ ability to retain, recruit and hire key executives or the departure of any such executives, technical personnel and other employees in the positions and numbers, with the experience and capabilities, and at the compensation levels needed to implement Skyworks’ business and product plans; the timing, rescheduling or cancellation of significant customer orders and Skyworks’ ability, as well as the ability of Skyworks’ customers, to manage inventory; other economic, social, military and geopolitical conditions in the countries in which Skyworks, Skyworks’ customers or Skyworks’ suppliers operate, including the conflicts in Ukraine, Iran and other regions in the Middle East, possible disruptions in transportation networks, and fluctuations in foreign currency exchange rates; the effects of global health crises on business conditions in Skyworks’ industry, including the risk of significant disruptions to Skyworks’ business operations, as well as negative impacts to Skyworks’ financial condition; Skyworks’ ability to prevent theft of Skyworks’ intellectual property, disclosure of confidential information or breaches of Skyworks’ information technology systems; uncertainties of litigation, including potential disputes over intellectual property infringement and rights, as well as payments related to the licensing and/or sale of such rights; Skyworks’ ability to continue to grow and maintain an intellectual property portfolio and obtain needed licenses from third parties; Skyworks’ ability to make certain investments and acquisitions, integrate companies Skyworks acquires and/or enter into strategic alliances; and other risks and uncertainties, including those detailed from time to time in Skyworks’ filings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273685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The forward-looking statements contained in this communication are made only as of the date hereof, and Skyworks undertakes no obligation to update or revise the forward-looking statements, whether as a result of new information, future events or otherwise.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Information About the Mergers and Where to Find It</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In connection with the Mergers, Skyworks has filed with the SEC a registration statement on Form S-4, which includes a proxy statement of Qorvo that also constitutes a prospectus for the shares of Skyworks common stock to be offered in the Mergers (collectively, the “Mergers Registration Statement and Proxy/Prospectus”). Each of Skyworks and Qorvo may also file other relevant documents with the SEC regarding the Mergers. This communication is not a substitute for the proxy statement/prospectus or registration statement or any other document that Skyworks or Qorvo may file with the SEC. INVESTORS AND SECURITY HOLDERS ARE URGED TO READ THE MERGERS REGISTRATION STATEMENT AND PROXY STATEMENT/PROSPECTUS AND ANY OTHER RELEVANT DOCUMENTS THAT MAY BE FILED WITH THE SEC, AS WELL AS ANY AMENDMENTS OR SUPPLEMENTS TO THESE DOCUMENTS, CAREFULLY AND IN THEIR ENTIRETY WHEN THEY BECOME AVAILABLE BECAUSE THEY CONTAIN OR WILL CONTAIN IMPORTANT INFORMATION ABOUT SKYWORKS, QORVO, THE MERGERS AND RELATED MATTERS. Investors and security holders can obtain free copies of the registration statement and proxy statement/prospectus and other documents containing important information about Skyworks, Qorvo and the Mergers filed with the SEC through the website maintained by the SEC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The documents filed by Skyworks with the SEC also may be obtained free of charge at Skyworks’ website at https://www.skyworksinc.com/investors or upon written request to Skyworks at investor.relations@skyworksinc.com. The documents filed by Qorvo with the SEC also may be obtained free of charge at Qorvo’s website at https://ir.qorvo.com/ or upon written request to Qorvo at investor-relations@qorvo.com.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About Skyworks</w:t>
      </w:r>
    </w:p>
    <w:p>
      <w:pPr>
        <w:spacing w:after="0" w:line="229"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Skyworks Solutions, Inc. is empowering the wireless networking revolution. Skyworks is a leading developer, manufacturer and provider of analog and mixed-signal semiconductors and solutions for numerous applications, including aerospace, automotive, broadband, cellular infrastructure, connected home, defense, entertainment and gaming, industrial, medical, smartphone, tablet and wearables.</w:t>
      </w:r>
    </w:p>
    <w:p>
      <w:pPr>
        <w:spacing w:after="0" w:line="176"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Skyworks is a global company with engineering, marketing, operations, sales and support facilities located throughout Asia, Europe and North America and is a member of the S&amp;P 500® market index (Nasdaq: SWKS). For more information, please visit Skyworks’ website at: www.skyworksinc.com.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20"/>
          </w:cols>
          <w:pgMar w:left="320" w:top="900" w:right="659" w:bottom="1440" w:gutter="0" w:footer="0" w:header="0"/>
        </w:sectPr>
      </w:pPr>
    </w:p>
    <w:bookmarkStart w:id="5" w:name="page6"/>
    <w:bookmarkEnd w:id="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May 20, 2026</w:t>
      </w:r>
    </w:p>
    <w:p>
      <w:pPr>
        <w:spacing w:after="0" w:line="2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Skyworks Solutions, Inc.</w:t>
      </w:r>
    </w:p>
    <w:p>
      <w:pPr>
        <w:spacing w:after="0" w:line="2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i w:val="1"/>
          <w:iCs w:val="1"/>
          <w:color w:val="auto"/>
        </w:rPr>
        <w:t>By:  /s/ Philip Carter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18415</wp:posOffset>
            </wp:positionV>
            <wp:extent cx="334327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i w:val="1"/>
          <w:iCs w:val="1"/>
          <w:color w:val="auto"/>
        </w:rPr>
        <w:t>Name: Philip Carter</w:t>
      </w:r>
    </w:p>
    <w:p>
      <w:pPr>
        <w:spacing w:after="0" w:line="23" w:lineRule="exact"/>
        <w:rPr>
          <w:sz w:val="20"/>
          <w:szCs w:val="20"/>
          <w:color w:val="auto"/>
        </w:rPr>
      </w:pPr>
    </w:p>
    <w:p>
      <w:pPr>
        <w:ind w:left="5980"/>
        <w:spacing w:after="0"/>
        <w:tabs>
          <w:tab w:leader="none" w:pos="6500" w:val="left"/>
        </w:tabs>
        <w:rPr>
          <w:sz w:val="20"/>
          <w:szCs w:val="20"/>
          <w:color w:val="auto"/>
        </w:rPr>
      </w:pPr>
      <w:r>
        <w:rPr>
          <w:rFonts w:ascii="Times New Roman" w:cs="Times New Roman" w:eastAsia="Times New Roman" w:hAnsi="Times New Roman"/>
          <w:sz w:val="18"/>
          <w:szCs w:val="18"/>
          <w:i w:val="1"/>
          <w:iCs w:val="1"/>
          <w:color w:val="auto"/>
        </w:rPr>
        <w:t>Title:</w:t>
      </w:r>
      <w:r>
        <w:rPr>
          <w:sz w:val="20"/>
          <w:szCs w:val="20"/>
          <w:color w:val="auto"/>
        </w:rPr>
        <w:tab/>
      </w:r>
      <w:r>
        <w:rPr>
          <w:rFonts w:ascii="Times New Roman" w:cs="Times New Roman" w:eastAsia="Times New Roman" w:hAnsi="Times New Roman"/>
          <w:sz w:val="17"/>
          <w:szCs w:val="17"/>
          <w:i w:val="1"/>
          <w:iCs w:val="1"/>
          <w:color w:val="auto"/>
        </w:rPr>
        <w:t>Senior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22"/>
          <w:szCs w:val="22"/>
          <w:b w:val="1"/>
          <w:bCs w:val="1"/>
          <w:color w:val="auto"/>
        </w:rPr>
        <w:t>Exhibit 23.1</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Nos. 333-280183, 333-91524, 333-100312, 333-100313, 333-122333, 333-132880, 333-150780, 333-150782, 333-176285, 333-176286, 333-204310, 333-238910, 333-284984 and 333-295910 on Form S-8 of Skyworks Solutions, Inc. of our reports dated May 8, 2026, relating to the consolidated financial statements of Qorvo, Inc. and subsidiaries as of March 28, 2026 and March 29, 2025 and for each of the three years in the period ended March 28, 2026, and the effectiveness of internal control over financial reporting of Qorvo, Inc. and subsidiaries as of March 28, 2026, appearing in this Current Report on Form 8-K of Skyworks Solutions, Inc.</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Charlotte, North Carolina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8"/>
        </w:trPr>
        <w:tc>
          <w:tcPr>
            <w:tcW w:w="514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23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tc>
      </w:tr>
      <w:tr>
        <w:trPr>
          <w:trHeight w:val="414"/>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FINANCIAL STATEMENTS AND SUPPLEMENTARY DATA.</w:t>
            </w:r>
          </w:p>
        </w:tc>
        <w:tc>
          <w:tcPr>
            <w:tcW w:w="38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34"/>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INDEX TO CONSOLIDATED FINANCIAL STATEMENTS</w:t>
            </w:r>
          </w:p>
        </w:tc>
        <w:tc>
          <w:tcPr>
            <w:tcW w:w="380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418"/>
        </w:trPr>
        <w:tc>
          <w:tcPr>
            <w:tcW w:w="514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Page</w:t>
            </w:r>
          </w:p>
        </w:tc>
      </w:tr>
      <w:tr>
        <w:trPr>
          <w:trHeight w:val="218"/>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Balance Sheets</w:t>
            </w:r>
          </w:p>
        </w:tc>
        <w:tc>
          <w:tcPr>
            <w:tcW w:w="38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Statements of Operations</w:t>
            </w:r>
          </w:p>
        </w:tc>
        <w:tc>
          <w:tcPr>
            <w:tcW w:w="3800" w:type="dxa"/>
            <w:vAlign w:val="bottom"/>
          </w:tcPr>
          <w:p>
            <w:pPr>
              <w:spacing w:after="0"/>
              <w:rPr>
                <w:sz w:val="18"/>
                <w:szCs w:val="18"/>
                <w:color w:val="auto"/>
              </w:rPr>
            </w:pPr>
          </w:p>
        </w:tc>
        <w:tc>
          <w:tcPr>
            <w:tcW w:w="2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Statements of Comprehensive Income (Loss)</w:t>
            </w:r>
          </w:p>
        </w:tc>
        <w:tc>
          <w:tcPr>
            <w:tcW w:w="3800" w:type="dxa"/>
            <w:vAlign w:val="bottom"/>
          </w:tcPr>
          <w:p>
            <w:pPr>
              <w:spacing w:after="0"/>
              <w:rPr>
                <w:sz w:val="18"/>
                <w:szCs w:val="18"/>
                <w:color w:val="auto"/>
              </w:rPr>
            </w:pPr>
          </w:p>
        </w:tc>
        <w:tc>
          <w:tcPr>
            <w:tcW w:w="2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Statements of Stockholders’ Equity</w:t>
            </w:r>
          </w:p>
        </w:tc>
        <w:tc>
          <w:tcPr>
            <w:tcW w:w="3800" w:type="dxa"/>
            <w:vAlign w:val="bottom"/>
          </w:tcPr>
          <w:p>
            <w:pPr>
              <w:spacing w:after="0"/>
              <w:rPr>
                <w:sz w:val="18"/>
                <w:szCs w:val="18"/>
                <w:color w:val="auto"/>
              </w:rPr>
            </w:pPr>
          </w:p>
        </w:tc>
        <w:tc>
          <w:tcPr>
            <w:tcW w:w="2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Statements of Cash Flows</w:t>
            </w:r>
          </w:p>
        </w:tc>
        <w:tc>
          <w:tcPr>
            <w:tcW w:w="3800" w:type="dxa"/>
            <w:vAlign w:val="bottom"/>
          </w:tcPr>
          <w:p>
            <w:pPr>
              <w:spacing w:after="0"/>
              <w:rPr>
                <w:sz w:val="18"/>
                <w:szCs w:val="18"/>
                <w:color w:val="auto"/>
              </w:rPr>
            </w:pPr>
          </w:p>
        </w:tc>
        <w:tc>
          <w:tcPr>
            <w:tcW w:w="2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Notes to Consolidated Financial Statements</w:t>
            </w:r>
          </w:p>
        </w:tc>
        <w:tc>
          <w:tcPr>
            <w:tcW w:w="3800" w:type="dxa"/>
            <w:vAlign w:val="bottom"/>
          </w:tcPr>
          <w:p>
            <w:pPr>
              <w:spacing w:after="0"/>
              <w:rPr>
                <w:sz w:val="18"/>
                <w:szCs w:val="18"/>
                <w:color w:val="auto"/>
              </w:rPr>
            </w:pPr>
          </w:p>
        </w:tc>
        <w:tc>
          <w:tcPr>
            <w:tcW w:w="2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34"/>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Reports of Independent Registered Public Accounting Firm</w:t>
            </w:r>
          </w:p>
        </w:tc>
        <w:tc>
          <w:tcPr>
            <w:tcW w:w="3800" w:type="dxa"/>
            <w:vAlign w:val="bottom"/>
          </w:tcPr>
          <w:p>
            <w:pPr>
              <w:jc w:val="right"/>
              <w:ind w:right="1310"/>
              <w:spacing w:after="0"/>
              <w:rPr>
                <w:sz w:val="20"/>
                <w:szCs w:val="20"/>
                <w:color w:val="auto"/>
              </w:rPr>
            </w:pPr>
            <w:r>
              <w:rPr>
                <w:rFonts w:ascii="Times New Roman" w:cs="Times New Roman" w:eastAsia="Times New Roman" w:hAnsi="Times New Roman"/>
                <w:sz w:val="18"/>
                <w:szCs w:val="18"/>
                <w:color w:val="auto"/>
              </w:rPr>
              <w:t>PCAOB ID:  42</w:t>
            </w:r>
          </w:p>
        </w:tc>
        <w:tc>
          <w:tcPr>
            <w:tcW w:w="2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864"/>
        </w:trPr>
        <w:tc>
          <w:tcPr>
            <w:tcW w:w="514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jc w:val="right"/>
              <w:ind w:right="3190"/>
              <w:spacing w:after="0"/>
              <w:rPr>
                <w:sz w:val="20"/>
                <w:szCs w:val="20"/>
                <w:color w:val="auto"/>
              </w:rPr>
            </w:pPr>
            <w:r>
              <w:rPr>
                <w:rFonts w:ascii="Times New Roman" w:cs="Times New Roman" w:eastAsia="Times New Roman" w:hAnsi="Times New Roman"/>
                <w:sz w:val="18"/>
                <w:szCs w:val="18"/>
                <w:color w:val="auto"/>
              </w:rPr>
              <w:t>1</w:t>
            </w:r>
          </w:p>
        </w:tc>
        <w:tc>
          <w:tcPr>
            <w:tcW w:w="19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8" w:name="page9"/>
    <w:bookmarkEnd w:id="8"/>
    <w:p>
      <w:pPr>
        <w:ind w:left="4600"/>
        <w:spacing w:after="0"/>
        <w:rPr>
          <w:sz w:val="20"/>
          <w:szCs w:val="20"/>
          <w:color w:val="auto"/>
        </w:rPr>
      </w:pPr>
      <w:r>
        <w:rPr>
          <w:rFonts w:ascii="Times New Roman" w:cs="Times New Roman" w:eastAsia="Times New Roman" w:hAnsi="Times New Roman"/>
          <w:sz w:val="18"/>
          <w:szCs w:val="18"/>
          <w:color w:val="auto"/>
        </w:rPr>
        <w:t>Qorvo, Inc. and Subsidiaries</w:t>
      </w:r>
    </w:p>
    <w:p>
      <w:pPr>
        <w:spacing w:after="0" w:line="27"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data)</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March 28, 2026</w:t>
            </w:r>
          </w:p>
        </w:tc>
        <w:tc>
          <w:tcPr>
            <w:tcW w:w="20" w:type="dxa"/>
            <w:vAlign w:val="bottom"/>
          </w:tcPr>
          <w:p>
            <w:pPr>
              <w:spacing w:after="0"/>
              <w:rPr>
                <w:sz w:val="20"/>
                <w:szCs w:val="20"/>
                <w:color w:val="auto"/>
              </w:rPr>
            </w:pPr>
          </w:p>
        </w:tc>
        <w:tc>
          <w:tcPr>
            <w:tcW w:w="132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March 29, 2025</w:t>
            </w:r>
          </w:p>
        </w:tc>
        <w:tc>
          <w:tcPr>
            <w:tcW w:w="0" w:type="dxa"/>
            <w:vAlign w:val="bottom"/>
          </w:tcPr>
          <w:p>
            <w:pPr>
              <w:spacing w:after="0"/>
              <w:rPr>
                <w:sz w:val="1"/>
                <w:szCs w:val="1"/>
                <w:color w:val="auto"/>
              </w:rPr>
            </w:pPr>
          </w:p>
        </w:tc>
      </w:tr>
      <w:tr>
        <w:trPr>
          <w:trHeight w:val="210"/>
        </w:trPr>
        <w:tc>
          <w:tcPr>
            <w:tcW w:w="8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6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1,219,015</w:t>
            </w:r>
          </w:p>
        </w:tc>
        <w:tc>
          <w:tcPr>
            <w:tcW w:w="30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1,021,176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140" w:type="dxa"/>
            <w:vAlign w:val="bottom"/>
          </w:tcPr>
          <w:p>
            <w:pPr>
              <w:ind w:left="320"/>
              <w:spacing w:after="0" w:line="198" w:lineRule="exact"/>
              <w:rPr>
                <w:sz w:val="20"/>
                <w:szCs w:val="20"/>
                <w:color w:val="auto"/>
              </w:rPr>
            </w:pPr>
            <w:r>
              <w:rPr>
                <w:rFonts w:ascii="Times New Roman" w:cs="Times New Roman" w:eastAsia="Times New Roman" w:hAnsi="Times New Roman"/>
                <w:sz w:val="18"/>
                <w:szCs w:val="18"/>
                <w:color w:val="auto"/>
              </w:rPr>
              <w:t>Accounts receivable, net of allowance of $301 and $309 as of March 28, 2026 and March 29, 2025,</w:t>
            </w: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1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respectively</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382,509</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386,719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Inventories</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553,718</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640,992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Prepaid expenses</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36,724</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32,808</w:t>
            </w: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Other receivables</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16,172</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11,023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1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Other current assets</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98,176</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74,557</w:t>
            </w:r>
          </w:p>
        </w:tc>
        <w:tc>
          <w:tcPr>
            <w:tcW w:w="0" w:type="dxa"/>
            <w:vAlign w:val="bottom"/>
          </w:tcPr>
          <w:p>
            <w:pPr>
              <w:spacing w:after="0"/>
              <w:rPr>
                <w:sz w:val="1"/>
                <w:szCs w:val="1"/>
                <w:color w:val="auto"/>
              </w:rPr>
            </w:pPr>
          </w:p>
        </w:tc>
      </w:tr>
      <w:tr>
        <w:trPr>
          <w:trHeight w:val="210"/>
        </w:trPr>
        <w:tc>
          <w:tcPr>
            <w:tcW w:w="8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2,306,314</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2,167,275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710,392</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801,895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2,353,226</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2,389,741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121,506</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273,478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investments</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16,295</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23,433</w:t>
            </w:r>
          </w:p>
        </w:tc>
        <w:tc>
          <w:tcPr>
            <w:tcW w:w="0" w:type="dxa"/>
            <w:vAlign w:val="bottom"/>
          </w:tcPr>
          <w:p>
            <w:pPr>
              <w:spacing w:after="0"/>
              <w:rPr>
                <w:sz w:val="1"/>
                <w:szCs w:val="1"/>
                <w:color w:val="auto"/>
              </w:rPr>
            </w:pPr>
          </w:p>
        </w:tc>
      </w:tr>
      <w:tr>
        <w:trPr>
          <w:trHeight w:val="23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317,857</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277,309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5,825,590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5,933,131</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1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LIABILITIES AND STOCKHOLDERS’ EQUITY</w:t>
            </w: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14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Accounts payable</w:t>
            </w:r>
          </w:p>
        </w:tc>
        <w:tc>
          <w:tcPr>
            <w:tcW w:w="6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242,870</w:t>
            </w:r>
          </w:p>
        </w:tc>
        <w:tc>
          <w:tcPr>
            <w:tcW w:w="300" w:type="dxa"/>
            <w:vAlign w:val="bottom"/>
            <w:gridSpan w:val="2"/>
          </w:tcPr>
          <w:p>
            <w:pPr>
              <w:jc w:val="right"/>
              <w:ind w:right="114"/>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260,663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Accrued liabilities</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248,160</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287,981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1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221,727</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234,538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712,757</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783,182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1,549,154</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1,549,215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219,380</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208,422</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3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2,481,291</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2,540,819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Commitments and contingent liabilities </w:t>
            </w:r>
            <w:r>
              <w:rPr>
                <w:rFonts w:ascii="Times New Roman" w:cs="Times New Roman" w:eastAsia="Times New Roman" w:hAnsi="Times New Roman"/>
                <w:sz w:val="18"/>
                <w:szCs w:val="18"/>
                <w:i w:val="1"/>
                <w:iCs w:val="1"/>
                <w:color w:val="auto"/>
              </w:rPr>
              <w:t>(Note 11)</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Preferred stock, $.0001 par value; 5,000 shares authorized; no shares issued and outstanding</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8140" w:type="dxa"/>
            <w:vAlign w:val="bottom"/>
          </w:tcPr>
          <w:p>
            <w:pPr>
              <w:ind w:left="320"/>
              <w:spacing w:after="0" w:line="198" w:lineRule="exact"/>
              <w:rPr>
                <w:sz w:val="20"/>
                <w:szCs w:val="20"/>
                <w:color w:val="auto"/>
              </w:rPr>
            </w:pPr>
            <w:r>
              <w:rPr>
                <w:rFonts w:ascii="Times New Roman" w:cs="Times New Roman" w:eastAsia="Times New Roman" w:hAnsi="Times New Roman"/>
                <w:sz w:val="18"/>
                <w:szCs w:val="18"/>
                <w:color w:val="auto"/>
              </w:rPr>
              <w:t>Common stock and additional paid-in capital, $0.0001 par value; 405,000 shares authorized; 87,741 and</w:t>
            </w: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1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92,920 shares issued and outstanding at March 28, 2026 and March 29, 2025, respectively</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3,301,450</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3,431,308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4,061</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(5,013)</w:t>
            </w:r>
          </w:p>
        </w:tc>
        <w:tc>
          <w:tcPr>
            <w:tcW w:w="0" w:type="dxa"/>
            <w:vAlign w:val="bottom"/>
          </w:tcPr>
          <w:p>
            <w:pPr>
              <w:spacing w:after="0"/>
              <w:rPr>
                <w:sz w:val="1"/>
                <w:szCs w:val="1"/>
                <w:color w:val="auto"/>
              </w:rPr>
            </w:pPr>
          </w:p>
        </w:tc>
      </w:tr>
      <w:tr>
        <w:trPr>
          <w:trHeight w:val="229"/>
        </w:trPr>
        <w:tc>
          <w:tcPr>
            <w:tcW w:w="81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Retained earnings (accumulated deficit)</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38,788</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(33,983)</w:t>
            </w:r>
          </w:p>
        </w:tc>
        <w:tc>
          <w:tcPr>
            <w:tcW w:w="0" w:type="dxa"/>
            <w:vAlign w:val="bottom"/>
          </w:tcPr>
          <w:p>
            <w:pPr>
              <w:spacing w:after="0"/>
              <w:rPr>
                <w:sz w:val="1"/>
                <w:szCs w:val="1"/>
                <w:color w:val="auto"/>
              </w:rPr>
            </w:pPr>
          </w:p>
        </w:tc>
      </w:tr>
      <w:tr>
        <w:trPr>
          <w:trHeight w:val="210"/>
        </w:trPr>
        <w:tc>
          <w:tcPr>
            <w:tcW w:w="8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3,344,299</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3,392,312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5,825,590</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5,933,131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color w:val="auto"/>
        </w:rPr>
        <w:t>Qorvo,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data)</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jc w:val="right"/>
              <w:ind w:right="281"/>
              <w:spacing w:after="0"/>
              <w:rPr>
                <w:sz w:val="20"/>
                <w:szCs w:val="20"/>
                <w:color w:val="auto"/>
              </w:rPr>
            </w:pPr>
            <w:r>
              <w:rPr>
                <w:rFonts w:ascii="Times New Roman" w:cs="Times New Roman" w:eastAsia="Times New Roman" w:hAnsi="Times New Roman"/>
                <w:sz w:val="18"/>
                <w:szCs w:val="18"/>
                <w:color w:val="auto"/>
              </w:rPr>
              <w:t>Fiscal Year</w:t>
            </w:r>
          </w:p>
        </w:tc>
        <w:tc>
          <w:tcPr>
            <w:tcW w:w="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52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2024</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4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3,678,517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3,718,971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3,769,506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1,990,415</w:t>
            </w:r>
          </w:p>
        </w:tc>
        <w:tc>
          <w:tcPr>
            <w:tcW w:w="140" w:type="dxa"/>
            <w:vAlign w:val="bottom"/>
          </w:tcPr>
          <w:p>
            <w:pPr>
              <w:spacing w:after="0"/>
              <w:rPr>
                <w:sz w:val="19"/>
                <w:szCs w:val="19"/>
                <w:color w:val="auto"/>
              </w:rPr>
            </w:pPr>
          </w:p>
        </w:tc>
        <w:tc>
          <w:tcPr>
            <w:tcW w:w="12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2,183,382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2,281,011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52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profit</w:t>
            </w:r>
          </w:p>
        </w:tc>
        <w:tc>
          <w:tcPr>
            <w:tcW w:w="14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1,688,102</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1,535,589</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1,488,495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726,122</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747,709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682,249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Marketing and selling</w:t>
            </w:r>
          </w:p>
        </w:tc>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215,485</w:t>
            </w:r>
          </w:p>
        </w:tc>
        <w:tc>
          <w:tcPr>
            <w:tcW w:w="140" w:type="dxa"/>
            <w:vAlign w:val="bottom"/>
          </w:tcPr>
          <w:p>
            <w:pPr>
              <w:spacing w:after="0"/>
              <w:rPr>
                <w:sz w:val="18"/>
                <w:szCs w:val="18"/>
                <w:color w:val="auto"/>
              </w:rPr>
            </w:pPr>
          </w:p>
        </w:tc>
        <w:tc>
          <w:tcPr>
            <w:tcW w:w="12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231,912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217,273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165,189</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171,712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171,867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Goodwill and intangible asset impairment</w:t>
            </w:r>
          </w:p>
        </w:tc>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82,369</w:t>
            </w:r>
          </w:p>
        </w:tc>
        <w:tc>
          <w:tcPr>
            <w:tcW w:w="140" w:type="dxa"/>
            <w:vAlign w:val="bottom"/>
          </w:tcPr>
          <w:p>
            <w:pPr>
              <w:spacing w:after="0"/>
              <w:rPr>
                <w:sz w:val="18"/>
                <w:szCs w:val="18"/>
                <w:color w:val="auto"/>
              </w:rPr>
            </w:pPr>
          </w:p>
        </w:tc>
        <w:tc>
          <w:tcPr>
            <w:tcW w:w="12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192,569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221,414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operating expense</w:t>
            </w:r>
          </w:p>
        </w:tc>
        <w:tc>
          <w:tcPr>
            <w:tcW w:w="14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87,513</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96,160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103,991</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1,276,678</w:t>
            </w: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1,440,062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1,396,794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411,424</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95,527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91,701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(73,134)</w:t>
            </w:r>
          </w:p>
        </w:tc>
        <w:tc>
          <w:tcPr>
            <w:tcW w:w="140" w:type="dxa"/>
            <w:vAlign w:val="bottom"/>
          </w:tcPr>
          <w:p>
            <w:pPr>
              <w:spacing w:after="0"/>
              <w:rPr>
                <w:sz w:val="18"/>
                <w:szCs w:val="18"/>
                <w:color w:val="auto"/>
              </w:rPr>
            </w:pPr>
          </w:p>
        </w:tc>
        <w:tc>
          <w:tcPr>
            <w:tcW w:w="12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(78,328)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(69,245)</w:t>
            </w: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14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59,983</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48,700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51,104</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46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398,273</w:t>
            </w:r>
          </w:p>
        </w:tc>
        <w:tc>
          <w:tcPr>
            <w:tcW w:w="2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65,899</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73,560</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4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(59,284</w:t>
            </w:r>
          </w:p>
        </w:tc>
        <w:tc>
          <w:tcPr>
            <w:tcW w:w="22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(10,284</w:t>
            </w:r>
          </w:p>
        </w:tc>
        <w:tc>
          <w:tcPr>
            <w:tcW w:w="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(143,882</w:t>
            </w:r>
          </w:p>
        </w:tc>
        <w:tc>
          <w:tcPr>
            <w:tcW w:w="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63"/>
        </w:trPr>
        <w:tc>
          <w:tcPr>
            <w:tcW w:w="5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46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338,989</w:t>
            </w:r>
          </w:p>
        </w:tc>
        <w:tc>
          <w:tcPr>
            <w:tcW w:w="2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55,615</w:t>
            </w: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(70,322</w:t>
            </w:r>
          </w:p>
        </w:tc>
        <w:tc>
          <w:tcPr>
            <w:tcW w:w="10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96"/>
        </w:trPr>
        <w:tc>
          <w:tcPr>
            <w:tcW w:w="55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Net income (loss) per share</w:t>
            </w:r>
          </w:p>
        </w:tc>
        <w:tc>
          <w:tcPr>
            <w:tcW w:w="1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5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Basic</w:t>
            </w:r>
          </w:p>
        </w:tc>
        <w:tc>
          <w:tcPr>
            <w:tcW w:w="17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3.66</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0.59</w:t>
            </w:r>
          </w:p>
        </w:tc>
        <w:tc>
          <w:tcPr>
            <w:tcW w:w="3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(0.72)</w:t>
            </w:r>
          </w:p>
        </w:tc>
        <w:tc>
          <w:tcPr>
            <w:tcW w:w="0" w:type="dxa"/>
            <w:vAlign w:val="bottom"/>
          </w:tcPr>
          <w:p>
            <w:pPr>
              <w:spacing w:after="0"/>
              <w:rPr>
                <w:sz w:val="1"/>
                <w:szCs w:val="1"/>
                <w:color w:val="auto"/>
              </w:rPr>
            </w:pPr>
          </w:p>
        </w:tc>
      </w:tr>
      <w:tr>
        <w:trPr>
          <w:trHeight w:val="197"/>
        </w:trPr>
        <w:tc>
          <w:tcPr>
            <w:tcW w:w="5520" w:type="dxa"/>
            <w:vAlign w:val="bottom"/>
            <w:tcBorders>
              <w:top w:val="single" w:sz="8" w:color="CCEEFF"/>
              <w:bottom w:val="single" w:sz="8" w:color="CCEEFF"/>
            </w:tcBorders>
            <w:shd w:val="clear" w:color="auto" w:fill="CCEEFF"/>
          </w:tcPr>
          <w:p>
            <w:pPr>
              <w:ind w:left="160"/>
              <w:spacing w:after="0" w:line="195" w:lineRule="exact"/>
              <w:rPr>
                <w:sz w:val="20"/>
                <w:szCs w:val="20"/>
                <w:color w:val="auto"/>
              </w:rPr>
            </w:pPr>
            <w:r>
              <w:rPr>
                <w:rFonts w:ascii="Times New Roman" w:cs="Times New Roman" w:eastAsia="Times New Roman" w:hAnsi="Times New Roman"/>
                <w:sz w:val="18"/>
                <w:szCs w:val="18"/>
                <w:color w:val="auto"/>
              </w:rPr>
              <w:t>Diluted</w:t>
            </w:r>
          </w:p>
        </w:tc>
        <w:tc>
          <w:tcPr>
            <w:tcW w:w="146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3.62</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0.58</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(0.72</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55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Weighted-average shares of common stock outstanding:</w:t>
            </w:r>
          </w:p>
        </w:tc>
        <w:tc>
          <w:tcPr>
            <w:tcW w:w="14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20" w:type="dxa"/>
            <w:vAlign w:val="bottom"/>
            <w:vMerge w:val="continue"/>
          </w:tcPr>
          <w:p>
            <w:pPr>
              <w:spacing w:after="0"/>
              <w:rPr>
                <w:sz w:val="17"/>
                <w:szCs w:val="17"/>
                <w:color w:val="auto"/>
              </w:rPr>
            </w:pPr>
          </w:p>
        </w:tc>
        <w:tc>
          <w:tcPr>
            <w:tcW w:w="1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Basic</w:t>
            </w:r>
          </w:p>
        </w:tc>
        <w:tc>
          <w:tcPr>
            <w:tcW w:w="14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92,592</w:t>
            </w:r>
          </w:p>
        </w:tc>
        <w:tc>
          <w:tcPr>
            <w:tcW w:w="14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94,586</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97,557</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bottom w:val="single" w:sz="8" w:color="CCEEFF"/>
            </w:tcBorders>
            <w:vMerge w:val="restart"/>
          </w:tcPr>
          <w:p>
            <w:pPr>
              <w:ind w:left="160"/>
              <w:spacing w:after="0"/>
              <w:rPr>
                <w:sz w:val="20"/>
                <w:szCs w:val="20"/>
                <w:color w:val="auto"/>
              </w:rPr>
            </w:pPr>
            <w:r>
              <w:rPr>
                <w:rFonts w:ascii="Times New Roman" w:cs="Times New Roman" w:eastAsia="Times New Roman" w:hAnsi="Times New Roman"/>
                <w:sz w:val="18"/>
                <w:szCs w:val="18"/>
                <w:color w:val="auto"/>
              </w:rPr>
              <w:t>Diluted</w:t>
            </w:r>
          </w:p>
        </w:tc>
        <w:tc>
          <w:tcPr>
            <w:tcW w:w="14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520" w:type="dxa"/>
            <w:vAlign w:val="bottom"/>
            <w:vMerge w:val="continue"/>
          </w:tcPr>
          <w:p>
            <w:pPr>
              <w:spacing w:after="0"/>
              <w:rPr>
                <w:sz w:val="17"/>
                <w:szCs w:val="17"/>
                <w:color w:val="auto"/>
              </w:rPr>
            </w:pPr>
          </w:p>
        </w:tc>
        <w:tc>
          <w:tcPr>
            <w:tcW w:w="14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93,547</w:t>
            </w:r>
          </w:p>
        </w:tc>
        <w:tc>
          <w:tcPr>
            <w:tcW w:w="220" w:type="dxa"/>
            <w:vAlign w:val="bottom"/>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95,450</w:t>
            </w:r>
          </w:p>
        </w:tc>
        <w:tc>
          <w:tcPr>
            <w:tcW w:w="1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97,557</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color w:val="auto"/>
        </w:rPr>
        <w:t>Qorvo,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Fiscal Year</w:t>
            </w:r>
          </w:p>
        </w:tc>
        <w:tc>
          <w:tcPr>
            <w:tcW w:w="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69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19"/>
                <w:szCs w:val="19"/>
                <w:color w:val="auto"/>
              </w:rPr>
            </w:pPr>
          </w:p>
        </w:tc>
      </w:tr>
      <w:tr>
        <w:trPr>
          <w:trHeight w:val="209"/>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338,989</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55,615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(70,322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9"/>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pension liability</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366</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358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198"/>
        </w:trPr>
        <w:tc>
          <w:tcPr>
            <w:tcW w:w="69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Foreign currency translation adjustment, including intra-entity foreign currency transactions</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69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that are of a long-term investment nature</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8,739</w:t>
            </w:r>
          </w:p>
        </w:tc>
        <w:tc>
          <w:tcPr>
            <w:tcW w:w="140" w:type="dxa"/>
            <w:vAlign w:val="bottom"/>
          </w:tcPr>
          <w:p>
            <w:pPr>
              <w:spacing w:after="0"/>
              <w:rPr>
                <w:sz w:val="20"/>
                <w:szCs w:val="20"/>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(247)</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(1,787)</w:t>
            </w:r>
          </w:p>
        </w:tc>
      </w:tr>
      <w:tr>
        <w:trPr>
          <w:trHeight w:val="216"/>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Reclassification adjustments, net of tax:</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currency gain realized upon liquidation of subsidiary</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pension actuarial gain</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09"/>
        </w:trPr>
        <w:tc>
          <w:tcPr>
            <w:tcW w:w="6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9,074</w:t>
            </w:r>
          </w:p>
        </w:tc>
        <w:tc>
          <w:tcPr>
            <w:tcW w:w="2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(1,922</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23"/>
        </w:trPr>
        <w:tc>
          <w:tcPr>
            <w:tcW w:w="6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comprehensive income (loss)</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348,063</w:t>
            </w: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55,699</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(72,244</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6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color w:val="auto"/>
        </w:rPr>
        <w:t>Qorvo,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20" w:type="dxa"/>
            <w:vAlign w:val="bottom"/>
          </w:tcPr>
          <w:p>
            <w:pPr>
              <w:spacing w:after="0"/>
              <w:rPr>
                <w:sz w:val="18"/>
                <w:szCs w:val="18"/>
                <w:color w:val="auto"/>
              </w:rPr>
            </w:pPr>
          </w:p>
        </w:tc>
        <w:tc>
          <w:tcPr>
            <w:tcW w:w="2360" w:type="dxa"/>
            <w:vAlign w:val="bottom"/>
            <w:gridSpan w:val="6"/>
          </w:tcPr>
          <w:p>
            <w:pPr>
              <w:jc w:val="right"/>
              <w:ind w:right="540"/>
              <w:spacing w:after="0"/>
              <w:rPr>
                <w:sz w:val="20"/>
                <w:szCs w:val="20"/>
                <w:color w:val="auto"/>
              </w:rPr>
            </w:pPr>
            <w:r>
              <w:rPr>
                <w:rFonts w:ascii="Times New Roman" w:cs="Times New Roman" w:eastAsia="Times New Roman" w:hAnsi="Times New Roman"/>
                <w:sz w:val="18"/>
                <w:szCs w:val="18"/>
                <w:color w:val="auto"/>
              </w:rPr>
              <w:t>Common Stock and</w:t>
            </w:r>
          </w:p>
        </w:tc>
        <w:tc>
          <w:tcPr>
            <w:tcW w:w="162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Accumulated Other</w:t>
            </w:r>
          </w:p>
        </w:tc>
        <w:tc>
          <w:tcPr>
            <w:tcW w:w="80" w:type="dxa"/>
            <w:vAlign w:val="bottom"/>
          </w:tcPr>
          <w:p>
            <w:pPr>
              <w:spacing w:after="0"/>
              <w:rPr>
                <w:sz w:val="18"/>
                <w:szCs w:val="18"/>
                <w:color w:val="auto"/>
              </w:rPr>
            </w:pPr>
          </w:p>
        </w:tc>
        <w:tc>
          <w:tcPr>
            <w:tcW w:w="1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4520" w:type="dxa"/>
            <w:vAlign w:val="bottom"/>
          </w:tcPr>
          <w:p>
            <w:pPr>
              <w:spacing w:after="0"/>
              <w:rPr>
                <w:sz w:val="20"/>
                <w:szCs w:val="20"/>
                <w:color w:val="auto"/>
              </w:rPr>
            </w:pPr>
          </w:p>
        </w:tc>
        <w:tc>
          <w:tcPr>
            <w:tcW w:w="2360" w:type="dxa"/>
            <w:vAlign w:val="bottom"/>
            <w:gridSpan w:val="6"/>
          </w:tcPr>
          <w:p>
            <w:pPr>
              <w:jc w:val="right"/>
              <w:ind w:right="3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w w:val="99"/>
              </w:rPr>
              <w:t>Comprehensive</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2"/>
          </w:tcPr>
          <w:p>
            <w:pPr>
              <w:jc w:val="right"/>
              <w:ind w:right="301"/>
              <w:spacing w:after="0"/>
              <w:rPr>
                <w:sz w:val="20"/>
                <w:szCs w:val="20"/>
                <w:color w:val="auto"/>
              </w:rPr>
            </w:pPr>
            <w:r>
              <w:rPr>
                <w:rFonts w:ascii="Times New Roman" w:cs="Times New Roman" w:eastAsia="Times New Roman" w:hAnsi="Times New Roman"/>
                <w:sz w:val="18"/>
                <w:szCs w:val="18"/>
                <w:color w:val="auto"/>
              </w:rPr>
              <w:t>(Accumulated</w:t>
            </w: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4520" w:type="dxa"/>
            <w:vAlign w:val="bottom"/>
          </w:tcPr>
          <w:p>
            <w:pPr>
              <w:spacing w:after="0"/>
              <w:rPr>
                <w:sz w:val="19"/>
                <w:szCs w:val="19"/>
                <w:color w:val="auto"/>
              </w:rPr>
            </w:pPr>
          </w:p>
        </w:tc>
        <w:tc>
          <w:tcPr>
            <w:tcW w:w="1140" w:type="dxa"/>
            <w:vAlign w:val="bottom"/>
            <w:tcBorders>
              <w:top w:val="single" w:sz="8" w:color="auto"/>
            </w:tcBorders>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Shares</w:t>
            </w:r>
          </w:p>
        </w:tc>
        <w:tc>
          <w:tcPr>
            <w:tcW w:w="8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Amount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Income (Loss)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right"/>
              <w:ind w:right="541"/>
              <w:spacing w:after="0"/>
              <w:rPr>
                <w:sz w:val="20"/>
                <w:szCs w:val="20"/>
                <w:color w:val="auto"/>
              </w:rPr>
            </w:pPr>
            <w:r>
              <w:rPr>
                <w:rFonts w:ascii="Times New Roman" w:cs="Times New Roman" w:eastAsia="Times New Roman" w:hAnsi="Times New Roman"/>
                <w:sz w:val="18"/>
                <w:szCs w:val="18"/>
                <w:color w:val="auto"/>
              </w:rPr>
              <w:t>Deficit)</w:t>
            </w:r>
          </w:p>
        </w:tc>
        <w:tc>
          <w:tcPr>
            <w:tcW w:w="180" w:type="dxa"/>
            <w:vAlign w:val="bottom"/>
          </w:tcPr>
          <w:p>
            <w:pPr>
              <w:spacing w:after="0"/>
              <w:rPr>
                <w:sz w:val="19"/>
                <w:szCs w:val="19"/>
                <w:color w:val="auto"/>
              </w:rPr>
            </w:pPr>
          </w:p>
        </w:tc>
        <w:tc>
          <w:tcPr>
            <w:tcW w:w="92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Total</w:t>
            </w:r>
          </w:p>
        </w:tc>
      </w:tr>
      <w:tr>
        <w:trPr>
          <w:trHeight w:val="209"/>
        </w:trPr>
        <w:tc>
          <w:tcPr>
            <w:tcW w:w="4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April 1, 2023</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98,649</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3,821,474</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(3,175)</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84,495</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3,902,794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(70,322)</w:t>
            </w:r>
          </w:p>
        </w:tc>
        <w:tc>
          <w:tcPr>
            <w:tcW w:w="18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(70,322)</w:t>
            </w:r>
          </w:p>
        </w:tc>
      </w:tr>
      <w:tr>
        <w:trPr>
          <w:trHeight w:val="216"/>
        </w:trPr>
        <w:tc>
          <w:tcPr>
            <w:tcW w:w="4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(1,922)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(1,922)</w:t>
            </w:r>
          </w:p>
        </w:tc>
      </w:tr>
      <w:tr>
        <w:trPr>
          <w:trHeight w:val="198"/>
        </w:trPr>
        <w:tc>
          <w:tcPr>
            <w:tcW w:w="452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Exercise of stock options and vesting of restricted stock</w:t>
            </w: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45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units, net of shares withheld for employee taxes</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629</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(25,787)</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(25,787)</w:t>
            </w:r>
          </w:p>
        </w:tc>
      </w:tr>
      <w:tr>
        <w:trPr>
          <w:trHeight w:val="198"/>
        </w:trPr>
        <w:tc>
          <w:tcPr>
            <w:tcW w:w="452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common stock in connection with employee</w:t>
            </w: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45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stock purchase plan</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479</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35,045</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9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35,045</w:t>
            </w:r>
          </w:p>
        </w:tc>
      </w:tr>
      <w:tr>
        <w:trPr>
          <w:trHeight w:val="198"/>
        </w:trPr>
        <w:tc>
          <w:tcPr>
            <w:tcW w:w="452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Repurchase of common stock, including transaction costs</w:t>
            </w: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45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and excise tax</w:t>
            </w: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(3,959)</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(299,204)</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(103,771)</w:t>
            </w:r>
          </w:p>
        </w:tc>
        <w:tc>
          <w:tcPr>
            <w:tcW w:w="180" w:type="dxa"/>
            <w:vAlign w:val="bottom"/>
          </w:tcPr>
          <w:p>
            <w:pPr>
              <w:spacing w:after="0"/>
              <w:rPr>
                <w:sz w:val="20"/>
                <w:szCs w:val="20"/>
                <w:color w:val="auto"/>
              </w:rPr>
            </w:pP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(402,975)</w:t>
            </w:r>
          </w:p>
        </w:tc>
      </w:tr>
      <w:tr>
        <w:trPr>
          <w:trHeight w:val="230"/>
        </w:trPr>
        <w:tc>
          <w:tcPr>
            <w:tcW w:w="4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119,539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119,539</w:t>
            </w:r>
          </w:p>
        </w:tc>
      </w:tr>
      <w:tr>
        <w:trPr>
          <w:trHeight w:val="209"/>
        </w:trPr>
        <w:tc>
          <w:tcPr>
            <w:tcW w:w="4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Balance, March 30, 2024</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95,798</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3,651,067</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(5,097</w:t>
            </w:r>
          </w:p>
        </w:tc>
        <w:tc>
          <w:tcPr>
            <w:tcW w:w="14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(89,598</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3,556,372</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10"/>
        </w:trPr>
        <w:tc>
          <w:tcPr>
            <w:tcW w:w="4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55,615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55,615</w:t>
            </w:r>
          </w:p>
        </w:tc>
        <w:tc>
          <w:tcPr>
            <w:tcW w:w="100" w:type="dxa"/>
            <w:vAlign w:val="bottom"/>
            <w:gridSpan w:val="2"/>
            <w:shd w:val="clear" w:color="auto" w:fill="CCEEFF"/>
          </w:tcPr>
          <w:p>
            <w:pPr>
              <w:spacing w:after="0"/>
              <w:rPr>
                <w:sz w:val="18"/>
                <w:szCs w:val="18"/>
                <w:color w:val="auto"/>
              </w:rPr>
            </w:pPr>
          </w:p>
        </w:tc>
      </w:tr>
      <w:tr>
        <w:trPr>
          <w:trHeight w:val="216"/>
        </w:trPr>
        <w:tc>
          <w:tcPr>
            <w:tcW w:w="4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84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84</w:t>
            </w:r>
          </w:p>
        </w:tc>
        <w:tc>
          <w:tcPr>
            <w:tcW w:w="80" w:type="dxa"/>
            <w:vAlign w:val="bottom"/>
          </w:tcPr>
          <w:p>
            <w:pPr>
              <w:spacing w:after="0"/>
              <w:rPr>
                <w:sz w:val="18"/>
                <w:szCs w:val="18"/>
                <w:color w:val="auto"/>
              </w:rPr>
            </w:pPr>
          </w:p>
        </w:tc>
      </w:tr>
      <w:tr>
        <w:trPr>
          <w:trHeight w:val="198"/>
        </w:trPr>
        <w:tc>
          <w:tcPr>
            <w:tcW w:w="452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Exercise of stock options and vesting of restricted stock</w:t>
            </w: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45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units, net of shares withheld for employee taxes</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626</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(31,214)</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9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(31,214)</w:t>
            </w:r>
          </w:p>
        </w:tc>
      </w:tr>
      <w:tr>
        <w:trPr>
          <w:trHeight w:val="198"/>
        </w:trPr>
        <w:tc>
          <w:tcPr>
            <w:tcW w:w="452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common stock in connection with employee</w:t>
            </w: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45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stock purchase plan</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499</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34,234</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34,234</w:t>
            </w:r>
          </w:p>
        </w:tc>
      </w:tr>
      <w:tr>
        <w:trPr>
          <w:trHeight w:val="198"/>
        </w:trPr>
        <w:tc>
          <w:tcPr>
            <w:tcW w:w="452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Repurchase of common stock, including transaction costs</w:t>
            </w: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45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and excise tax</w:t>
            </w: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(4,003)</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(358,761)</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9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(358,761)</w:t>
            </w:r>
          </w:p>
        </w:tc>
      </w:tr>
      <w:tr>
        <w:trPr>
          <w:trHeight w:val="229"/>
        </w:trPr>
        <w:tc>
          <w:tcPr>
            <w:tcW w:w="4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135,982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135,982</w:t>
            </w:r>
          </w:p>
        </w:tc>
        <w:tc>
          <w:tcPr>
            <w:tcW w:w="80" w:type="dxa"/>
            <w:vAlign w:val="bottom"/>
          </w:tcPr>
          <w:p>
            <w:pPr>
              <w:spacing w:after="0"/>
              <w:rPr>
                <w:sz w:val="19"/>
                <w:szCs w:val="19"/>
                <w:color w:val="auto"/>
              </w:rPr>
            </w:pPr>
          </w:p>
        </w:tc>
      </w:tr>
      <w:tr>
        <w:trPr>
          <w:trHeight w:val="210"/>
        </w:trPr>
        <w:tc>
          <w:tcPr>
            <w:tcW w:w="4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March 29, 2025</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92,920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3,431,308</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(5,013</w:t>
            </w:r>
          </w:p>
        </w:tc>
        <w:tc>
          <w:tcPr>
            <w:tcW w:w="140" w:type="dxa"/>
            <w:vAlign w:val="bottom"/>
            <w:tcBorders>
              <w:top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(33,983</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3,392,312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4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338,989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338,989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9,074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9,074</w:t>
            </w:r>
          </w:p>
        </w:tc>
        <w:tc>
          <w:tcPr>
            <w:tcW w:w="80" w:type="dxa"/>
            <w:vAlign w:val="bottom"/>
            <w:shd w:val="clear" w:color="auto" w:fill="CCEEFF"/>
          </w:tcPr>
          <w:p>
            <w:pPr>
              <w:spacing w:after="0"/>
              <w:rPr>
                <w:sz w:val="18"/>
                <w:szCs w:val="18"/>
                <w:color w:val="auto"/>
              </w:rPr>
            </w:pPr>
          </w:p>
        </w:tc>
      </w:tr>
      <w:tr>
        <w:trPr>
          <w:trHeight w:val="198"/>
        </w:trPr>
        <w:tc>
          <w:tcPr>
            <w:tcW w:w="452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Exercise of stock options and vesting of restricted stock</w:t>
            </w: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45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units, net of shares withheld for employee taxes</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769</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(32,018)</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(32,018)</w:t>
            </w:r>
          </w:p>
        </w:tc>
      </w:tr>
      <w:tr>
        <w:trPr>
          <w:trHeight w:val="198"/>
        </w:trPr>
        <w:tc>
          <w:tcPr>
            <w:tcW w:w="452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common stock in connection with employee</w:t>
            </w: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45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stock purchase plan</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656</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36,889</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9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36,889</w:t>
            </w:r>
          </w:p>
        </w:tc>
      </w:tr>
      <w:tr>
        <w:trPr>
          <w:trHeight w:val="198"/>
        </w:trPr>
        <w:tc>
          <w:tcPr>
            <w:tcW w:w="452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Repurchase of common stock, including transaction costs</w:t>
            </w: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45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and excise tax</w:t>
            </w: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(6,604)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(270,517)</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(266,218)</w:t>
            </w:r>
          </w:p>
        </w:tc>
        <w:tc>
          <w:tcPr>
            <w:tcW w:w="180" w:type="dxa"/>
            <w:vAlign w:val="bottom"/>
          </w:tcPr>
          <w:p>
            <w:pPr>
              <w:spacing w:after="0"/>
              <w:rPr>
                <w:sz w:val="20"/>
                <w:szCs w:val="20"/>
                <w:color w:val="auto"/>
              </w:rPr>
            </w:pP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(536,735)</w:t>
            </w:r>
          </w:p>
        </w:tc>
      </w:tr>
      <w:tr>
        <w:trPr>
          <w:trHeight w:val="230"/>
        </w:trPr>
        <w:tc>
          <w:tcPr>
            <w:tcW w:w="4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135,788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135,788</w:t>
            </w:r>
          </w:p>
        </w:tc>
        <w:tc>
          <w:tcPr>
            <w:tcW w:w="80" w:type="dxa"/>
            <w:vAlign w:val="bottom"/>
            <w:shd w:val="clear" w:color="auto" w:fill="CCEEFF"/>
          </w:tcPr>
          <w:p>
            <w:pPr>
              <w:spacing w:after="0"/>
              <w:rPr>
                <w:sz w:val="19"/>
                <w:szCs w:val="19"/>
                <w:color w:val="auto"/>
              </w:rPr>
            </w:pPr>
          </w:p>
        </w:tc>
      </w:tr>
      <w:tr>
        <w:trPr>
          <w:trHeight w:val="223"/>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March 28, 2026</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87,741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3,301,450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38,788</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3,344,299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45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color w:val="auto"/>
        </w:rPr>
        <w:t>Qorvo,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Fiscal Year</w:t>
            </w:r>
          </w:p>
        </w:tc>
        <w:tc>
          <w:tcPr>
            <w:tcW w:w="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64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6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338,989</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55,615</w:t>
            </w:r>
          </w:p>
        </w:tc>
        <w:tc>
          <w:tcPr>
            <w:tcW w:w="3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(70,322)</w:t>
            </w: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(loss) to net cash provided by operating activities:</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151,338</w:t>
            </w:r>
          </w:p>
        </w:tc>
        <w:tc>
          <w:tcPr>
            <w:tcW w:w="14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163,222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193,035</w:t>
            </w: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Intangible assets amortization</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111,051</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133,614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127,898</w:t>
            </w:r>
          </w:p>
        </w:tc>
        <w:tc>
          <w:tcPr>
            <w:tcW w:w="0" w:type="dxa"/>
            <w:vAlign w:val="bottom"/>
          </w:tcPr>
          <w:p>
            <w:pPr>
              <w:spacing w:after="0"/>
              <w:rPr>
                <w:sz w:val="1"/>
                <w:szCs w:val="1"/>
                <w:color w:val="auto"/>
              </w:rPr>
            </w:pPr>
          </w:p>
        </w:tc>
      </w:tr>
      <w:tr>
        <w:trPr>
          <w:trHeight w:val="216"/>
        </w:trPr>
        <w:tc>
          <w:tcPr>
            <w:tcW w:w="6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income taxes</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(39,384)</w:t>
            </w:r>
          </w:p>
        </w:tc>
        <w:tc>
          <w:tcPr>
            <w:tcW w:w="14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(84,737)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19,405</w:t>
            </w: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Goodwill and intangible asset impairment</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82,369</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192,569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221,414</w:t>
            </w:r>
          </w:p>
        </w:tc>
        <w:tc>
          <w:tcPr>
            <w:tcW w:w="0" w:type="dxa"/>
            <w:vAlign w:val="bottom"/>
          </w:tcPr>
          <w:p>
            <w:pPr>
              <w:spacing w:after="0"/>
              <w:rPr>
                <w:sz w:val="1"/>
                <w:szCs w:val="1"/>
                <w:color w:val="auto"/>
              </w:rPr>
            </w:pPr>
          </w:p>
        </w:tc>
      </w:tr>
      <w:tr>
        <w:trPr>
          <w:trHeight w:val="216"/>
        </w:trPr>
        <w:tc>
          <w:tcPr>
            <w:tcW w:w="6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136,070</w:t>
            </w:r>
          </w:p>
        </w:tc>
        <w:tc>
          <w:tcPr>
            <w:tcW w:w="14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136,346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120,834</w:t>
            </w: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net</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(13,421)</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31,966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78,521</w:t>
            </w:r>
          </w:p>
        </w:tc>
        <w:tc>
          <w:tcPr>
            <w:tcW w:w="0" w:type="dxa"/>
            <w:vAlign w:val="bottom"/>
          </w:tcPr>
          <w:p>
            <w:pPr>
              <w:spacing w:after="0"/>
              <w:rPr>
                <w:sz w:val="1"/>
                <w:szCs w:val="1"/>
                <w:color w:val="auto"/>
              </w:rPr>
            </w:pPr>
          </w:p>
        </w:tc>
      </w:tr>
      <w:tr>
        <w:trPr>
          <w:trHeight w:val="216"/>
        </w:trPr>
        <w:tc>
          <w:tcPr>
            <w:tcW w:w="6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Accounts receivable, net</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3,154</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26,807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(105,776)</w:t>
            </w:r>
          </w:p>
        </w:tc>
        <w:tc>
          <w:tcPr>
            <w:tcW w:w="0" w:type="dxa"/>
            <w:vAlign w:val="bottom"/>
          </w:tcPr>
          <w:p>
            <w:pPr>
              <w:spacing w:after="0"/>
              <w:rPr>
                <w:sz w:val="1"/>
                <w:szCs w:val="1"/>
                <w:color w:val="auto"/>
              </w:rPr>
            </w:pPr>
          </w:p>
        </w:tc>
      </w:tr>
      <w:tr>
        <w:trPr>
          <w:trHeight w:val="216"/>
        </w:trPr>
        <w:tc>
          <w:tcPr>
            <w:tcW w:w="66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Inventories</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86,616</w:t>
            </w:r>
          </w:p>
        </w:tc>
        <w:tc>
          <w:tcPr>
            <w:tcW w:w="14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18,188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92,909</w:t>
            </w: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(18,510)</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(24,348)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(23,174)</w:t>
            </w:r>
          </w:p>
        </w:tc>
        <w:tc>
          <w:tcPr>
            <w:tcW w:w="0" w:type="dxa"/>
            <w:vAlign w:val="bottom"/>
          </w:tcPr>
          <w:p>
            <w:pPr>
              <w:spacing w:after="0"/>
              <w:rPr>
                <w:sz w:val="1"/>
                <w:szCs w:val="1"/>
                <w:color w:val="auto"/>
              </w:rPr>
            </w:pPr>
          </w:p>
        </w:tc>
      </w:tr>
      <w:tr>
        <w:trPr>
          <w:trHeight w:val="216"/>
        </w:trPr>
        <w:tc>
          <w:tcPr>
            <w:tcW w:w="66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(4,886)</w:t>
            </w:r>
          </w:p>
        </w:tc>
        <w:tc>
          <w:tcPr>
            <w:tcW w:w="14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7,178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89,139</w:t>
            </w: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Accrued liabilities</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(45,325)</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(45,777)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130,979</w:t>
            </w:r>
          </w:p>
        </w:tc>
        <w:tc>
          <w:tcPr>
            <w:tcW w:w="0" w:type="dxa"/>
            <w:vAlign w:val="bottom"/>
          </w:tcPr>
          <w:p>
            <w:pPr>
              <w:spacing w:after="0"/>
              <w:rPr>
                <w:sz w:val="1"/>
                <w:szCs w:val="1"/>
                <w:color w:val="auto"/>
              </w:rPr>
            </w:pPr>
          </w:p>
        </w:tc>
      </w:tr>
      <w:tr>
        <w:trPr>
          <w:trHeight w:val="216"/>
        </w:trPr>
        <w:tc>
          <w:tcPr>
            <w:tcW w:w="66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Income taxes payable and receivable</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942</w:t>
            </w:r>
          </w:p>
        </w:tc>
        <w:tc>
          <w:tcPr>
            <w:tcW w:w="14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(4,103)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8,681</w:t>
            </w:r>
          </w:p>
        </w:tc>
        <w:tc>
          <w:tcPr>
            <w:tcW w:w="0" w:type="dxa"/>
            <w:vAlign w:val="bottom"/>
          </w:tcPr>
          <w:p>
            <w:pPr>
              <w:spacing w:after="0"/>
              <w:rPr>
                <w:sz w:val="1"/>
                <w:szCs w:val="1"/>
                <w:color w:val="auto"/>
              </w:rPr>
            </w:pPr>
          </w:p>
        </w:tc>
      </w:tr>
      <w:tr>
        <w:trPr>
          <w:trHeight w:val="229"/>
        </w:trPr>
        <w:tc>
          <w:tcPr>
            <w:tcW w:w="66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Other liabilities</w:t>
            </w:r>
          </w:p>
        </w:tc>
        <w:tc>
          <w:tcPr>
            <w:tcW w:w="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19,628</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15,662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(50,354)</w:t>
            </w:r>
          </w:p>
        </w:tc>
        <w:tc>
          <w:tcPr>
            <w:tcW w:w="0" w:type="dxa"/>
            <w:vAlign w:val="bottom"/>
          </w:tcPr>
          <w:p>
            <w:pPr>
              <w:spacing w:after="0"/>
              <w:rPr>
                <w:sz w:val="1"/>
                <w:szCs w:val="1"/>
                <w:color w:val="auto"/>
              </w:rPr>
            </w:pPr>
          </w:p>
        </w:tc>
      </w:tr>
      <w:tr>
        <w:trPr>
          <w:trHeight w:val="20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808,631</w:t>
            </w: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622,202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833,189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(129,070)</w:t>
            </w:r>
          </w:p>
        </w:tc>
        <w:tc>
          <w:tcPr>
            <w:tcW w:w="14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(137,600)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(127,230)</w:t>
            </w: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sales of property and equipment</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51,711</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7,059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49,548</w:t>
            </w:r>
          </w:p>
        </w:tc>
        <w:tc>
          <w:tcPr>
            <w:tcW w:w="0" w:type="dxa"/>
            <w:vAlign w:val="bottom"/>
          </w:tcPr>
          <w:p>
            <w:pPr>
              <w:spacing w:after="0"/>
              <w:rPr>
                <w:sz w:val="1"/>
                <w:szCs w:val="1"/>
                <w:color w:val="auto"/>
              </w:rPr>
            </w:pPr>
          </w:p>
        </w:tc>
      </w:tr>
      <w:tr>
        <w:trPr>
          <w:trHeight w:val="216"/>
        </w:trPr>
        <w:tc>
          <w:tcPr>
            <w:tcW w:w="6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Purchases of businesses, net of cash acquired</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(791)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(82,974)</w:t>
            </w: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sales of businesses</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21,472</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173,117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20,000</w:t>
            </w:r>
          </w:p>
        </w:tc>
        <w:tc>
          <w:tcPr>
            <w:tcW w:w="0" w:type="dxa"/>
            <w:vAlign w:val="bottom"/>
          </w:tcPr>
          <w:p>
            <w:pPr>
              <w:spacing w:after="0"/>
              <w:rPr>
                <w:sz w:val="1"/>
                <w:szCs w:val="1"/>
                <w:color w:val="auto"/>
              </w:rPr>
            </w:pPr>
          </w:p>
        </w:tc>
      </w:tr>
      <w:tr>
        <w:trPr>
          <w:trHeight w:val="229"/>
        </w:trPr>
        <w:tc>
          <w:tcPr>
            <w:tcW w:w="6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investing activities</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12,287</w:t>
            </w:r>
          </w:p>
        </w:tc>
        <w:tc>
          <w:tcPr>
            <w:tcW w:w="140" w:type="dxa"/>
            <w:vAlign w:val="bottom"/>
          </w:tcPr>
          <w:p>
            <w:pPr>
              <w:spacing w:after="0"/>
              <w:rPr>
                <w:sz w:val="19"/>
                <w:szCs w:val="19"/>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(5,230)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4,186</w:t>
            </w:r>
          </w:p>
        </w:tc>
        <w:tc>
          <w:tcPr>
            <w:tcW w:w="0" w:type="dxa"/>
            <w:vAlign w:val="bottom"/>
          </w:tcPr>
          <w:p>
            <w:pPr>
              <w:spacing w:after="0"/>
              <w:rPr>
                <w:sz w:val="1"/>
                <w:szCs w:val="1"/>
                <w:color w:val="auto"/>
              </w:rPr>
            </w:pPr>
          </w:p>
        </w:tc>
      </w:tr>
      <w:tr>
        <w:trPr>
          <w:trHeight w:val="210"/>
        </w:trPr>
        <w:tc>
          <w:tcPr>
            <w:tcW w:w="6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3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(43,600)</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36,555</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(136,470)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 and repurchase of debt</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(439,124)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(58,309)</w:t>
            </w:r>
          </w:p>
        </w:tc>
        <w:tc>
          <w:tcPr>
            <w:tcW w:w="0" w:type="dxa"/>
            <w:vAlign w:val="bottom"/>
          </w:tcPr>
          <w:p>
            <w:pPr>
              <w:spacing w:after="0"/>
              <w:rPr>
                <w:sz w:val="1"/>
                <w:szCs w:val="1"/>
                <w:color w:val="auto"/>
              </w:rPr>
            </w:pPr>
          </w:p>
        </w:tc>
      </w:tr>
      <w:tr>
        <w:trPr>
          <w:trHeight w:val="216"/>
        </w:trPr>
        <w:tc>
          <w:tcPr>
            <w:tcW w:w="6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(payments) proceeds from purchase and sale of inventories subject to repurchase</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(11,711)</w:t>
            </w:r>
          </w:p>
        </w:tc>
        <w:tc>
          <w:tcPr>
            <w:tcW w:w="14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130,204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Repurchase of common stock, including transaction costs</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(532,552)</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(356,336)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(400,054)</w:t>
            </w:r>
          </w:p>
        </w:tc>
        <w:tc>
          <w:tcPr>
            <w:tcW w:w="0" w:type="dxa"/>
            <w:vAlign w:val="bottom"/>
          </w:tcPr>
          <w:p>
            <w:pPr>
              <w:spacing w:after="0"/>
              <w:rPr>
                <w:sz w:val="1"/>
                <w:szCs w:val="1"/>
                <w:color w:val="auto"/>
              </w:rPr>
            </w:pPr>
          </w:p>
        </w:tc>
      </w:tr>
      <w:tr>
        <w:trPr>
          <w:trHeight w:val="216"/>
        </w:trPr>
        <w:tc>
          <w:tcPr>
            <w:tcW w:w="6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the issuance of common stock</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35,492</w:t>
            </w:r>
          </w:p>
        </w:tc>
        <w:tc>
          <w:tcPr>
            <w:tcW w:w="14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35,741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36,918</w:t>
            </w: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 withholding paid on behalf of employees for restricted stock units</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(32,018)</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(31,250)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(27,111)</w:t>
            </w:r>
          </w:p>
        </w:tc>
        <w:tc>
          <w:tcPr>
            <w:tcW w:w="0" w:type="dxa"/>
            <w:vAlign w:val="bottom"/>
          </w:tcPr>
          <w:p>
            <w:pPr>
              <w:spacing w:after="0"/>
              <w:rPr>
                <w:sz w:val="1"/>
                <w:szCs w:val="1"/>
                <w:color w:val="auto"/>
              </w:rPr>
            </w:pPr>
          </w:p>
        </w:tc>
      </w:tr>
      <w:tr>
        <w:trPr>
          <w:trHeight w:val="230"/>
        </w:trPr>
        <w:tc>
          <w:tcPr>
            <w:tcW w:w="6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financing activities</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(25,737)</w:t>
            </w:r>
          </w:p>
        </w:tc>
        <w:tc>
          <w:tcPr>
            <w:tcW w:w="140" w:type="dxa"/>
            <w:vAlign w:val="bottom"/>
          </w:tcPr>
          <w:p>
            <w:pPr>
              <w:spacing w:after="0"/>
              <w:rPr>
                <w:sz w:val="19"/>
                <w:szCs w:val="19"/>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(23,597)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(11,018)</w:t>
            </w:r>
          </w:p>
        </w:tc>
        <w:tc>
          <w:tcPr>
            <w:tcW w:w="0" w:type="dxa"/>
            <w:vAlign w:val="bottom"/>
          </w:tcPr>
          <w:p>
            <w:pPr>
              <w:spacing w:after="0"/>
              <w:rPr>
                <w:sz w:val="1"/>
                <w:szCs w:val="1"/>
                <w:color w:val="auto"/>
              </w:rPr>
            </w:pPr>
          </w:p>
        </w:tc>
      </w:tr>
      <w:tr>
        <w:trPr>
          <w:trHeight w:val="210"/>
        </w:trPr>
        <w:tc>
          <w:tcPr>
            <w:tcW w:w="6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(566,526)</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(684,362)</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(459,574)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(666)</w:t>
            </w:r>
          </w:p>
        </w:tc>
        <w:tc>
          <w:tcPr>
            <w:tcW w:w="140" w:type="dxa"/>
            <w:vAlign w:val="bottom"/>
          </w:tcPr>
          <w:p>
            <w:pPr>
              <w:spacing w:after="0"/>
              <w:rPr>
                <w:sz w:val="19"/>
                <w:szCs w:val="19"/>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(2,477)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3,170</w:t>
            </w:r>
          </w:p>
        </w:tc>
        <w:tc>
          <w:tcPr>
            <w:tcW w:w="0" w:type="dxa"/>
            <w:vAlign w:val="bottom"/>
          </w:tcPr>
          <w:p>
            <w:pPr>
              <w:spacing w:after="0"/>
              <w:rPr>
                <w:sz w:val="1"/>
                <w:szCs w:val="1"/>
                <w:color w:val="auto"/>
              </w:rPr>
            </w:pPr>
          </w:p>
        </w:tc>
      </w:tr>
      <w:tr>
        <w:trPr>
          <w:trHeight w:val="209"/>
        </w:trPr>
        <w:tc>
          <w:tcPr>
            <w:tcW w:w="6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3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197,839</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(28,082)</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240,315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the beginning of the period</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1,021,176</w:t>
            </w:r>
          </w:p>
        </w:tc>
        <w:tc>
          <w:tcPr>
            <w:tcW w:w="14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1,049,258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808,943</w:t>
            </w:r>
          </w:p>
        </w:tc>
        <w:tc>
          <w:tcPr>
            <w:tcW w:w="0" w:type="dxa"/>
            <w:vAlign w:val="bottom"/>
          </w:tcPr>
          <w:p>
            <w:pPr>
              <w:spacing w:after="0"/>
              <w:rPr>
                <w:sz w:val="1"/>
                <w:szCs w:val="1"/>
                <w:color w:val="auto"/>
              </w:rPr>
            </w:pPr>
          </w:p>
        </w:tc>
      </w:tr>
      <w:tr>
        <w:trPr>
          <w:trHeight w:val="223"/>
        </w:trPr>
        <w:tc>
          <w:tcPr>
            <w:tcW w:w="6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the end of the period</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1,219,015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1,021,176</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1,049,258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Reconciliation of cash, cash equivalents and restricted cash:</w:t>
            </w: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4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6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1,219,015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1,021,176</w:t>
            </w:r>
          </w:p>
        </w:tc>
        <w:tc>
          <w:tcPr>
            <w:tcW w:w="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1,029,258</w:t>
            </w:r>
          </w:p>
        </w:tc>
        <w:tc>
          <w:tcPr>
            <w:tcW w:w="0" w:type="dxa"/>
            <w:vAlign w:val="bottom"/>
          </w:tcPr>
          <w:p>
            <w:pPr>
              <w:spacing w:after="0"/>
              <w:rPr>
                <w:sz w:val="1"/>
                <w:szCs w:val="1"/>
                <w:color w:val="auto"/>
              </w:rPr>
            </w:pPr>
          </w:p>
        </w:tc>
      </w:tr>
      <w:tr>
        <w:trPr>
          <w:trHeight w:val="230"/>
        </w:trPr>
        <w:tc>
          <w:tcPr>
            <w:tcW w:w="6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cash included in “Other current assets”</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20,000</w:t>
            </w:r>
          </w:p>
        </w:tc>
        <w:tc>
          <w:tcPr>
            <w:tcW w:w="0" w:type="dxa"/>
            <w:vAlign w:val="bottom"/>
          </w:tcPr>
          <w:p>
            <w:pPr>
              <w:spacing w:after="0"/>
              <w:rPr>
                <w:sz w:val="1"/>
                <w:szCs w:val="1"/>
                <w:color w:val="auto"/>
              </w:rPr>
            </w:pPr>
          </w:p>
        </w:tc>
      </w:tr>
      <w:tr>
        <w:trPr>
          <w:trHeight w:val="223"/>
        </w:trPr>
        <w:tc>
          <w:tcPr>
            <w:tcW w:w="6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1,219,015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1,021,176</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1,049,258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4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paid during the year for interest, net of amounts capitalized</w:t>
            </w:r>
          </w:p>
        </w:tc>
        <w:tc>
          <w:tcPr>
            <w:tcW w:w="6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73,169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76,336</w:t>
            </w:r>
          </w:p>
        </w:tc>
        <w:tc>
          <w:tcPr>
            <w:tcW w:w="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55,270</w:t>
            </w:r>
          </w:p>
        </w:tc>
        <w:tc>
          <w:tcPr>
            <w:tcW w:w="0" w:type="dxa"/>
            <w:vAlign w:val="bottom"/>
          </w:tcPr>
          <w:p>
            <w:pPr>
              <w:spacing w:after="0"/>
              <w:rPr>
                <w:sz w:val="1"/>
                <w:szCs w:val="1"/>
                <w:color w:val="auto"/>
              </w:rPr>
            </w:pPr>
          </w:p>
        </w:tc>
      </w:tr>
      <w:tr>
        <w:trPr>
          <w:trHeight w:val="234"/>
        </w:trPr>
        <w:tc>
          <w:tcPr>
            <w:tcW w:w="6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 expenditures included in liabilities</w:t>
            </w:r>
          </w:p>
        </w:tc>
        <w:tc>
          <w:tcPr>
            <w:tcW w:w="6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24,740</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65,221</w:t>
            </w:r>
          </w:p>
        </w:tc>
        <w:tc>
          <w:tcPr>
            <w:tcW w:w="3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70,127</w:t>
            </w:r>
          </w:p>
        </w:tc>
        <w:tc>
          <w:tcPr>
            <w:tcW w:w="0" w:type="dxa"/>
            <w:vAlign w:val="bottom"/>
          </w:tcPr>
          <w:p>
            <w:pPr>
              <w:spacing w:after="0"/>
              <w:rPr>
                <w:sz w:val="1"/>
                <w:szCs w:val="1"/>
                <w:color w:val="auto"/>
              </w:rPr>
            </w:pP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p>
      <w:pPr>
        <w:jc w:val="center"/>
        <w:ind w:right="-19"/>
        <w:spacing w:after="0"/>
        <w:rPr>
          <w:sz w:val="20"/>
          <w:szCs w:val="20"/>
          <w:color w:val="auto"/>
        </w:rPr>
      </w:pPr>
      <w:r>
        <w:rPr>
          <w:rFonts w:ascii="Times New Roman" w:cs="Times New Roman" w:eastAsia="Times New Roman" w:hAnsi="Times New Roman"/>
          <w:sz w:val="18"/>
          <w:szCs w:val="18"/>
          <w:color w:val="auto"/>
        </w:rPr>
        <w:t>Qorvo, Inc. and Subsidiaries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March 28, 2026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THE COMPANY AND ITS SIGNIFICANT ACCOUNTING POLICIES</w:t>
      </w:r>
    </w:p>
    <w:p>
      <w:pPr>
        <w:spacing w:after="0" w:line="22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Qorvo, Inc. (the “Company” or “Qorvo”) is a global leader in the development and commercialization of technologies and products for wireless, wired and power markets. Qorvo was formed as the result of a business combination (the “Business Combination”) of RF Micro Devices, Inc. and TriQuint Semiconductor, Inc. (“TriQuint”), which closed on January 1, 2015.</w:t>
      </w:r>
    </w:p>
    <w:p>
      <w:pPr>
        <w:spacing w:after="0" w:line="17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Company’s design expertise and manufacturing capabilities span multiple process technologies. As of March 28, 2026, the Company’s primary wafer fabrication facilities are located in Oregon and Texas, and its primary assembly and test facilities are located in Germany and Texas. The Company also sources products and materials through external suppliers. The Company operates design, sales and other manufacturing facilities throughout Asia, Europe and North America.</w:t>
      </w:r>
    </w:p>
    <w:p>
      <w:pPr>
        <w:spacing w:after="0" w:line="180"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Company is organized into three operating and reportable segments that align technologies and applications with customers and end markets: High Performance Analog (“HPA”), Connectivity and Sensors Group (“CSG”) and Advanced Cellular Group (“ACG”).</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Principles of Consolidation and Basis of Presentation</w:t>
      </w:r>
    </w:p>
    <w:p>
      <w:pPr>
        <w:spacing w:after="0" w:line="227"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the Company and its wholly-owned subsidiaries. All significant intercompany accounts and transactions have been eliminated in consolidation. Certain prior period amounts have been reclassified to conform to the fiscal 2026 presentation.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Periods</w:t>
      </w:r>
    </w:p>
    <w:p>
      <w:pPr>
        <w:spacing w:after="0" w:line="22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 uses a 52- or 53-week fiscal year ending on the Saturday closest to March 31 of each year. Approximately every five to six years, the Company reports a 53-week fiscal year to align with the foregoing policy. The most recent three fiscal years ended on March 28, 2026, March 29, 2025 and March 30, 2024. Fiscal years 2026, 2025, and 2024 were 52-week years, with each fiscal quarter consisting of 13 weeks.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22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conformity with U.S. generally accepted accounting principles requires management to make estimates and assumptions that affect the reported amounts of assets, liabilities, revenue and expenses and the disclosure of contingent liabilities. The Company evaluates its estimates on an ongoing basis, including those related to revenue recognition, product warranty obligations, valuation of inventories, tax-related contingencies, valuation of long-lived and intangible assets, other contingencies and litigation, among others. The Company generally bases its estimates on historical experience, expected future conditions and third-party evaluations. Actual results could differ materially from these estimates, and such differences could affect the results of operations reported in future periods.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2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Cash and cash equivalents consist of demand deposit accounts, money market funds and other short-term, highly liquid investments with original maturities of three months or less when purchased.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Investments</w:t>
      </w:r>
    </w:p>
    <w:p>
      <w:pPr>
        <w:spacing w:after="0" w:line="227"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The Company has investments in limited partnerships which are accounted for using the equity method. These equity method investments are classified as “Long-term investments” in the Consolidated Balance Sheets. The Company records its share of the financial results of the limited partnerships in “Other income, net” in the Company’s Consolidated Statements of Operations.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 w:name="page15"/>
    <w:bookmarkEnd w:id="14"/>
    <w:p>
      <w:pPr>
        <w:jc w:val="center"/>
        <w:ind w:right="-19"/>
        <w:spacing w:after="0"/>
        <w:rPr>
          <w:sz w:val="20"/>
          <w:szCs w:val="20"/>
          <w:color w:val="auto"/>
        </w:rPr>
      </w:pPr>
      <w:r>
        <w:rPr>
          <w:rFonts w:ascii="Times New Roman" w:cs="Times New Roman" w:eastAsia="Times New Roman" w:hAnsi="Times New Roman"/>
          <w:sz w:val="18"/>
          <w:szCs w:val="18"/>
          <w:color w:val="auto"/>
        </w:rPr>
        <w:t>Qorvo, Inc. and Subsidiaries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7"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Company also invests in other privately held entities. These investments are measured using the most appropriate valuation methodology based on the specific characteristics of the security and are classified as “Long-term investments” in the Consolidated Balance Sheets.</w:t>
      </w:r>
    </w:p>
    <w:p>
      <w:pPr>
        <w:spacing w:after="0" w:line="162" w:lineRule="exact"/>
        <w:rPr>
          <w:sz w:val="20"/>
          <w:szCs w:val="20"/>
          <w:color w:val="auto"/>
        </w:rPr>
      </w:pPr>
    </w:p>
    <w:p>
      <w:pPr>
        <w:ind w:right="320"/>
        <w:spacing w:after="0" w:line="289" w:lineRule="auto"/>
        <w:rPr>
          <w:sz w:val="20"/>
          <w:szCs w:val="20"/>
          <w:color w:val="auto"/>
        </w:rPr>
      </w:pPr>
      <w:r>
        <w:rPr>
          <w:rFonts w:ascii="Times New Roman" w:cs="Times New Roman" w:eastAsia="Times New Roman" w:hAnsi="Times New Roman"/>
          <w:sz w:val="17"/>
          <w:szCs w:val="17"/>
          <w:color w:val="auto"/>
        </w:rPr>
        <w:t>The Company assesses its investments for impairment on a quarterly basis and considers both qualitative and quantitative factors that may have a significant impact on the investee’s fair value. Qualitative factors considered include the investee’s financial condition and business outlook, market for technology and other relevant events and factors affecting the investee. Investments are impaired when their fair value is less than their carrying value.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Measurement</w:t>
      </w:r>
    </w:p>
    <w:p>
      <w:pPr>
        <w:spacing w:after="0" w:line="22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Company measures and reports certain financial assets and liabilities on a recurring basis. Fair value is the price that would be received to sell an asset or paid to transfer a liability in an orderly transaction between market participants at the measurement date. The Company categorizes its financial instruments carried at fair value into a three-level fair value hierarchy, based on the priority of inputs to the respective valuation technique. The three-level hierarchy for fair value measurement is described as follows:</w:t>
      </w:r>
    </w:p>
    <w:p>
      <w:pPr>
        <w:spacing w:after="0" w:line="180" w:lineRule="exact"/>
        <w:rPr>
          <w:sz w:val="20"/>
          <w:szCs w:val="20"/>
          <w:color w:val="auto"/>
        </w:rPr>
      </w:pPr>
    </w:p>
    <w:p>
      <w:pPr>
        <w:ind w:left="600" w:right="60" w:hanging="290"/>
        <w:spacing w:after="0" w:line="282" w:lineRule="auto"/>
        <w:rPr>
          <w:sz w:val="20"/>
          <w:szCs w:val="20"/>
          <w:color w:val="auto"/>
        </w:rPr>
      </w:pPr>
      <w:r>
        <w:rPr>
          <w:rFonts w:ascii="Times New Roman" w:cs="Times New Roman" w:eastAsia="Times New Roman" w:hAnsi="Times New Roman"/>
          <w:sz w:val="18"/>
          <w:szCs w:val="18"/>
          <w:color w:val="auto"/>
        </w:rPr>
        <w:t>•Level 1 - includes instruments for which inputs are quoted prices in active markets for identical assets or liabilities that the Company has the ability to access.</w:t>
      </w:r>
    </w:p>
    <w:p>
      <w:pPr>
        <w:spacing w:after="0" w:line="16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•Level 2 - includes instruments for which the inputs are other than quoted prices that are observable for the asset or liability, either directly or indirectly.</w:t>
      </w:r>
    </w:p>
    <w:p>
      <w:pPr>
        <w:spacing w:after="0" w:line="23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•Level 3 - includes instruments for which the valuations are based on inputs that are unobservable and significant to the overall fair value measurement.</w:t>
      </w:r>
    </w:p>
    <w:p>
      <w:pPr>
        <w:spacing w:after="0" w:line="2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These inputs are supported by little or no market activity and reflect the use of significant management judgment.</w:t>
      </w:r>
    </w:p>
    <w:p>
      <w:pPr>
        <w:spacing w:after="0" w:line="20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Company also holds assets whose fair value is measured and recorded on a nonrecurring basis. These assets include equity method investments, equity investments without a readily determinable fair value and certain non-financial assets, such as intangible assets and property and equipment. Intangible assets, including goodwill, are adjusted to fair value after initial recognition only if an impairment charge is recognized, which is generally determined using a discounted cash flow model based on significant unobservable inputs (Level 3).</w:t>
      </w:r>
    </w:p>
    <w:p>
      <w:pPr>
        <w:spacing w:after="0" w:line="180"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Invested funds under the Company’s non-qualified deferred compensation plan are held in a rabbi trust and consist of mutual funds. The fair value of the mutual funds is calculated using the net asset value per share determined by quoted active market prices of the underlying investments and are considered Level 1 in the fair value hierarchy.</w:t>
      </w:r>
    </w:p>
    <w:p>
      <w:pPr>
        <w:spacing w:after="0" w:line="176"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carrying values of cash, cash equivalents and restricted cash, accounts receivable, accounts payable and other accrued liabilities approximate fair values because of the relatively short-term maturities of these instruments.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Inventories</w:t>
      </w:r>
    </w:p>
    <w:p>
      <w:pPr>
        <w:spacing w:after="0" w:line="227"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 xml:space="preserve">Inventories are stated at the lower of cost or net realizable value (cost is based on standard cost, which approximates actual average cost). Cost includes labor, materials and manufacturing overhead related to the purchase and production of inventories. In accordance with Accounting Standards Codification (“ASC”) 330, </w:t>
      </w:r>
      <w:r>
        <w:rPr>
          <w:rFonts w:ascii="Times New Roman" w:cs="Times New Roman" w:eastAsia="Times New Roman" w:hAnsi="Times New Roman"/>
          <w:sz w:val="18"/>
          <w:szCs w:val="18"/>
          <w:i w:val="1"/>
          <w:iCs w:val="1"/>
          <w:color w:val="auto"/>
        </w:rPr>
        <w:t>“Inventory”</w:t>
      </w:r>
      <w:r>
        <w:rPr>
          <w:rFonts w:ascii="Times New Roman" w:cs="Times New Roman" w:eastAsia="Times New Roman" w:hAnsi="Times New Roman"/>
          <w:sz w:val="18"/>
          <w:szCs w:val="18"/>
          <w:color w:val="auto"/>
        </w:rPr>
        <w:t xml:space="preserve"> (“ASC 330”), abnormal manufacturing costs are charged to “Cost of goods sold” in the Consolidated Statements of Operations in the period incurred rather than as a portion of inventory cost.</w:t>
      </w:r>
    </w:p>
    <w:p>
      <w:pPr>
        <w:spacing w:after="0" w:line="180"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7"/>
          <w:szCs w:val="17"/>
          <w:color w:val="auto"/>
        </w:rPr>
        <w:t>The Company’s business is subject to the risk of technological and design changes. The Company evaluates inventory levels quarterly against demand forecasts on a material or product family basis to evaluate its overall inventory risk. Reserves are adjusted to reflect inventory values in excess of demand forecasts and management’s analysis and assessment of overall inventory risk. Product-specific facts and circumstances reviewed in the inventory valuation process include a review of the customer base, market conditions and customer acceptance of the Company’s products and technologies, as well as an assessment of the selling price in relation to the product cost. In the event the Company sells inventory that was previously covered by a specific inventory reserve, the sale is recorded at the actual selling price and the cost of goods sold for this inventory is recorded at its inventory cost, net of the reserve.</w:t>
      </w: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color w:val="auto"/>
        </w:rPr>
        <w:t>Qorvo,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In fiscal 2025, the Company completed the sale of its assembly and test operations in Beijing and Dezhou to Luxshare Precision Industry Co., Ltd. (“Luxshare”). Pursuant to a supply agreement with Luxshare, the Company is obligated to repurchase inventory that it sold to Luxshare subsequent to the performance of assembly and test services by Luxshare. Although legal title of the inventory resides with Luxshare, in accordance with ASC 606 </w:t>
      </w:r>
      <w:r>
        <w:rPr>
          <w:rFonts w:ascii="Times New Roman" w:cs="Times New Roman" w:eastAsia="Times New Roman" w:hAnsi="Times New Roman"/>
          <w:sz w:val="18"/>
          <w:szCs w:val="18"/>
          <w:i w:val="1"/>
          <w:iCs w:val="1"/>
          <w:color w:val="auto"/>
        </w:rPr>
        <w:t>“Revenue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from Contracts with Customers” </w:t>
      </w:r>
      <w:r>
        <w:rPr>
          <w:rFonts w:ascii="Times New Roman" w:cs="Times New Roman" w:eastAsia="Times New Roman" w:hAnsi="Times New Roman"/>
          <w:sz w:val="18"/>
          <w:szCs w:val="18"/>
          <w:color w:val="auto"/>
        </w:rPr>
        <w:t>(“ASC 606”), the Company will continue to recognize the inventory on its balance sheet and record a financial liability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is included in “Other current liabilities” in the Consolidated Balance Sheets) equal to the cash received by the Company attributable to the inventory subject to repurchase. Changes in the amount outstanding under the supply agreement related to inventory subject to repurchase are included in cash flows from financing activities in the Consolidated Statements of Cash Flows. In accordance with ASC 330, the Company capitalizes costs incurred by Luxshare to enhance the inventory by increasing its carrying value on the Company’s balance sheet and recognizing a corresponding liability. Cash paid for inventory enhancements is included in cash flows from operating activities in the Consolidated Statements of Cash Flows. Financing costs related to inventory subject to repurchase are included in “Interest expense” in the Consolidated Statements of Operations.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Warranty</w:t>
      </w:r>
    </w:p>
    <w:p>
      <w:pPr>
        <w:spacing w:after="0" w:line="22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Company generally sells products with a limited warranty against defects in materials and workmanship and non-conformance to applicable specifications. The majority of the Company’s product warranty claims are settled through the return of the defective product and the shipment of replacement product. Accruals are estimated based upon both historical experience as well as specifically identified claims. If there is a significant increase in the rate of customer claims compared with the Company’s historical experience or if the Company’s estimates of probable losses relating to specifically identified warranty exposures require revision, the Company may record a charge against future cost of sales. Product warranty accruals and related expenses were immaterial for the periods presented.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Property and Equipment</w:t>
      </w:r>
    </w:p>
    <w:p>
      <w:pPr>
        <w:spacing w:after="0" w:line="22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Depreciation of property and equipment is computed using the straight-line method over the estimated useful lives of the assets, ranging from one to 39 years. The Company capitalizes interest on borrowings related to eligible capital expenditures. Capitalized interest is added to the cost of qualified assets and depreciated together with the asset cost. The Company’s assets acquired under leases and leasehold improvements are amortized over the lesser of the asset life or lease term (which is reasonably assured) and included in depreciation. The Company records capital-related government grants earned as a reduction to property and equipment and depreciates the net asset over the estimated useful lives of the associated assets.</w:t>
      </w:r>
    </w:p>
    <w:p>
      <w:pPr>
        <w:spacing w:after="0" w:line="18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periodically evaluates the period over which it expects to recover the economic value of the Company’s property and equipment, considering factors such as changes in machinery and equipment technology, the ability to re-use equipment across generations of process technology and historical usage trends. If the Company determines that the useful lives of its assets are shorter or longer than originally estimated, the rate of depreciation is adjusted to reflect the revised useful lives of the assets.</w:t>
      </w:r>
    </w:p>
    <w:p>
      <w:pPr>
        <w:spacing w:after="0" w:line="18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Company assesses property and equipment for impairment when events or changes in circumstances indicate that the carrying amount of its assets may not be recoverable. Factors that are considered in deciding when to perform an impairment review include an adverse change in the use of the Company’s assets or an expectation that the assets will be sold or otherwise disposed. The Company assesses the recoverability of the assets held and used by comparing the projected undiscounted net cash flows associated with the related asset or group of assets over their remaining estimated useful lives against their respective carrying amounts. Assets identified as “held for sale” are recorded at the lesser of their carrying value or their fair market value less costs to sell. Impairment of those assets, if any, is based on the excess of the carrying amount over the fair value less costs to sell.</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jc w:val="center"/>
        <w:ind w:right="-19"/>
        <w:spacing w:after="0"/>
        <w:rPr>
          <w:sz w:val="20"/>
          <w:szCs w:val="20"/>
          <w:color w:val="auto"/>
        </w:rPr>
      </w:pPr>
      <w:r>
        <w:rPr>
          <w:rFonts w:ascii="Times New Roman" w:cs="Times New Roman" w:eastAsia="Times New Roman" w:hAnsi="Times New Roman"/>
          <w:sz w:val="18"/>
          <w:szCs w:val="18"/>
          <w:color w:val="auto"/>
        </w:rPr>
        <w:t>Qorvo, Inc. and Subsidiaries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227"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Company determines that a contract contains a lease at lease inception if the contract conveys the right to control the use of an identified asset for a period of time in exchange for consideration. In evaluating whether the right to control an identified asset exists, the Company assesses whether it has the right to direct the use of the identified asset and obtain substantially all of the economic benefit from the use of the identified asset.</w:t>
      </w:r>
    </w:p>
    <w:p>
      <w:pPr>
        <w:spacing w:after="0" w:line="17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Right-of-use assets and lease liabilities are recognized at the lease commencement date based on the present value of lease payments over the lease term. The Company uses its estimated incremental borrowing rate in determining the present value of lease payments considering the term of the lease, which is derived from information available at the lease commencement date. The lease term includes options to extend or terminate the lease when it is reasonably certain such options will be exercised. To the extent that the Company’s agreements have variable lease payments, the Company includes variable lease payments that depend on an index or a rate and excludes those that depend on facts or circumstances occurring after the commencement date, other than the passage of time. The Company elected the practical expedient not to separate lease and non-lease components for substantially all of its classes of leases and to account for the combined lease and non-lease components as a single lease component. In addition, the Company made an accounting policy election to exclude from the balance sheet leases with an initial term of 12 months or less. The Company assesses right-of-use assets for impairment in accordance with its long-lived asset impairment policy.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Acquisitions</w:t>
      </w:r>
    </w:p>
    <w:p>
      <w:pPr>
        <w:spacing w:after="0" w:line="22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 allocates the fair value of the purchase price to the assets acquired and liabilities assumed based on their estimated fair value. The excess of the purchase price over the fair values of the identifiable assets and liabilities is recorded to goodwill. Goodwill is assigned to the Company’s reporting unit that is expected to benefit from the synergies of the business combination.</w:t>
      </w:r>
    </w:p>
    <w:p>
      <w:pPr>
        <w:spacing w:after="0" w:line="17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 number of assumptions, estimates and judgments are used in determining the fair value of acquired assets and liabilities, particularly with respect to the intangible assets acquired. The valuation of intangible assets requires the Company to use valuation techniques such as the income approach. The income approach includes management’s estimation of future cash flows (including expected revenue growth rates and profitability), the underlying product or technology life cycles and the discount rates applied to future cash flows.</w:t>
      </w:r>
    </w:p>
    <w:p>
      <w:pPr>
        <w:spacing w:after="0" w:line="180"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Judgment is also required in estimating the fair values of deferred tax assets and liabilities, uncertain tax positions and tax-related valuation allowances, which are initially estimated as of the acquisition date, as well as inventory, property and equipment, pre-existing liabilities or legal claims, deferred revenue and contingent consideration, each as may be applicable.</w:t>
      </w:r>
    </w:p>
    <w:p>
      <w:pPr>
        <w:spacing w:after="0" w:line="176"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18"/>
          <w:szCs w:val="18"/>
          <w:color w:val="auto"/>
        </w:rPr>
        <w:t>While the Company uses its best estimates and assumptions to accurately value assets acquired and liabilities assumed at the acquisition date as well as contingent consideration, where applicable, the Company’s estimates are inherently uncertain and subject to refinement. As a result, during the measurement period, which may be up to one year from the acquisition date, the Company may record adjustments to the assets acquired and liabilities assumed with the corresponding offset to goodwill. After the measurement period, any purchase price adjustments are recognized in the Consolidated Statements of Operations.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 Impairment Testing</w:t>
      </w:r>
    </w:p>
    <w:p>
      <w:pPr>
        <w:spacing w:after="0" w:line="225" w:lineRule="exact"/>
        <w:rPr>
          <w:sz w:val="20"/>
          <w:szCs w:val="20"/>
          <w:color w:val="auto"/>
        </w:rPr>
      </w:pPr>
    </w:p>
    <w:p>
      <w:pPr>
        <w:ind w:right="180"/>
        <w:spacing w:after="0" w:line="267" w:lineRule="auto"/>
        <w:rPr>
          <w:sz w:val="20"/>
          <w:szCs w:val="20"/>
          <w:color w:val="auto"/>
        </w:rPr>
      </w:pPr>
      <w:r>
        <w:rPr>
          <w:rFonts w:ascii="Times New Roman" w:cs="Times New Roman" w:eastAsia="Times New Roman" w:hAnsi="Times New Roman"/>
          <w:sz w:val="18"/>
          <w:szCs w:val="18"/>
          <w:color w:val="auto"/>
        </w:rPr>
        <w:t>In accordance with ASC 350, “</w:t>
      </w:r>
      <w:r>
        <w:rPr>
          <w:rFonts w:ascii="Times New Roman" w:cs="Times New Roman" w:eastAsia="Times New Roman" w:hAnsi="Times New Roman"/>
          <w:sz w:val="18"/>
          <w:szCs w:val="18"/>
          <w:i w:val="1"/>
          <w:iCs w:val="1"/>
          <w:color w:val="auto"/>
        </w:rPr>
        <w:t>Intangibles - Goodwill and Other</w:t>
      </w:r>
      <w:r>
        <w:rPr>
          <w:rFonts w:ascii="Times New Roman" w:cs="Times New Roman" w:eastAsia="Times New Roman" w:hAnsi="Times New Roman"/>
          <w:sz w:val="18"/>
          <w:szCs w:val="18"/>
          <w:color w:val="auto"/>
        </w:rPr>
        <w:t>” (“ASC 350”), goodwill is not amortized, but rather is reviewed for impairment at the reporting unit level on the first day of the Company’s fourth quarter of each fiscal year, or when there is evidence that events or changes in circumstances indicate it is more likely than not that the fair value of a reporting unit is less than its carrying amount, including goodwill.</w:t>
      </w:r>
    </w:p>
    <w:p>
      <w:pPr>
        <w:spacing w:after="0" w:line="17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Under ASC 350, the Company has the option to first assess qualitatively whether it is more likely than not that the fair value of a reporting unit is less than its carrying amount, including goodwill. In performing qualitative assessments, the Company considers the following factors which could trigger a goodwill impairment review: (i) significant underperformance relative to historical or projected future operating results; (ii) significant changes in the manner or use of the acquired assets or the strategy for the Company’s overall business; (iii) significant negative industry or economic trends; (iv) a significant decline in the Company’s stock price for a sustained period; and (v) a significant change in the Company’s market capitalization relative to its net book value.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color w:val="auto"/>
        </w:rPr>
        <w:t>Qorvo,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If qualitative assessments conclude that it is more likely than not that the fair value of any reporting unit is less than its carrying value, quantitative assessments are performed on the applicable reporting units. The quantitative assessments may consider both the income and market approaches to estimate the fair value of a reporting unit. The income approach is based on the discounted cash flow method that uses estimates of the reporting unit’s revenue growth rates and operating margins as part of the Company’s long-term planning process, taking into consideration historical data and industry and market conditions. The discount rate used to determine the present value of future cash flows is based on the weighted-average cost of capital adjusted for the relevant risk associated with business-specific characteristics and the uncertainty related to the ability to execute on the projected cash flows. The market approach estimates fair value based on market multiples of revenue and earnings derived from comparable publicly traded companies with similar operating and investment characteristics.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Identified Intangible Assets</w:t>
      </w:r>
    </w:p>
    <w:p>
      <w:pPr>
        <w:spacing w:after="0" w:line="22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Company amortizes definite-lived intangible assets (including developed technology, customer relationships, technology licenses and trade names) on a straight-line basis over their estimated useful lives. In-process research and development (“IPRD”) assets represent the fair value of incomplete R&amp;D projects that had not reached technological feasibility as of the date of the acquisition and are initially not subject to amortization. Upon completion of development, IPRD assets are transferred to developed technology and are amortized over their useful lives. The asset balances relating to abandoned projects are impaired and expensed to R&amp;D.</w:t>
      </w:r>
    </w:p>
    <w:p>
      <w:pPr>
        <w:spacing w:after="0" w:line="181"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color w:val="auto"/>
        </w:rPr>
        <w:t>The Company evaluates definite-lived intangible assets for impairment in accordance with ASC 360-10-35, “</w:t>
      </w:r>
      <w:r>
        <w:rPr>
          <w:rFonts w:ascii="Times New Roman" w:cs="Times New Roman" w:eastAsia="Times New Roman" w:hAnsi="Times New Roman"/>
          <w:sz w:val="18"/>
          <w:szCs w:val="18"/>
          <w:i w:val="1"/>
          <w:iCs w:val="1"/>
          <w:color w:val="auto"/>
        </w:rPr>
        <w:t>Impairment or Disposal of Long-Lived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Assets</w:t>
      </w:r>
      <w:r>
        <w:rPr>
          <w:rFonts w:ascii="Times New Roman" w:cs="Times New Roman" w:eastAsia="Times New Roman" w:hAnsi="Times New Roman"/>
          <w:sz w:val="18"/>
          <w:szCs w:val="18"/>
          <w:color w:val="auto"/>
        </w:rPr>
        <w:t>” to determine whether facts and circumstances (including external factors such as industry and economic trends and internal factors such as changes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the Company’s business strategy and forecasts) indicate that the carrying amount of the assets may not be recoverable. If such facts and circumstances exist, the Company assesses the recoverability of identified intangible assets by comparing the projected undiscounted net cash flows associated with the related asset or group of assets over their remaining lives against their respective carrying amounts. Impairments, if any, are based on the excess of the carrying amounts over the fair value of those assets and are recognized in the period in which the impairment determination was made.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22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Company generates revenue primarily from the sale of semiconductor products, either directly to a customer or to a distributor, or at completion of a consignment process. Revenue is recognized when control of the promised goods or services is transferred to the Company’s customers, in an amount that reflects the consideration to which the Company expects to be entitled in exchange for those goods or services. A majority of the Company’s revenue is recognized at a point in time, either on shipment or delivery of the product, depending on individual customer terms and conditions. Revenue from sales to the Company’s distributors is recognized upon shipment of the product to the distributors (sell-in). Revenue is recognized from the Company’s consignment programs at a point in time when the products are pulled from consignment inventory by the customer. Revenue recognized for products and services over time is less than 3% of overall revenue. The Company applies a five-step approach, as defined in ASC 606, in determining the amount and timing of revenue to be recognized: (1) identifying the contract with a customer; (2) identifying the performance obligations in the contract; (3) determining the transaction price; (4) allocating the transaction price to the performance obligations in the contract; and (5) recognizing revenue when the corresponding performance obligation is satisfied.</w:t>
      </w:r>
    </w:p>
    <w:p>
      <w:pPr>
        <w:spacing w:after="0" w:line="19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Sales agreements are in place with certain customers and contain terms and conditions with respect to payment, delivery, warranty and supply, but typically do not require minimum purchase commitments. In the absence of a sales agreement, the Company’s standard terms and conditions apply. The Company considers a customer’s purchase order, which is governed by a sales agreement or the Company’s standard terms and conditions, to be the contract with the customer.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p>
      <w:pPr>
        <w:jc w:val="center"/>
        <w:ind w:right="-19"/>
        <w:spacing w:after="0"/>
        <w:rPr>
          <w:sz w:val="20"/>
          <w:szCs w:val="20"/>
          <w:color w:val="auto"/>
        </w:rPr>
      </w:pPr>
      <w:r>
        <w:rPr>
          <w:rFonts w:ascii="Times New Roman" w:cs="Times New Roman" w:eastAsia="Times New Roman" w:hAnsi="Times New Roman"/>
          <w:sz w:val="18"/>
          <w:szCs w:val="18"/>
          <w:color w:val="auto"/>
        </w:rPr>
        <w:t>Qorvo, Inc. and Subsidiaries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Company’s pricing terms are negotiated independently on a stand-alone basis. In determining the transaction price, the Company evaluates whether the price is subject to refund or adjustment to determine the net consideration to which the Company expects to be entitled. Variable consideration in the form of rebate programs is offered to certain customers, including distributors, and represents approximately 7% of net revenue in fiscal 2026. The Company determines variable consideration by estimating the most likely amount of consideration it expects to receive from the customer. The Company’s terms and conditions do not give its customers a right of return associated with the original sale of its products. However, the Company may authorize sales returns under certain circumstances, which include courtesy returns and like-kind exchanges. The Company reduces revenue and records reserves for product returns and allowances, rebate programs and scrap allowance based on historical experience or specific identification depending on the contractual terms of the arrangement.</w:t>
      </w:r>
    </w:p>
    <w:p>
      <w:pPr>
        <w:spacing w:after="0" w:line="192"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The Company’s accounts receivable balance is from contracts with customers and represents the Company’s unconditional right to receive consideration from its customers. Payments are due upon completion of the performance obligation and subsequent invoicing. Substantially all payments are collected within the Company’s standard terms, which do not include any financing components. There have been no material impairment losses on accounts receivable for fiscal years 2026, 2025 or 2024. Contract assets and contract liabilities recorded in the Consolidated Balance Sheets were immaterial as of March 28, 2026 and March 29, 2025.</w:t>
      </w:r>
    </w:p>
    <w:p>
      <w:pPr>
        <w:spacing w:after="0" w:line="183"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The Company invoices customers upon shipment and recognizes revenue in accordance with delivery terms. As of March 28, 2026, the Company had $102.9 million in remaining unsatisfied performance obligations with an original duration greater than one year, of which the majority is expected to be recognized as income over the next 12 months.</w:t>
      </w:r>
    </w:p>
    <w:p>
      <w:pPr>
        <w:spacing w:after="0" w:line="17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Company includes shipping charges billed to customers in “Revenue” and includes the related shipping costs in “Cost of goods sold” in the Consolidated Statements of Operations. Taxes assessed by government authorities on revenue-producing transactions, including tariffs, value-added taxes and excise taxes, are excluded from revenue in the Consolidated Statements of Operations.</w:t>
      </w:r>
    </w:p>
    <w:p>
      <w:pPr>
        <w:spacing w:after="0" w:line="17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Company incurs commission expense that is incremental to obtaining contracts with customers. Sales commissions (which are recorded in the “Marketing and selling” expense line item in the Consolidated Statements of Operations) are expensed when incurred because such commissions are not owed until the performance obligation is satisfied, which coincides with the end of the contract term, and therefore, no remaining period exists over which to amortize the commissions.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charges all research and development (“R&amp;D”) costs to expense as incurred.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2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accounts for income taxes under the liability method, which requires recognition of deferred tax assets and liabilities for the temporary differences between the financial reporting and tax basis of assets and liabilities and for tax carryforwards. Deferred tax assets and liabilities for each tax jurisdiction are measured using the enacted statutory tax rates in effect for the years in which the differences are expected to reverse. A valuation allowance is provided against deferred tax assets to the extent the Company determines it is more likely than not that some portion or all of its deferred tax assets will not be realized.</w:t>
      </w:r>
    </w:p>
    <w:p>
      <w:pPr>
        <w:spacing w:after="0" w:line="183"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A more-likely-than-not recognition threshold is required to be met before the Company recognizes the benefit of an income tax position in its financial statements. The Company’s policy is to recognize accrued interest and penalties, if incurred, on any unrecognized tax benefits as a component of income tax expense.</w:t>
      </w:r>
    </w:p>
    <w:p>
      <w:pPr>
        <w:spacing w:after="0" w:line="176" w:lineRule="exact"/>
        <w:rPr>
          <w:sz w:val="20"/>
          <w:szCs w:val="20"/>
          <w:color w:val="auto"/>
        </w:rPr>
      </w:pPr>
    </w:p>
    <w:p>
      <w:pPr>
        <w:jc w:val="both"/>
        <w:ind w:right="300"/>
        <w:spacing w:after="0" w:line="261" w:lineRule="auto"/>
        <w:rPr>
          <w:sz w:val="20"/>
          <w:szCs w:val="20"/>
          <w:color w:val="auto"/>
        </w:rPr>
      </w:pPr>
      <w:r>
        <w:rPr>
          <w:rFonts w:ascii="Times New Roman" w:cs="Times New Roman" w:eastAsia="Times New Roman" w:hAnsi="Times New Roman"/>
          <w:sz w:val="18"/>
          <w:szCs w:val="18"/>
          <w:color w:val="auto"/>
        </w:rPr>
        <w:t>The Global Intangible Low-Taxed Income (“GILTI”) and Foreign-Derived Intangible Income (“FDII”) provisions became effective for the Company in fiscal 2019. The Company has elected to treat taxes related to GILTI inclusions as a period cost and therefore does not recognize deferred tax assets or liabilities for basis differences expected to give rise to future GILTI inclusions. The tax effects of FDII are recognized in the period in which the related income is earned.</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color w:val="auto"/>
        </w:rPr>
        <w:t>Qorvo,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5" w:lineRule="exact"/>
        <w:rPr>
          <w:sz w:val="20"/>
          <w:szCs w:val="20"/>
          <w:color w:val="auto"/>
        </w:rPr>
      </w:pPr>
    </w:p>
    <w:p>
      <w:pPr>
        <w:jc w:val="both"/>
        <w:ind w:right="140"/>
        <w:spacing w:after="0" w:line="290" w:lineRule="auto"/>
        <w:rPr>
          <w:sz w:val="20"/>
          <w:szCs w:val="20"/>
          <w:color w:val="auto"/>
        </w:rPr>
      </w:pPr>
      <w:r>
        <w:rPr>
          <w:rFonts w:ascii="Times New Roman" w:cs="Times New Roman" w:eastAsia="Times New Roman" w:hAnsi="Times New Roman"/>
          <w:sz w:val="17"/>
          <w:szCs w:val="17"/>
          <w:color w:val="auto"/>
        </w:rPr>
        <w:t>In accordance with ASC 740, “</w:t>
      </w:r>
      <w:r>
        <w:rPr>
          <w:rFonts w:ascii="Times New Roman" w:cs="Times New Roman" w:eastAsia="Times New Roman" w:hAnsi="Times New Roman"/>
          <w:sz w:val="17"/>
          <w:szCs w:val="17"/>
          <w:i w:val="1"/>
          <w:iCs w:val="1"/>
          <w:color w:val="auto"/>
        </w:rPr>
        <w:t>Income Taxes,</w:t>
      </w:r>
      <w:r>
        <w:rPr>
          <w:rFonts w:ascii="Times New Roman" w:cs="Times New Roman" w:eastAsia="Times New Roman" w:hAnsi="Times New Roman"/>
          <w:sz w:val="17"/>
          <w:szCs w:val="17"/>
          <w:color w:val="auto"/>
        </w:rPr>
        <w:t>” the Company recognizes a deferred tax liability for income taxes on unremitted foreign earnings of foreign subsidiaries which the Company intends to repatriate. If the Company asserts that such earnings will be permanently reinvested, a deferred tax liability is not recognized related to such earnings. It is the Company’s intent to repatriate all previously taxed earnings of foreign subsidiaries from outside the U.S.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225"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7"/>
          <w:szCs w:val="17"/>
          <w:color w:val="auto"/>
        </w:rPr>
        <w:t>In accordance with ASC 718, “</w:t>
      </w:r>
      <w:r>
        <w:rPr>
          <w:rFonts w:ascii="Times New Roman" w:cs="Times New Roman" w:eastAsia="Times New Roman" w:hAnsi="Times New Roman"/>
          <w:sz w:val="17"/>
          <w:szCs w:val="17"/>
          <w:i w:val="1"/>
          <w:iCs w:val="1"/>
          <w:color w:val="auto"/>
        </w:rPr>
        <w:t>Compensation – Stock Compensation</w:t>
      </w:r>
      <w:r>
        <w:rPr>
          <w:rFonts w:ascii="Times New Roman" w:cs="Times New Roman" w:eastAsia="Times New Roman" w:hAnsi="Times New Roman"/>
          <w:sz w:val="17"/>
          <w:szCs w:val="17"/>
          <w:color w:val="auto"/>
        </w:rPr>
        <w:t>” (“ASC 718”), stock-based compensation cost is measured at the grant date, based on the estimated fair value of the awards. The fair value of employee stock purchase plan awards is estimated on the date of grant using a Black-Scholes pricing model based on the historical volatility, dividend yield, term and risk-free interest rate. The fair value per unit of each restricted stock unit is determined on the grant date using market price and is recognized as expense over the requisite service period based on awards ultimately expected to vest.</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Translation</w:t>
      </w:r>
    </w:p>
    <w:p>
      <w:pPr>
        <w:spacing w:after="0" w:line="22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financial statements of foreign subsidiaries have been translated into U.S. dollars in accordance with ASC 830, “</w:t>
      </w:r>
      <w:r>
        <w:rPr>
          <w:rFonts w:ascii="Times New Roman" w:cs="Times New Roman" w:eastAsia="Times New Roman" w:hAnsi="Times New Roman"/>
          <w:sz w:val="18"/>
          <w:szCs w:val="18"/>
          <w:i w:val="1"/>
          <w:iCs w:val="1"/>
          <w:color w:val="auto"/>
        </w:rPr>
        <w:t>Foreign Currency Matters.</w:t>
      </w:r>
      <w:r>
        <w:rPr>
          <w:rFonts w:ascii="Times New Roman" w:cs="Times New Roman" w:eastAsia="Times New Roman" w:hAnsi="Times New Roman"/>
          <w:sz w:val="18"/>
          <w:szCs w:val="18"/>
          <w:color w:val="auto"/>
        </w:rPr>
        <w:t>” The functional currency for most of the Company’s international operations is the U.S. dollar. The functional currency for the remainder of the Company’s foreign subsidiaries is the local currency. Assets and liabilities denominated in foreign currencies are translated using the exchange rates on the balance sheet dates. Revenue and expenses are translated using the weighted-average exchange rates throughout the year. Translation adjustments are a component of “Accumulated other comprehensive income (loss)” within “Stockholders’ equity” in the Consolidated Balance Sheets. Foreign currency transaction gains or losses (transactions denominated in a currency other than the functional currency) are reported in “Other income, net” in the Consolidated Statements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Supplemental Financial Information</w:t>
      </w:r>
    </w:p>
    <w:p>
      <w:pPr>
        <w:spacing w:after="0" w:line="22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“Accrued liabilities” balance as of March 28, 2026 includes accrued compensation and benefits of $120.8 million. The “Accrued liabilities” balance as of March 29, 2025 includes accrued compensation and benefits of $89.7 million and accrued rebates of $77.9 million.</w:t>
      </w:r>
    </w:p>
    <w:p>
      <w:pPr>
        <w:spacing w:after="0" w:line="16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“Other current liabilities” balance as of March 28, 2026 includes a liability of $118.5 million for inventory subject to repurchase in connection with a supply agreement and income taxes payable of $64.4 million. The “Other current liabilities” balance as of March 29, 2025 includes a liability of $130.2 million for inventory subject to repurchase in connection with a supply agreement and income taxes payable of $54.7 million.</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Details of “Other operating expense” are as follows (in thousands):</w:t>
            </w: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5"/>
        </w:trPr>
        <w:tc>
          <w:tcPr>
            <w:tcW w:w="6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Fiscal 2026</w:t>
            </w:r>
          </w:p>
        </w:tc>
        <w:tc>
          <w:tcPr>
            <w:tcW w:w="140" w:type="dxa"/>
            <w:vAlign w:val="bottom"/>
          </w:tcPr>
          <w:p>
            <w:pPr>
              <w:spacing w:after="0"/>
              <w:rPr>
                <w:sz w:val="24"/>
                <w:szCs w:val="24"/>
                <w:color w:val="auto"/>
              </w:rPr>
            </w:pPr>
          </w:p>
        </w:tc>
        <w:tc>
          <w:tcPr>
            <w:tcW w:w="13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Fiscal 2025</w:t>
            </w:r>
          </w:p>
        </w:tc>
        <w:tc>
          <w:tcPr>
            <w:tcW w:w="140" w:type="dxa"/>
            <w:vAlign w:val="bottom"/>
          </w:tcPr>
          <w:p>
            <w:pPr>
              <w:spacing w:after="0"/>
              <w:rPr>
                <w:sz w:val="24"/>
                <w:szCs w:val="24"/>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Fiscal 2024</w:t>
            </w:r>
          </w:p>
        </w:tc>
      </w:tr>
      <w:tr>
        <w:trPr>
          <w:trHeight w:val="210"/>
        </w:trPr>
        <w:tc>
          <w:tcPr>
            <w:tcW w:w="6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Restructuring-related charges (1)</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36,905</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60,345</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70,365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Merger-related costs (2)</w:t>
            </w:r>
          </w:p>
        </w:tc>
        <w:tc>
          <w:tcPr>
            <w:tcW w:w="16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23,475</w:t>
            </w:r>
          </w:p>
        </w:tc>
        <w:tc>
          <w:tcPr>
            <w:tcW w:w="14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Business transformation costs</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860</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14,933</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11,863</w:t>
            </w:r>
          </w:p>
        </w:tc>
      </w:tr>
      <w:tr>
        <w:trPr>
          <w:trHeight w:val="216"/>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compensation expense</w:t>
            </w:r>
          </w:p>
        </w:tc>
        <w:tc>
          <w:tcPr>
            <w:tcW w:w="16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9,266</w:t>
            </w:r>
          </w:p>
        </w:tc>
        <w:tc>
          <w:tcPr>
            <w:tcW w:w="14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2,815</w:t>
            </w: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9,879</w:t>
            </w:r>
          </w:p>
        </w:tc>
      </w:tr>
      <w:tr>
        <w:trPr>
          <w:trHeight w:val="216"/>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Start-up costs</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14,983</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467</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net (3)</w:t>
            </w:r>
          </w:p>
        </w:tc>
        <w:tc>
          <w:tcPr>
            <w:tcW w:w="16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17,600</w:t>
            </w:r>
          </w:p>
        </w:tc>
        <w:tc>
          <w:tcPr>
            <w:tcW w:w="14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11,884</w:t>
            </w:r>
          </w:p>
        </w:tc>
      </w:tr>
      <w:tr>
        <w:trPr>
          <w:trHeight w:val="223"/>
        </w:trPr>
        <w:tc>
          <w:tcPr>
            <w:tcW w:w="69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87,513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96,160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103,991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260" w:hanging="252"/>
        <w:spacing w:after="0"/>
        <w:tabs>
          <w:tab w:leader="none" w:pos="2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 to Note 12 for additional information.</w:t>
      </w:r>
    </w:p>
    <w:p>
      <w:pPr>
        <w:spacing w:after="0" w:line="2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 to Note 2 for additional information.</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acquisition and integration-related costs and certain settlements, gains, losses and other charges.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income of $43.0 million, $47.1 million and $38.3 million for fiscal years 2026, 2025 and 2024, respectively, is included in “Other income, net.”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 w:name="page21"/>
    <w:bookmarkEnd w:id="20"/>
    <w:p>
      <w:pPr>
        <w:jc w:val="center"/>
        <w:ind w:right="-19"/>
        <w:spacing w:after="0"/>
        <w:rPr>
          <w:sz w:val="20"/>
          <w:szCs w:val="20"/>
          <w:color w:val="auto"/>
        </w:rPr>
      </w:pPr>
      <w:r>
        <w:rPr>
          <w:rFonts w:ascii="Times New Roman" w:cs="Times New Roman" w:eastAsia="Times New Roman" w:hAnsi="Times New Roman"/>
          <w:sz w:val="18"/>
          <w:szCs w:val="18"/>
          <w:color w:val="auto"/>
        </w:rPr>
        <w:t>Qorvo, Inc. and Subsidiaries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Pronouncements</w:t>
      </w:r>
    </w:p>
    <w:p>
      <w:pPr>
        <w:spacing w:after="0" w:line="225"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 xml:space="preserve">In December 2023, the FASB issued Accounting Standard Update (“ASU”) 2023-09, </w:t>
      </w:r>
      <w:r>
        <w:rPr>
          <w:rFonts w:ascii="Times New Roman" w:cs="Times New Roman" w:eastAsia="Times New Roman" w:hAnsi="Times New Roman"/>
          <w:sz w:val="18"/>
          <w:szCs w:val="18"/>
          <w:i w:val="1"/>
          <w:iCs w:val="1"/>
          <w:color w:val="auto"/>
        </w:rPr>
        <w:t>“Improvements to Income Tax Disclosures”</w:t>
      </w:r>
      <w:r>
        <w:rPr>
          <w:rFonts w:ascii="Times New Roman" w:cs="Times New Roman" w:eastAsia="Times New Roman" w:hAnsi="Times New Roman"/>
          <w:sz w:val="18"/>
          <w:szCs w:val="18"/>
          <w:color w:val="auto"/>
        </w:rPr>
        <w:t xml:space="preserve"> (“ASU 2023-09”), which requires enhanced disclosures related to income taxes. The amendments in ASU 2023-09 require a public entity to disclose specified additional information in its income tax rate reconciliation and to provide additional information for reconciling items that meet a quantitative threshold. The amendments also require the Company to disaggregate its taxes paid disclosure by federal, state and foreign taxes, with further disaggregation required for significant individual jurisdictions. The Company adopted this standard for the year ended March 28, 2026 retrospectively for all periods presented in the financial statements. Refer to Note 13 for additional information.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PROPOSED MERGERS</w:t>
      </w:r>
    </w:p>
    <w:p>
      <w:pPr>
        <w:spacing w:after="0" w:line="22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October 27, 2025, the Company entered into an Agreement and Plan of Merger (the “Merger Agreement”), by and among Skyworks Solutions, Inc., a Delaware corporation (“Skyworks”), the Company, Comet Acquisition Corp., a Delaware corporation and a wholly-owned subsidiary of Skyworks (“Merger Sub I”), and Comet Acquisition II, LLC, a Delaware limited liability company and a wholly-owned subsidiary of Skyworks (“Merger Sub II”). Pursuant to the Merger Agreement, and subject to the satisfaction or waiver of the conditions specified therein, (i) Merger Sub I will merge with and into the Company (the “First Merger”), with the Company surviving the First Merger as a wholly-owned subsidiary of Skyworks (the “Surviving Corporation”), and (ii) immediately following the First Merger, and as the second step in a single integrated transaction with the First Merger, the Surviving Corporation will merge with and into Merger Sub II (the “Second Merger,” and together with the First Merger, the “Mergers”), with Merger Sub II continuing as the surviving entity in the Second Merger and a wholly-owned subsidiary of Skyworks.</w:t>
      </w:r>
    </w:p>
    <w:p>
      <w:pPr>
        <w:spacing w:after="0" w:line="19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At the effective time of the First Merger (the “Effective Time”), each share of the Company’s common stock, par value $0.0001 per share (“Qorvo Common Stock”), outstanding immediately prior to the Effective Time (subject to certain exceptions, including shares of Qorvo Common Stock owned by stockholders of the Company who have not voted in favor of the adoption of the Merger Agreement and have properly exercised appraisal rights in accordance with Section 262 of the General Corporation Law of the State of Delaware) will be converted into the right to receive (i) 0.960 (the “Exchange Ratio”) shares of Skyworks common stock, without interest, and (ii) $32.50 in cash, without interest, subject to applicable withholding taxes. No fractional shares of Skyworks common stock will be issued in the Mergers, and the Company’s stockholders will receive cash in lieu of any fractional shares, as specified in the Merger Agreement.</w:t>
      </w:r>
    </w:p>
    <w:p>
      <w:pPr>
        <w:spacing w:after="0" w:line="189"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If the Mergers are consummated, Qorvo Common Stock will be delisted from the Nasdaq Stock Market LLC and deregistered under the Securities Exchange Act of 1934, as amended. The Exchange Ratio is expected to result in the Company’s equityholders and Skyworks equityholders owning approximately 37% and 63%, respectively, of the combined company on a pro forma basis following the closing of the transactions contemplated by the Merger Agreement.</w:t>
      </w:r>
    </w:p>
    <w:p>
      <w:pPr>
        <w:spacing w:after="0" w:line="180"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Merger Agreement contains certain termination rights for each of Skyworks and Qorvo. Under specified circumstances, each of Qorvo and Skyworks will be required to pay the other party a termination fee of $298.7 million, as more fully described in the Merger Agreement. Alternatively, under certain specified circumstances, including termination following an injunction arising in connection with certain antitrust or foreign investment laws, or failure to receive certain required regulatory approvals of specified governmental authorities, Skyworks will be required to pay Qorvo a termination fee of $100.0 million, as more fully described in the Merger Agreement.</w:t>
      </w:r>
    </w:p>
    <w:p>
      <w:pPr>
        <w:spacing w:after="0" w:line="183"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On February 5, 2026, Qorvo and Skyworks each received a Request for Additional Information and Documentary Material (the “Second Request”) from the U.S. Federal Trade Commission (“FTC”) in connection with the transaction. The Second Request was issued under notification requirements of the HSR Act. The effect of the Second Request is to extend the waiting period imposed by the HSR Act until 30 days after Qorvo and Skyworks have each substantially complied with the Second Request it received, unless the waiting period is voluntarily extended by the parties or terminated sooner by the FTC.</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color w:val="auto"/>
        </w:rPr>
        <w:t>Qorvo,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7"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The stockholders of both Qorvo and Skyworks approved the Merger Agreement at each company’s special meeting of stockholders on February 11, 2026. Consummation of the Mergers is subject to required regulatory approvals, including certain antitrust and foreign investment approvals, and the satisfaction of other customary closing conditions. The Company currently anticipates the transaction will be completed early in calendar year 2027.</w:t>
      </w:r>
    </w:p>
    <w:p>
      <w:pPr>
        <w:spacing w:after="0" w:line="176" w:lineRule="exact"/>
        <w:rPr>
          <w:sz w:val="20"/>
          <w:szCs w:val="20"/>
          <w:color w:val="auto"/>
        </w:rPr>
      </w:pPr>
    </w:p>
    <w:p>
      <w:pPr>
        <w:ind w:right="20"/>
        <w:spacing w:after="0" w:line="312" w:lineRule="auto"/>
        <w:rPr>
          <w:sz w:val="20"/>
          <w:szCs w:val="20"/>
          <w:color w:val="auto"/>
        </w:rPr>
      </w:pPr>
      <w:r>
        <w:rPr>
          <w:rFonts w:ascii="Times New Roman" w:cs="Times New Roman" w:eastAsia="Times New Roman" w:hAnsi="Times New Roman"/>
          <w:sz w:val="17"/>
          <w:szCs w:val="17"/>
          <w:color w:val="auto"/>
        </w:rPr>
        <w:t>The foregoing summary of the Merger Agreement and the transactions contemplated thereby does not purport to be complete and is subject to, and qualified in its entirety by, the Merger Agreement, which was filed as Exhibit 2.1 to the Company’s Current Report on Form 8-K filed on October 28, 2025.</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Merger-related costs for fiscal 2026 were approximately $23.5 million, primarily related to legal and professional fees.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 CONCENTRATIONS OF CREDIT RISK</w:t>
      </w:r>
    </w:p>
    <w:p>
      <w:pPr>
        <w:spacing w:after="0" w:line="225"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The Company’s principal financial instrument subject to potential concentration of credit risk is accounts receivable, which is unsecured. The Company provides an allowance for doubtful accounts equal to estimated losses expected to be incurred in the collection of accounts receivable. The Company’s trade receivables are evaluated on a collective (pool) basis and aggregated on the basis of similar risk characteristics, adjusting for broad-based economic indicators as well as customer-specific factors. The Company has adopted credit policies and standards intended to accommodate industry growth and inherent risk and believes that credit risks are moderated by the financial stability of its major customers, conservative payment terms and the Company’s strict credit policies.</w:t>
      </w:r>
    </w:p>
    <w:p>
      <w:pPr>
        <w:spacing w:after="0" w:line="18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Company provides products to its largest end customer, Apple Inc., through sales to multiple contract manufacturers, which in the aggregate accounted for approximately 50%, 47% and 46% of total revenue in fiscal years 2026, 2025 and 2024, respectively. Samsung Electronics Co., Ltd., accounted for approximately 10%, 10% and 12% of total revenue in fiscal years 2026, 2025 and 2024, respectively. These customers primarily purchase radio frequency (“RF”) solutions for a variety of mobile devices from the Company’s ACG segment.</w:t>
      </w:r>
    </w:p>
    <w:p>
      <w:pPr>
        <w:spacing w:after="0" w:line="180"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Company’s three largest accounts receivable balances comprised approximately 58% and 64% of aggregate gross accounts receivable as of March 28, 2026 and March 29, 2025, respectively.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4. INVENTORIES</w:t>
            </w: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The components of inventories, net of reserves, are as follows (in thousands):</w:t>
            </w: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45"/>
        </w:trPr>
        <w:tc>
          <w:tcPr>
            <w:tcW w:w="8440" w:type="dxa"/>
            <w:vAlign w:val="bottom"/>
          </w:tcPr>
          <w:p>
            <w:pPr>
              <w:spacing w:after="0"/>
              <w:rPr>
                <w:sz w:val="24"/>
                <w:szCs w:val="24"/>
                <w:color w:val="auto"/>
              </w:rPr>
            </w:pPr>
          </w:p>
        </w:tc>
        <w:tc>
          <w:tcPr>
            <w:tcW w:w="14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March 28, 2026</w:t>
            </w:r>
          </w:p>
        </w:tc>
        <w:tc>
          <w:tcPr>
            <w:tcW w:w="20" w:type="dxa"/>
            <w:vAlign w:val="bottom"/>
          </w:tcPr>
          <w:p>
            <w:pPr>
              <w:spacing w:after="0"/>
              <w:rPr>
                <w:sz w:val="24"/>
                <w:szCs w:val="24"/>
                <w:color w:val="auto"/>
              </w:rPr>
            </w:pPr>
          </w:p>
        </w:tc>
        <w:tc>
          <w:tcPr>
            <w:tcW w:w="13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March 29, 2025</w:t>
            </w:r>
          </w:p>
        </w:tc>
      </w:tr>
      <w:tr>
        <w:trPr>
          <w:trHeight w:val="210"/>
        </w:trPr>
        <w:tc>
          <w:tcPr>
            <w:tcW w:w="8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95"/>
              </w:rPr>
              <w:t>162,588</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184,695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380" w:type="dxa"/>
            <w:vAlign w:val="bottom"/>
          </w:tcPr>
          <w:p>
            <w:pPr>
              <w:spacing w:after="0"/>
              <w:rPr>
                <w:sz w:val="18"/>
                <w:szCs w:val="18"/>
                <w:color w:val="auto"/>
              </w:rPr>
            </w:pPr>
          </w:p>
        </w:tc>
        <w:tc>
          <w:tcPr>
            <w:tcW w:w="10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265,250</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322,814</w:t>
            </w:r>
          </w:p>
        </w:tc>
        <w:tc>
          <w:tcPr>
            <w:tcW w:w="80" w:type="dxa"/>
            <w:vAlign w:val="bottom"/>
          </w:tcPr>
          <w:p>
            <w:pPr>
              <w:spacing w:after="0"/>
              <w:rPr>
                <w:sz w:val="18"/>
                <w:szCs w:val="18"/>
                <w:color w:val="auto"/>
              </w:rPr>
            </w:pPr>
          </w:p>
        </w:tc>
      </w:tr>
      <w:tr>
        <w:trPr>
          <w:trHeight w:val="23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3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125,880</w:t>
            </w: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133,483</w:t>
            </w:r>
          </w:p>
        </w:tc>
        <w:tc>
          <w:tcPr>
            <w:tcW w:w="80" w:type="dxa"/>
            <w:vAlign w:val="bottom"/>
            <w:shd w:val="clear" w:color="auto" w:fill="CCEEFF"/>
          </w:tcPr>
          <w:p>
            <w:pPr>
              <w:spacing w:after="0"/>
              <w:rPr>
                <w:sz w:val="19"/>
                <w:szCs w:val="19"/>
                <w:color w:val="auto"/>
              </w:rPr>
            </w:pPr>
          </w:p>
        </w:tc>
      </w:tr>
      <w:tr>
        <w:trPr>
          <w:trHeight w:val="223"/>
        </w:trPr>
        <w:tc>
          <w:tcPr>
            <w:tcW w:w="8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inventories</w:t>
            </w: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w w:val="95"/>
              </w:rPr>
              <w:t>553,718</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640,992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4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 BUSINESS DIVESTITURES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MEMS-based sensing solutions business</w:t>
      </w:r>
    </w:p>
    <w:p>
      <w:pPr>
        <w:spacing w:after="0" w:line="227"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In fiscal 2025, the Company determined that there was a more-likely-than-not expectation of divesting its microelectromechanical system (“MEMS”)-based sensing solutions business and impairment testing was triggered, resulting in impairment charges to goodwill and intangible assets (developed technology) of approximately $47.8 million and $31.7 million, respectively.</w:t>
      </w:r>
    </w:p>
    <w:p>
      <w:pPr>
        <w:spacing w:after="0" w:line="176"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In the third quarter of fiscal 2026, the Company sold its MEMS-based sensing solutions business for net cash proceeds of approximately $21.5 million, resulting in a gain of $19.2 million, which is recorded in “Other operating expense” in the Consolidated Statement of Operations.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color w:val="auto"/>
        </w:rPr>
        <w:t>Qorvo,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Silicon carbide power device business</w:t>
      </w:r>
    </w:p>
    <w:p>
      <w:pPr>
        <w:spacing w:after="0" w:line="22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the second quarter of fiscal 2025, the Company determined that there was a more-likely-than-not expectation of divesting its silicon carbide (“SiC”) power device business (the “SiC Disposal Group”) and impairment testing was triggered, resulting in inventory write-downs of $13.7 million (for inventory expected to be disposed of) and impairments of goodwill and intangible assets (primarily developed technology) of $96.5 million and $16.6 million, respectively.</w:t>
      </w:r>
    </w:p>
    <w:p>
      <w:pPr>
        <w:spacing w:after="0" w:line="180"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In the fourth quarter of fiscal 2025, the Company sold the SiC Disposal Group, which had a carrying value of $90.6 million, for net cash proceeds of approximately $117.5 million, resulting in a gain of $26.9 million, which is recorded in “Other operating expense” in the fiscal 2025 Consolidated Statement of Operations.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Assembly and test operations in Beijing and Dezhou</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fiscal 2024, the Company entered into a definitive agreement with Luxshare to divest its assembly and test operations in Beijing and Dezhou, China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“China Disposal Group”). The China Disposal Group met the criteria to be classified as held for sale in accordance with ASC 360, </w:t>
      </w:r>
      <w:r>
        <w:rPr>
          <w:rFonts w:ascii="Times New Roman" w:cs="Times New Roman" w:eastAsia="Times New Roman" w:hAnsi="Times New Roman"/>
          <w:sz w:val="18"/>
          <w:szCs w:val="18"/>
          <w:i w:val="1"/>
          <w:iCs w:val="1"/>
          <w:color w:val="auto"/>
        </w:rPr>
        <w:t>“Property, Plant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Equipment,” </w:t>
      </w:r>
      <w:r>
        <w:rPr>
          <w:rFonts w:ascii="Times New Roman" w:cs="Times New Roman" w:eastAsia="Times New Roman" w:hAnsi="Times New Roman"/>
          <w:sz w:val="18"/>
          <w:szCs w:val="18"/>
          <w:color w:val="auto"/>
        </w:rPr>
        <w:t>in the fourth quarter of fiscal 2024. As the carrying value of the China Disposal Group exceeded the fair value less costs to sell, a loss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$35.3 million (which included a goodwill write-off of $22.0 million) was recorded in “Other operating expense” in the fiscal 2024 Consolidated Statement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Operations.</w:t>
      </w:r>
    </w:p>
    <w:p>
      <w:pPr>
        <w:spacing w:after="0" w:line="207"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Company completed the sale of the China Disposal Group in the first quarter of fiscal 2025 for a purchase price of approximately $234.0 million, resulting in an incremental loss of $6.0 million (which included an additional goodwill write-off of $1.0 million) recorded in “Other operating expense” in the fiscal 2025 Consolidated Statement of Operations. The consideration received was for the cash on hand of the disposed business of $29.0 million, the assets and liabilities of the China Disposal Group of $76.0 million and inventory of $129.0 million. The cash received for inventory related to inventory that the Company sold to Luxshare and is obligated to repurchase at a future date subsequent to the performance of assembly and test services by Luxshare pursuant to a supply agreement.</w:t>
      </w:r>
    </w:p>
    <w:p>
      <w:pPr>
        <w:spacing w:after="0" w:line="187"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The cash received from the sale of the assets and liabilities of the China Disposal Group of $76.0 million was included in cash flows from investing activities in the fiscal 2025 Consolidated Statement of Cash Flows, net of a $20.0 million deposit received in fiscal 2024 upon execution of the definitive agreement (which was included in investing activities in the fiscal 2024 Consolidated Statement of Cash Flows). The net proceeds from the sale of inventory subject to repurchase by the Company is included in cash flows from financing activities in the Consolidated Statement of Cash Flows.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6. PROPERTY &amp; EQUIPMENT</w:t>
            </w:r>
          </w:p>
        </w:tc>
        <w:tc>
          <w:tcPr>
            <w:tcW w:w="3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The components of property and equipment are as follows (in thousands):</w:t>
            </w:r>
          </w:p>
        </w:tc>
        <w:tc>
          <w:tcPr>
            <w:tcW w:w="3020" w:type="dxa"/>
            <w:vAlign w:val="bottom"/>
          </w:tcPr>
          <w:p>
            <w:pPr>
              <w:spacing w:after="0"/>
              <w:rPr>
                <w:sz w:val="24"/>
                <w:szCs w:val="24"/>
                <w:color w:val="auto"/>
              </w:rPr>
            </w:pPr>
          </w:p>
        </w:tc>
        <w:tc>
          <w:tcPr>
            <w:tcW w:w="138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March 28, 2026</w:t>
            </w:r>
          </w:p>
        </w:tc>
        <w:tc>
          <w:tcPr>
            <w:tcW w:w="80" w:type="dxa"/>
            <w:vAlign w:val="bottom"/>
          </w:tcPr>
          <w:p>
            <w:pPr>
              <w:spacing w:after="0"/>
              <w:rPr>
                <w:sz w:val="24"/>
                <w:szCs w:val="24"/>
                <w:color w:val="auto"/>
              </w:rPr>
            </w:pPr>
          </w:p>
        </w:tc>
        <w:tc>
          <w:tcPr>
            <w:tcW w:w="134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March 29, 2025</w:t>
            </w:r>
          </w:p>
        </w:tc>
        <w:tc>
          <w:tcPr>
            <w:tcW w:w="0" w:type="dxa"/>
            <w:vAlign w:val="bottom"/>
          </w:tcPr>
          <w:p>
            <w:pPr>
              <w:spacing w:after="0"/>
              <w:rPr>
                <w:sz w:val="1"/>
                <w:szCs w:val="1"/>
                <w:color w:val="auto"/>
              </w:rPr>
            </w:pPr>
          </w:p>
        </w:tc>
      </w:tr>
      <w:tr>
        <w:trPr>
          <w:trHeight w:val="230"/>
        </w:trPr>
        <w:tc>
          <w:tcPr>
            <w:tcW w:w="542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1380" w:type="dxa"/>
            <w:vAlign w:val="bottom"/>
            <w:gridSpan w:val="3"/>
            <w:vMerge w:val="continue"/>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30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20,606</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23,039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 and leasehold improvements</w:t>
            </w:r>
          </w:p>
        </w:tc>
        <w:tc>
          <w:tcPr>
            <w:tcW w:w="3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338,857</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366,061</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3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2,027,411</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2,159,937</w:t>
            </w:r>
          </w:p>
        </w:tc>
        <w:tc>
          <w:tcPr>
            <w:tcW w:w="0" w:type="dxa"/>
            <w:vAlign w:val="bottom"/>
          </w:tcPr>
          <w:p>
            <w:pPr>
              <w:spacing w:after="0"/>
              <w:rPr>
                <w:sz w:val="1"/>
                <w:szCs w:val="1"/>
                <w:color w:val="auto"/>
              </w:rPr>
            </w:pPr>
          </w:p>
        </w:tc>
      </w:tr>
      <w:tr>
        <w:trPr>
          <w:trHeight w:val="230"/>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3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104,687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98,223</w:t>
            </w:r>
          </w:p>
        </w:tc>
        <w:tc>
          <w:tcPr>
            <w:tcW w:w="0" w:type="dxa"/>
            <w:vAlign w:val="bottom"/>
          </w:tcPr>
          <w:p>
            <w:pPr>
              <w:spacing w:after="0"/>
              <w:rPr>
                <w:sz w:val="1"/>
                <w:szCs w:val="1"/>
                <w:color w:val="auto"/>
              </w:rPr>
            </w:pPr>
          </w:p>
        </w:tc>
      </w:tr>
      <w:tr>
        <w:trPr>
          <w:trHeight w:val="210"/>
        </w:trPr>
        <w:tc>
          <w:tcPr>
            <w:tcW w:w="542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property and equipment, gross</w:t>
            </w:r>
          </w:p>
        </w:tc>
        <w:tc>
          <w:tcPr>
            <w:tcW w:w="30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2,491,561</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2,647,260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(1,781,169)</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(1,845,365)</w:t>
            </w:r>
          </w:p>
        </w:tc>
        <w:tc>
          <w:tcPr>
            <w:tcW w:w="0" w:type="dxa"/>
            <w:vAlign w:val="bottom"/>
          </w:tcPr>
          <w:p>
            <w:pPr>
              <w:spacing w:after="0"/>
              <w:rPr>
                <w:sz w:val="1"/>
                <w:szCs w:val="1"/>
                <w:color w:val="auto"/>
              </w:rPr>
            </w:pPr>
          </w:p>
        </w:tc>
      </w:tr>
      <w:tr>
        <w:trPr>
          <w:trHeight w:val="223"/>
        </w:trPr>
        <w:tc>
          <w:tcPr>
            <w:tcW w:w="54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30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710,392</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801,895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3020" w:type="dxa"/>
            <w:vAlign w:val="bottom"/>
            <w:vMerge w:val="restart"/>
          </w:tcPr>
          <w:p>
            <w:pPr>
              <w:jc w:val="right"/>
              <w:ind w:right="2630"/>
              <w:spacing w:after="0"/>
              <w:rPr>
                <w:sz w:val="20"/>
                <w:szCs w:val="20"/>
                <w:color w:val="auto"/>
              </w:rPr>
            </w:pPr>
            <w:r>
              <w:rPr>
                <w:rFonts w:ascii="Times New Roman" w:cs="Times New Roman" w:eastAsia="Times New Roman" w:hAnsi="Times New Roman"/>
                <w:sz w:val="18"/>
                <w:szCs w:val="18"/>
                <w:color w:val="auto"/>
              </w:rPr>
              <w:t>16</w:t>
            </w: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542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vMerge w:val="continue"/>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color w:val="auto"/>
        </w:rPr>
        <w:t>Qorvo,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 GOODWILL AND INTANGIBLE ASSETS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the carrying amount of goodwill for fiscal 2026 are as follows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HPA</w:t>
            </w:r>
          </w:p>
        </w:tc>
        <w:tc>
          <w:tcPr>
            <w:tcW w:w="260" w:type="dxa"/>
            <w:vAlign w:val="bottom"/>
          </w:tcPr>
          <w:p>
            <w:pPr>
              <w:spacing w:after="0"/>
              <w:rPr>
                <w:sz w:val="20"/>
                <w:szCs w:val="20"/>
                <w:color w:val="auto"/>
              </w:rPr>
            </w:pPr>
          </w:p>
        </w:tc>
        <w:tc>
          <w:tcPr>
            <w:tcW w:w="118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CSG</w:t>
            </w:r>
          </w:p>
        </w:tc>
        <w:tc>
          <w:tcPr>
            <w:tcW w:w="260" w:type="dxa"/>
            <w:vAlign w:val="bottom"/>
          </w:tcPr>
          <w:p>
            <w:pPr>
              <w:spacing w:after="0"/>
              <w:rPr>
                <w:sz w:val="20"/>
                <w:szCs w:val="20"/>
                <w:color w:val="auto"/>
              </w:rPr>
            </w:pPr>
          </w:p>
        </w:tc>
        <w:tc>
          <w:tcPr>
            <w:tcW w:w="11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ACG</w:t>
            </w:r>
          </w:p>
        </w:tc>
        <w:tc>
          <w:tcPr>
            <w:tcW w:w="260" w:type="dxa"/>
            <w:vAlign w:val="bottom"/>
          </w:tcPr>
          <w:p>
            <w:pPr>
              <w:spacing w:after="0"/>
              <w:rPr>
                <w:sz w:val="20"/>
                <w:szCs w:val="20"/>
                <w:color w:val="auto"/>
              </w:rPr>
            </w:pPr>
          </w:p>
        </w:tc>
        <w:tc>
          <w:tcPr>
            <w:tcW w:w="10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Total</w:t>
            </w:r>
          </w:p>
        </w:tc>
      </w:tr>
      <w:tr>
        <w:trPr>
          <w:trHeight w:val="209"/>
        </w:trPr>
        <w:tc>
          <w:tcPr>
            <w:tcW w:w="5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March 29, 2025 (1)</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421,464</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252,317</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1,715,960</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2,389,741</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impairment</w:t>
            </w:r>
          </w:p>
        </w:tc>
        <w:tc>
          <w:tcPr>
            <w:tcW w:w="28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(36,515)</w:t>
            </w:r>
          </w:p>
        </w:tc>
        <w:tc>
          <w:tcPr>
            <w:tcW w:w="2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(36,515)</w:t>
            </w:r>
          </w:p>
        </w:tc>
      </w:tr>
      <w:tr>
        <w:trPr>
          <w:trHeight w:val="223"/>
        </w:trPr>
        <w:tc>
          <w:tcPr>
            <w:tcW w:w="5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March 28, 2026 (1)</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421,464</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215,802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1,715,960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2,353,226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340" w:firstLine="8"/>
        <w:spacing w:after="0" w:line="282" w:lineRule="auto"/>
        <w:tabs>
          <w:tab w:leader="none" w:pos="2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goodwill balance is presented net of accumulated impairment losses totaling $1,084.1 million and $1,047.6 million as of March 28, 2026 and March 29, 2025,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operates under three segments with a total of five reporting units as of March 28, 2026.</w:t>
      </w:r>
    </w:p>
    <w:p>
      <w:pPr>
        <w:spacing w:after="0" w:line="22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 the second quarter of fiscal 2026, the Company consolidated its CSG organizational structure and realigned reporting units within CSG in order to align resources, improve efficiency and narrow its focus on a higher margin portfolio. The Company performed a goodwill impairment assessment for CSG’s reporting units immediately before and after the realignment and concluded that goodwill was not impaired.</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March 2026, due to slower than expected market adoption for certain technologies, the Company revised its forecasts for a reporting unit within the CSG segment and determined it was more likely than not that the fair value of the reporting unit was below its carrying amount, and impairment testing was triggered. The impairment testing resulted in impairments of goodwill and intangible assets (developed technology) of approximately $36.5 million and $45.9 million, respectively. The estimated fair values of the intangible assets and the reporting unit were determined using the income approach, and the significant inputs related to valuing these assets are classified as Level 3 in the fair value hierarchy.</w:t>
      </w:r>
    </w:p>
    <w:p>
      <w:pPr>
        <w:spacing w:after="0" w:line="18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fiscal 2025, the Company recorded goodwill and intangible asset impairment charges of approximately $96.5 million and $16.6 million, respectively, as a result of the expected divestiture of its SiC power device business, which constituted a reporting unit within the HPA segment. Additionally, the Company recorded goodwill and intangible asset impairment charges of approximately $47.8 million and $31.7 million, respectively, as a result of the expected divestiture of its MEMS-based sensing solutions business, which constituted a reporting unit within the CSG segment. In fiscal 2024, the Company recorded goodwill impairment charges totaling $221.4 million for a reporting unit within the CSG segment as a result of the Company’s interim goodwill impairment assessments. These impairment charges are recorded in “Goodwill and intangible asset impairment” in the Consolidated Statements of Operations.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summarizes information regarding the gross carrying amounts and accumulated amortization of intangible assets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740" w:type="dxa"/>
            <w:vAlign w:val="bottom"/>
            <w:gridSpan w:val="5"/>
          </w:tcPr>
          <w:p>
            <w:pPr>
              <w:jc w:val="right"/>
              <w:ind w:right="1000"/>
              <w:spacing w:after="0"/>
              <w:rPr>
                <w:sz w:val="20"/>
                <w:szCs w:val="20"/>
                <w:color w:val="auto"/>
              </w:rPr>
            </w:pPr>
            <w:r>
              <w:rPr>
                <w:rFonts w:ascii="Times New Roman" w:cs="Times New Roman" w:eastAsia="Times New Roman" w:hAnsi="Times New Roman"/>
                <w:sz w:val="18"/>
                <w:szCs w:val="18"/>
                <w:color w:val="auto"/>
              </w:rPr>
              <w:t>March 28, 2026</w:t>
            </w:r>
          </w:p>
        </w:tc>
        <w:tc>
          <w:tcPr>
            <w:tcW w:w="200" w:type="dxa"/>
            <w:vAlign w:val="bottom"/>
          </w:tcPr>
          <w:p>
            <w:pPr>
              <w:spacing w:after="0"/>
              <w:rPr>
                <w:sz w:val="20"/>
                <w:szCs w:val="20"/>
                <w:color w:val="auto"/>
              </w:rPr>
            </w:pPr>
          </w:p>
        </w:tc>
        <w:tc>
          <w:tcPr>
            <w:tcW w:w="2580" w:type="dxa"/>
            <w:vAlign w:val="bottom"/>
            <w:gridSpan w:val="7"/>
          </w:tcPr>
          <w:p>
            <w:pPr>
              <w:ind w:left="560"/>
              <w:spacing w:after="0"/>
              <w:rPr>
                <w:sz w:val="20"/>
                <w:szCs w:val="20"/>
                <w:color w:val="auto"/>
              </w:rPr>
            </w:pPr>
            <w:r>
              <w:rPr>
                <w:rFonts w:ascii="Times New Roman" w:cs="Times New Roman" w:eastAsia="Times New Roman" w:hAnsi="Times New Roman"/>
                <w:sz w:val="18"/>
                <w:szCs w:val="18"/>
                <w:color w:val="auto"/>
              </w:rPr>
              <w:t>March 29, 2025</w:t>
            </w:r>
          </w:p>
        </w:tc>
      </w:tr>
      <w:tr>
        <w:trPr>
          <w:trHeight w:val="191"/>
        </w:trPr>
        <w:tc>
          <w:tcPr>
            <w:tcW w:w="55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2"/>
          </w:tcPr>
          <w:p>
            <w:pPr>
              <w:jc w:val="center"/>
              <w:ind w:right="440"/>
              <w:spacing w:after="0" w:line="191" w:lineRule="exact"/>
              <w:rPr>
                <w:sz w:val="20"/>
                <w:szCs w:val="20"/>
                <w:color w:val="auto"/>
              </w:rPr>
            </w:pPr>
            <w:r>
              <w:rPr>
                <w:rFonts w:ascii="Times New Roman" w:cs="Times New Roman" w:eastAsia="Times New Roman" w:hAnsi="Times New Roman"/>
                <w:sz w:val="18"/>
                <w:szCs w:val="18"/>
                <w:color w:val="auto"/>
                <w:w w:val="99"/>
              </w:rPr>
              <w:t>Gross</w:t>
            </w:r>
          </w:p>
        </w:tc>
        <w:tc>
          <w:tcPr>
            <w:tcW w:w="1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jc w:val="center"/>
              <w:ind w:right="420"/>
              <w:spacing w:after="0" w:line="191" w:lineRule="exact"/>
              <w:rPr>
                <w:sz w:val="20"/>
                <w:szCs w:val="20"/>
                <w:color w:val="auto"/>
              </w:rPr>
            </w:pPr>
            <w:r>
              <w:rPr>
                <w:rFonts w:ascii="Times New Roman" w:cs="Times New Roman" w:eastAsia="Times New Roman" w:hAnsi="Times New Roman"/>
                <w:sz w:val="18"/>
                <w:szCs w:val="18"/>
                <w:color w:val="auto"/>
                <w:w w:val="99"/>
              </w:rPr>
              <w:t>Gross</w:t>
            </w: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6"/>
        </w:trPr>
        <w:tc>
          <w:tcPr>
            <w:tcW w:w="5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Carrying</w:t>
            </w:r>
          </w:p>
        </w:tc>
        <w:tc>
          <w:tcPr>
            <w:tcW w:w="100" w:type="dxa"/>
            <w:vAlign w:val="bottom"/>
          </w:tcPr>
          <w:p>
            <w:pPr>
              <w:spacing w:after="0"/>
              <w:rPr>
                <w:sz w:val="18"/>
                <w:szCs w:val="18"/>
                <w:color w:val="auto"/>
              </w:rPr>
            </w:pPr>
          </w:p>
        </w:tc>
        <w:tc>
          <w:tcPr>
            <w:tcW w:w="13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w w:val="99"/>
              </w:rPr>
              <w:t>Accumulated</w:t>
            </w:r>
          </w:p>
        </w:tc>
        <w:tc>
          <w:tcPr>
            <w:tcW w:w="200" w:type="dxa"/>
            <w:vAlign w:val="bottom"/>
          </w:tcPr>
          <w:p>
            <w:pPr>
              <w:spacing w:after="0"/>
              <w:rPr>
                <w:sz w:val="18"/>
                <w:szCs w:val="18"/>
                <w:color w:val="auto"/>
              </w:rPr>
            </w:pPr>
          </w:p>
        </w:tc>
        <w:tc>
          <w:tcPr>
            <w:tcW w:w="12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Carrying</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Accumulated</w:t>
            </w:r>
          </w:p>
        </w:tc>
      </w:tr>
      <w:tr>
        <w:trPr>
          <w:trHeight w:val="234"/>
        </w:trPr>
        <w:tc>
          <w:tcPr>
            <w:tcW w:w="5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rPr>
              <w:t>Amount</w:t>
            </w:r>
          </w:p>
        </w:tc>
        <w:tc>
          <w:tcPr>
            <w:tcW w:w="100" w:type="dxa"/>
            <w:vAlign w:val="bottom"/>
          </w:tcPr>
          <w:p>
            <w:pPr>
              <w:spacing w:after="0"/>
              <w:rPr>
                <w:sz w:val="20"/>
                <w:szCs w:val="20"/>
                <w:color w:val="auto"/>
              </w:rPr>
            </w:pPr>
          </w:p>
        </w:tc>
        <w:tc>
          <w:tcPr>
            <w:tcW w:w="13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w w:val="99"/>
              </w:rPr>
              <w:t>Amortization</w:t>
            </w:r>
          </w:p>
        </w:tc>
        <w:tc>
          <w:tcPr>
            <w:tcW w:w="200" w:type="dxa"/>
            <w:vAlign w:val="bottom"/>
          </w:tcPr>
          <w:p>
            <w:pPr>
              <w:spacing w:after="0"/>
              <w:rPr>
                <w:sz w:val="20"/>
                <w:szCs w:val="20"/>
                <w:color w:val="auto"/>
              </w:rPr>
            </w:pPr>
          </w:p>
        </w:tc>
        <w:tc>
          <w:tcPr>
            <w:tcW w:w="12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8"/>
              </w:rPr>
              <w:t>Amount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Amortization</w:t>
            </w:r>
          </w:p>
        </w:tc>
      </w:tr>
      <w:tr>
        <w:trPr>
          <w:trHeight w:val="210"/>
        </w:trPr>
        <w:tc>
          <w:tcPr>
            <w:tcW w:w="5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330,939</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239,563</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627,038</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427,366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0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39,900</w:t>
            </w:r>
          </w:p>
        </w:tc>
        <w:tc>
          <w:tcPr>
            <w:tcW w:w="1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29,588</w:t>
            </w: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80,800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62,111</w:t>
            </w:r>
          </w:p>
        </w:tc>
      </w:tr>
      <w:tr>
        <w:trPr>
          <w:trHeight w:val="216"/>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 licenses</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75,475</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55,861</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74,976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29,876</w:t>
            </w:r>
          </w:p>
        </w:tc>
      </w:tr>
      <w:tr>
        <w:trPr>
          <w:trHeight w:val="216"/>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20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496</w:t>
            </w: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262</w:t>
            </w:r>
          </w:p>
        </w:tc>
      </w:tr>
      <w:tr>
        <w:trPr>
          <w:trHeight w:val="230"/>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IPRD</w:t>
            </w:r>
          </w:p>
        </w:tc>
        <w:tc>
          <w:tcPr>
            <w:tcW w:w="2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9,579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N/A</w:t>
            </w:r>
          </w:p>
        </w:tc>
      </w:tr>
      <w:tr>
        <w:trPr>
          <w:trHeight w:val="223"/>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(1)</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447,014</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325,508</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793,093</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519,615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Amounts include the impact of foreign currency translation.</w:t>
      </w:r>
    </w:p>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At the beginning of each fiscal year, the Company removes the gross asset and accumulated amortization amounts of intangible assets that have reached the end of their useful lives and have been fully amortized. Useful lives are estimated based on the expected economic benefit to be derived from the intangible assets. The gross carrying amounts and accumulated amortization of fully impaired intangible assets are written off at the time of impairment.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color w:val="auto"/>
        </w:rPr>
        <w:t>Qorvo,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intangible assets amortization expense was $111.1 million, $133.6 million and $127.9 million in fiscal years 2026, 2025 and 2024, respectively.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the Company’s estimated amortization expense for intangible assets for the periods indicated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Estimated</w:t>
            </w:r>
          </w:p>
        </w:tc>
      </w:tr>
      <w:tr>
        <w:trPr>
          <w:trHeight w:val="216"/>
        </w:trPr>
        <w:tc>
          <w:tcPr>
            <w:tcW w:w="9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Amortization</w:t>
            </w:r>
          </w:p>
        </w:tc>
      </w:tr>
      <w:tr>
        <w:trPr>
          <w:trHeight w:val="234"/>
        </w:trPr>
        <w:tc>
          <w:tcPr>
            <w:tcW w:w="9780" w:type="dxa"/>
            <w:vAlign w:val="bottom"/>
          </w:tcPr>
          <w:p>
            <w:pPr>
              <w:spacing w:after="0"/>
              <w:rPr>
                <w:sz w:val="20"/>
                <w:szCs w:val="20"/>
                <w:color w:val="auto"/>
              </w:rPr>
            </w:pPr>
            <w:r>
              <w:rPr>
                <w:rFonts w:ascii="Times New Roman" w:cs="Times New Roman" w:eastAsia="Times New Roman" w:hAnsi="Times New Roman"/>
                <w:sz w:val="18"/>
                <w:szCs w:val="18"/>
                <w:color w:val="auto"/>
              </w:rPr>
              <w:t>Fiscal Year</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Expense</w:t>
            </w:r>
          </w:p>
        </w:tc>
      </w:tr>
      <w:tr>
        <w:trPr>
          <w:trHeight w:val="210"/>
        </w:trPr>
        <w:tc>
          <w:tcPr>
            <w:tcW w:w="97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33,000</w:t>
            </w:r>
          </w:p>
        </w:tc>
      </w:tr>
      <w:tr>
        <w:trPr>
          <w:trHeight w:val="216"/>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21,000</w:t>
            </w:r>
          </w:p>
        </w:tc>
      </w:tr>
      <w:tr>
        <w:trPr>
          <w:trHeight w:val="216"/>
        </w:trPr>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9,000</w:t>
            </w:r>
          </w:p>
        </w:tc>
      </w:tr>
      <w:tr>
        <w:trPr>
          <w:trHeight w:val="216"/>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6,000</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 LEASES</w:t>
      </w:r>
    </w:p>
    <w:p>
      <w:pPr>
        <w:spacing w:after="0" w:line="225"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The Company leases certain of its corporate, manufacturing and other facilities from multiple third-party real estate developers. The Company also leases various machinery and office equipment. These operating leases expire at various dates through 2036, and some of these leases have renewal options, with the longest ranging up to two, ten-year periods.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leases are classified in the Consolidated Balance Sheets as follows (in thousands):</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5"/>
        </w:trPr>
        <w:tc>
          <w:tcPr>
            <w:tcW w:w="6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gridSpan w:val="4"/>
          </w:tcPr>
          <w:p>
            <w:pPr>
              <w:jc w:val="center"/>
              <w:ind w:right="160"/>
              <w:spacing w:after="0"/>
              <w:rPr>
                <w:sz w:val="20"/>
                <w:szCs w:val="20"/>
                <w:color w:val="auto"/>
              </w:rPr>
            </w:pPr>
            <w:r>
              <w:rPr>
                <w:rFonts w:ascii="Times New Roman" w:cs="Times New Roman" w:eastAsia="Times New Roman" w:hAnsi="Times New Roman"/>
                <w:sz w:val="18"/>
                <w:szCs w:val="18"/>
                <w:color w:val="auto"/>
                <w:w w:val="99"/>
              </w:rPr>
              <w:t>March 28, 2026</w:t>
            </w:r>
          </w:p>
        </w:tc>
        <w:tc>
          <w:tcPr>
            <w:tcW w:w="60" w:type="dxa"/>
            <w:vAlign w:val="bottom"/>
          </w:tcPr>
          <w:p>
            <w:pPr>
              <w:spacing w:after="0"/>
              <w:rPr>
                <w:sz w:val="24"/>
                <w:szCs w:val="24"/>
                <w:color w:val="auto"/>
              </w:rPr>
            </w:pPr>
          </w:p>
        </w:tc>
        <w:tc>
          <w:tcPr>
            <w:tcW w:w="13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March 29, 2025</w:t>
            </w:r>
          </w:p>
        </w:tc>
      </w:tr>
      <w:tr>
        <w:trPr>
          <w:trHeight w:val="210"/>
        </w:trPr>
        <w:tc>
          <w:tcPr>
            <w:tcW w:w="6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52,397</w:t>
            </w: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58,511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16,468</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16,562</w:t>
            </w:r>
          </w:p>
        </w:tc>
      </w:tr>
      <w:tr>
        <w:trPr>
          <w:trHeight w:val="216"/>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40,615</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45,283</w:t>
            </w:r>
          </w:p>
        </w:tc>
      </w:tr>
      <w:tr>
        <w:trPr>
          <w:trHeight w:val="432"/>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Details of operating leases are as follows (in thousands):</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5"/>
        </w:trPr>
        <w:tc>
          <w:tcPr>
            <w:tcW w:w="6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3"/>
          </w:tcPr>
          <w:p>
            <w:pPr>
              <w:jc w:val="center"/>
              <w:ind w:right="320"/>
              <w:spacing w:after="0"/>
              <w:rPr>
                <w:sz w:val="20"/>
                <w:szCs w:val="20"/>
                <w:color w:val="auto"/>
              </w:rPr>
            </w:pPr>
            <w:r>
              <w:rPr>
                <w:rFonts w:ascii="Times New Roman" w:cs="Times New Roman" w:eastAsia="Times New Roman" w:hAnsi="Times New Roman"/>
                <w:sz w:val="18"/>
                <w:szCs w:val="18"/>
                <w:color w:val="auto"/>
                <w:w w:val="96"/>
              </w:rPr>
              <w:t>Fiscal Year</w:t>
            </w: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68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r>
      <w:tr>
        <w:trPr>
          <w:trHeight w:val="210"/>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expense</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19,020</w:t>
            </w:r>
          </w:p>
        </w:tc>
        <w:tc>
          <w:tcPr>
            <w:tcW w:w="120" w:type="dxa"/>
            <w:vAlign w:val="bottom"/>
            <w:shd w:val="clear" w:color="auto" w:fill="CCEEFF"/>
          </w:tcPr>
          <w:p>
            <w:pPr>
              <w:spacing w:after="0"/>
              <w:rPr>
                <w:sz w:val="18"/>
                <w:szCs w:val="18"/>
                <w:color w:val="auto"/>
              </w:rPr>
            </w:pPr>
          </w:p>
        </w:tc>
        <w:tc>
          <w:tcPr>
            <w:tcW w:w="100" w:type="dxa"/>
            <w:vAlign w:val="bottom"/>
            <w:gridSpan w:val="2"/>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19,172</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21,531</w:t>
            </w:r>
          </w:p>
        </w:tc>
        <w:tc>
          <w:tcPr>
            <w:tcW w:w="100" w:type="dxa"/>
            <w:vAlign w:val="bottom"/>
            <w:shd w:val="clear" w:color="auto" w:fill="CCEEFF"/>
          </w:tcPr>
          <w:p>
            <w:pPr>
              <w:spacing w:after="0"/>
              <w:rPr>
                <w:sz w:val="18"/>
                <w:szCs w:val="18"/>
                <w:color w:val="auto"/>
              </w:rPr>
            </w:pPr>
          </w:p>
        </w:tc>
      </w:tr>
      <w:tr>
        <w:trPr>
          <w:trHeight w:val="216"/>
        </w:trPr>
        <w:tc>
          <w:tcPr>
            <w:tcW w:w="6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lease expense</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6,508</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8,342</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7,359</w:t>
            </w:r>
          </w:p>
        </w:tc>
      </w:tr>
      <w:tr>
        <w:trPr>
          <w:trHeight w:val="216"/>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Variable lease expense</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5,829</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4,243</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5,323</w:t>
            </w:r>
          </w:p>
        </w:tc>
      </w:tr>
      <w:tr>
        <w:trPr>
          <w:trHeight w:val="216"/>
        </w:trPr>
        <w:tc>
          <w:tcPr>
            <w:tcW w:w="6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operating lease liabilities</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19,869</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20,392</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22,471</w:t>
            </w:r>
          </w:p>
        </w:tc>
      </w:tr>
      <w:tr>
        <w:trPr>
          <w:trHeight w:val="216"/>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new operating lease liabilities</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11,953</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14,363</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11,750</w:t>
            </w:r>
          </w:p>
        </w:tc>
      </w:tr>
      <w:tr>
        <w:trPr>
          <w:trHeight w:val="432"/>
        </w:trPr>
        <w:tc>
          <w:tcPr>
            <w:tcW w:w="83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weighted-average remaining lease term and weighted-average discount rate for operating leases are as follows:</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5"/>
        </w:trPr>
        <w:tc>
          <w:tcPr>
            <w:tcW w:w="6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gridSpan w:val="6"/>
          </w:tcPr>
          <w:p>
            <w:pPr>
              <w:jc w:val="right"/>
              <w:ind w:right="300"/>
              <w:spacing w:after="0"/>
              <w:rPr>
                <w:sz w:val="20"/>
                <w:szCs w:val="20"/>
                <w:color w:val="auto"/>
              </w:rPr>
            </w:pPr>
            <w:r>
              <w:rPr>
                <w:rFonts w:ascii="Times New Roman" w:cs="Times New Roman" w:eastAsia="Times New Roman" w:hAnsi="Times New Roman"/>
                <w:sz w:val="18"/>
                <w:szCs w:val="18"/>
                <w:color w:val="auto"/>
              </w:rPr>
              <w:t>March 28, 2026</w:t>
            </w:r>
          </w:p>
        </w:tc>
        <w:tc>
          <w:tcPr>
            <w:tcW w:w="140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March 29, 2025</w:t>
            </w:r>
          </w:p>
        </w:tc>
      </w:tr>
      <w:tr>
        <w:trPr>
          <w:trHeight w:val="210"/>
        </w:trPr>
        <w:tc>
          <w:tcPr>
            <w:tcW w:w="6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(years)</w:t>
            </w: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4"/>
        </w:trPr>
        <w:tc>
          <w:tcPr>
            <w:tcW w:w="6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4.24%</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4.27%</w:t>
            </w:r>
          </w:p>
        </w:tc>
      </w:tr>
      <w:tr>
        <w:trPr>
          <w:trHeight w:val="630"/>
        </w:trPr>
        <w:tc>
          <w:tcPr>
            <w:tcW w:w="6840" w:type="dxa"/>
            <w:vAlign w:val="bottom"/>
            <w:tcBorders>
              <w:bottom w:val="single" w:sz="8" w:color="auto"/>
            </w:tcBorders>
          </w:tcPr>
          <w:p>
            <w:pPr>
              <w:ind w:left="5540"/>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5" w:name="page26"/>
    <w:bookmarkEnd w:id="2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40" w:type="dxa"/>
            <w:vAlign w:val="bottom"/>
          </w:tcPr>
          <w:p>
            <w:pPr>
              <w:ind w:left="4600"/>
              <w:spacing w:after="0"/>
              <w:rPr>
                <w:sz w:val="20"/>
                <w:szCs w:val="20"/>
                <w:color w:val="auto"/>
              </w:rPr>
            </w:pPr>
            <w:r>
              <w:rPr>
                <w:rFonts w:ascii="Times New Roman" w:cs="Times New Roman" w:eastAsia="Times New Roman" w:hAnsi="Times New Roman"/>
                <w:sz w:val="18"/>
                <w:szCs w:val="18"/>
                <w:color w:val="auto"/>
              </w:rPr>
              <w:t>Qorvo, Inc. and Subsidiaries</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140" w:type="dxa"/>
            <w:vAlign w:val="bottom"/>
          </w:tcPr>
          <w:p>
            <w:pPr>
              <w:ind w:left="3620"/>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The aggregate future lease payments for operating leases as of March 28, 2026 are as follows (in thousands):</w:t>
            </w: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8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Fiscal Year</w:t>
            </w:r>
          </w:p>
        </w:tc>
        <w:tc>
          <w:tcPr>
            <w:tcW w:w="3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9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18,224</w:t>
            </w:r>
          </w:p>
        </w:tc>
        <w:tc>
          <w:tcPr>
            <w:tcW w:w="0" w:type="dxa"/>
            <w:vAlign w:val="bottom"/>
          </w:tcPr>
          <w:p>
            <w:pPr>
              <w:spacing w:after="0"/>
              <w:rPr>
                <w:sz w:val="1"/>
                <w:szCs w:val="1"/>
                <w:color w:val="auto"/>
              </w:rPr>
            </w:pPr>
          </w:p>
        </w:tc>
      </w:tr>
      <w:tr>
        <w:trPr>
          <w:trHeight w:val="216"/>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15,677</w:t>
            </w: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9,735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5,544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2031</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4,306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10,320</w:t>
            </w:r>
          </w:p>
        </w:tc>
        <w:tc>
          <w:tcPr>
            <w:tcW w:w="0" w:type="dxa"/>
            <w:vAlign w:val="bottom"/>
          </w:tcPr>
          <w:p>
            <w:pPr>
              <w:spacing w:after="0"/>
              <w:rPr>
                <w:sz w:val="1"/>
                <w:szCs w:val="1"/>
                <w:color w:val="auto"/>
              </w:rPr>
            </w:pPr>
          </w:p>
        </w:tc>
      </w:tr>
      <w:tr>
        <w:trPr>
          <w:trHeight w:val="210"/>
        </w:trPr>
        <w:tc>
          <w:tcPr>
            <w:tcW w:w="8140" w:type="dxa"/>
            <w:vAlign w:val="bottom"/>
            <w:tcBorders>
              <w:top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future lease payments</w:t>
            </w: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63,806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(6,723)</w:t>
            </w:r>
          </w:p>
        </w:tc>
        <w:tc>
          <w:tcPr>
            <w:tcW w:w="0" w:type="dxa"/>
            <w:vAlign w:val="bottom"/>
          </w:tcPr>
          <w:p>
            <w:pPr>
              <w:spacing w:after="0"/>
              <w:rPr>
                <w:sz w:val="1"/>
                <w:szCs w:val="1"/>
                <w:color w:val="auto"/>
              </w:rPr>
            </w:pPr>
          </w:p>
        </w:tc>
      </w:tr>
      <w:tr>
        <w:trPr>
          <w:trHeight w:val="223"/>
        </w:trPr>
        <w:tc>
          <w:tcPr>
            <w:tcW w:w="814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57,083</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9. DEBT</w:t>
            </w: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1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summarizes the Company’s outstanding debt (in thousands):</w:t>
            </w: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8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March 28, 2026</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March 29, 2025</w:t>
            </w:r>
          </w:p>
        </w:tc>
        <w:tc>
          <w:tcPr>
            <w:tcW w:w="0" w:type="dxa"/>
            <w:vAlign w:val="bottom"/>
          </w:tcPr>
          <w:p>
            <w:pPr>
              <w:spacing w:after="0"/>
              <w:rPr>
                <w:sz w:val="1"/>
                <w:szCs w:val="1"/>
                <w:color w:val="auto"/>
              </w:rPr>
            </w:pPr>
          </w:p>
        </w:tc>
      </w:tr>
      <w:tr>
        <w:trPr>
          <w:trHeight w:val="210"/>
        </w:trPr>
        <w:tc>
          <w:tcPr>
            <w:tcW w:w="8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4.375% senior notes due 2029</w:t>
            </w: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850,000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gridSpan w:val="2"/>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850,000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3.375% senior notes due 2031</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700,000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700,000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Unamortized premium and issuance costs, net</w:t>
            </w:r>
          </w:p>
        </w:tc>
        <w:tc>
          <w:tcPr>
            <w:tcW w:w="3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(846)</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(785)</w:t>
            </w:r>
          </w:p>
        </w:tc>
        <w:tc>
          <w:tcPr>
            <w:tcW w:w="0" w:type="dxa"/>
            <w:vAlign w:val="bottom"/>
          </w:tcPr>
          <w:p>
            <w:pPr>
              <w:spacing w:after="0"/>
              <w:rPr>
                <w:sz w:val="1"/>
                <w:szCs w:val="1"/>
                <w:color w:val="auto"/>
              </w:rPr>
            </w:pPr>
          </w:p>
        </w:tc>
      </w:tr>
      <w:tr>
        <w:trPr>
          <w:trHeight w:val="223"/>
        </w:trPr>
        <w:tc>
          <w:tcPr>
            <w:tcW w:w="8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long-term debt</w:t>
            </w:r>
          </w:p>
        </w:tc>
        <w:tc>
          <w:tcPr>
            <w:tcW w:w="300" w:type="dxa"/>
            <w:vAlign w:val="bottom"/>
          </w:tcPr>
          <w:p>
            <w:pPr>
              <w:spacing w:after="0"/>
              <w:rPr>
                <w:sz w:val="19"/>
                <w:szCs w:val="19"/>
                <w:color w:val="auto"/>
              </w:rPr>
            </w:pP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1,549,154</w:t>
            </w:r>
          </w:p>
        </w:tc>
        <w:tc>
          <w:tcPr>
            <w:tcW w:w="100" w:type="dxa"/>
            <w:vAlign w:val="bottom"/>
          </w:tcPr>
          <w:p>
            <w:pPr>
              <w:spacing w:after="0"/>
              <w:rPr>
                <w:sz w:val="19"/>
                <w:szCs w:val="19"/>
                <w:color w:val="auto"/>
              </w:rPr>
            </w:pPr>
          </w:p>
        </w:tc>
        <w:tc>
          <w:tcPr>
            <w:tcW w:w="140" w:type="dxa"/>
            <w:vAlign w:val="bottom"/>
            <w:gridSpan w:val="2"/>
          </w:tcPr>
          <w:p>
            <w:pPr>
              <w:spacing w:after="0"/>
              <w:rPr>
                <w:sz w:val="19"/>
                <w:szCs w:val="19"/>
                <w:color w:val="auto"/>
              </w:rPr>
            </w:pPr>
          </w:p>
        </w:tc>
        <w:tc>
          <w:tcPr>
            <w:tcW w:w="280" w:type="dxa"/>
            <w:vAlign w:val="bottom"/>
            <w:tcBorders>
              <w:top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1,549,215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Agreement</w:t>
      </w:r>
    </w:p>
    <w:p>
      <w:pPr>
        <w:spacing w:after="0" w:line="22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On April 23, 2024, the Company entered into a five-year unsecured senior credit facility pursuant to a credit agreement with Bank of America, N.A., as administrative agent, swing line lender and letter of credit issuer and a syndicate of lenders (the “Credit Agreement”), which replaced the previous credit agreement dated as of September 29, 2020. The Credit Agreement provides for a $325.0 million senior revolving line of credit (the “Revolving Facility”). Up to $25.0 million of the Revolving Facility may be used for the issuance of standby letters of credit, and up to $10.0 million of the Revolving Facility may be used for swing line advances (i.e., short-term borrowings made available from the lead lender). The Company may request at any time that the Revolving Facility be increased by up to $325.0 million, subject to securing additional funding commitments from existing or new lenders. The Revolving Facility is available to finance working capital, capital expenditures and other lawful corporate purposes. The initial maturity date of the Revolving Facility is April 23, 2029, which may be extended by up to two years by exercising extension options provided in the Credit Agreement.</w:t>
      </w:r>
    </w:p>
    <w:p>
      <w:pPr>
        <w:spacing w:after="0" w:line="192"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At the Company’s option, loans under the Credit Agreement bear interest at (i) the Applicable Rate (as defined in the Credit Agreement) plus Term SOFR (as defined in the Credit Agreement) or (ii) the Applicable Rate plus a rate equal to the highest of (a) the federal funds rate plus 0.50%, (b) the prime rate of Bank of America, N.A., or (c) Term SOFR plus 1.00% (the “Base Rate”). All swing line loans bear interest at a rate equal to the Applicable Rate plus the Base Rate. Term SOFR is the rate per annum equal to the forward-looking SOFR term rate for interest periods of one, three or six months, as selected by the Company, plus an adjustment of 0.10%. The Applicable Rate is determined by reference to a pricing grid based on the Consolidated Leverage Ratio (as defined in the Credit Agreement) or, at the option of the Company, the Debt Rating (as defined in the Credit Agreement). The Applicable Rate for Term SOFR loans ranges from 1.000% per annum to 1.750% per annum and the Applicable Rate for Base Rate loans ranges from 0.000% per annum to 0.750% per annum. Undrawn amounts under the Revolving Facility are subject to a commitment fee ranging from 0.125% to 0.275%. Interest for Term SOFR loans is payable at the end of each applicable interest period or at three-month intervals, if such interest period exceeds three months. Interest for Base Rate loans is payable quarterly in arrears. The Company pays a letter of credit fee equal to the Applicable Rate multiplied by the daily amount available to be drawn under any letter of credit, a fronting fee and any customary documentary and processing charges for any letter of credit issued under the Credit Agreement.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fiscal 2026, there were no borrowings under the Revolving Facility.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 w:name="page27"/>
    <w:bookmarkEnd w:id="26"/>
    <w:p>
      <w:pPr>
        <w:jc w:val="center"/>
        <w:ind w:right="-19"/>
        <w:spacing w:after="0"/>
        <w:rPr>
          <w:sz w:val="20"/>
          <w:szCs w:val="20"/>
          <w:color w:val="auto"/>
        </w:rPr>
      </w:pPr>
      <w:r>
        <w:rPr>
          <w:rFonts w:ascii="Times New Roman" w:cs="Times New Roman" w:eastAsia="Times New Roman" w:hAnsi="Times New Roman"/>
          <w:sz w:val="18"/>
          <w:szCs w:val="18"/>
          <w:color w:val="auto"/>
        </w:rPr>
        <w:t>Qorvo, Inc. and Subsidiaries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Credit Agreement contains various conditions, covenants and representations with which the Company must be in compliance in order to borrow funds and to avoid an event of default. As of March 28, 2026, the Company was in compliance with these covenants.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Notes due 2024</w:t>
      </w:r>
    </w:p>
    <w:p>
      <w:pPr>
        <w:spacing w:after="0" w:line="22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On December 14, 2021, the Company issued $500.0 million aggregate principal amount of its 1.750% senior notes due 2024 (the “2024 Notes”). The Company repurchased $27.3 million and $60.3 million of the principal amount of the 2024 Notes in fiscal years 2025 and 2024, respectively, plus accrued and unpaid interest, on the open market, and recognized net gains on debt extinguishment of $0.6 million and $1.8 million in fiscal years 2025 and 2024, respectively, which is included in “Other income, net” in the Consolidated Statements of Operations. The Company repaid the remaining principal balance of $412.5 million of the 2024 Notes, plus accrued and unpaid interest, with cash on hand upon maturity in December 2024.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paid on the 2024 Notes during fiscal years 2025 and 2024 was $7.2 million and $8.6 million, respectively.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Notes due 2029</w:t>
      </w:r>
    </w:p>
    <w:p>
      <w:pPr>
        <w:spacing w:after="0" w:line="22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September 30, 2019, the Company issued $350.0 million aggregate principal amount of its 4.375% senior notes due 2029 (the “Initial 2029 Notes”). On December 20, 2019 and June 11, 2020, the Company issued an additional $200.0 million and $300.0 million, respectively, aggregate principal amount of such notes (together, the “Additional 2029 Notes” and collectively with the Initial 2029 Notes, the “2029 Notes”). The 2029 Notes will mature on October 15, 2029, unless earlier redeemed in accordance with their terms. The 2029 Notes are senior unsecured obligations of the Company and are guaranteed, jointly and severally, by certain of the Company’s U.S. subsidiaries (the “Guarantors”).</w:t>
      </w:r>
    </w:p>
    <w:p>
      <w:pPr>
        <w:spacing w:after="0" w:line="18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Initial 2029 Notes were issued pursuant to an indenture, dated as of September 30, 2019, by and among the Company, the Guarantors and MUFG Union Bank, N.A., as trustee, and the Additional 2029 Notes were issued pursuant to supplemental indentures, dated as of December 20, 2019 and June 11, 2020 (such indenture and supplemental indentures, collectively, the “2019 Indenture”). The Company may redeem the 2029 Notes, in whole or in part, at the redemption prices specified in the 2019 Indenture, plus accrued and unpaid interest. The 2019 Indenture contains customary events of default, including payment default, exchange default, failure to provide certain notices thereunder and certain provisions related to bankruptcy events. The 2019 Indenture also contains customary negative covenants.</w:t>
      </w:r>
    </w:p>
    <w:p>
      <w:pPr>
        <w:spacing w:after="0" w:line="187"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Interest is payable on the 2029 Notes on April 15 and October 15 of each year. Interest paid on the 2029 Notes during each of the fiscal years 2026, 2025 and 2024 was $37.2 million.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Notes due 2031</w:t>
      </w:r>
    </w:p>
    <w:p>
      <w:pPr>
        <w:spacing w:after="0" w:line="22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On September 29, 2020, the Company issued $700.0 million aggregate principal amount of its 3.375% senior notes due 2031 (the “2031 Notes”). The 2031 Notes will mature on April 1, 2031, unless earlier redeemed in accordance with their terms. The 2031 Notes are senior unsecured obligations of the Company and are guaranteed, jointly and severally, by the Guarantors.</w:t>
      </w:r>
    </w:p>
    <w:p>
      <w:pPr>
        <w:spacing w:after="0" w:line="176"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2031 Notes were issued pursuant to an indenture, dated as of September 29, 2020, by and among the Company, the Guarantors and MUFG Union Bank, N.A., as trustee (the “2020 Indenture”). The Company may redeem the 2031 Notes, in whole or in part, at the redemption prices specified in the 2020 Indenture, plus accrued and unpaid interest. The 2020 Indenture contains substantially the same customary events of default and negative covenants as the 2019 Indenture.</w:t>
      </w:r>
    </w:p>
    <w:p>
      <w:pPr>
        <w:spacing w:after="0" w:line="180"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The 2031 Notes have not been and will not be registered under the Securities Act of 1933, as amended (the “Securities Act”), or any state securities laws, and may not be offered or sold in the United States absent an applicable exemption from the registration requirements of the Securities Act and applicable state securities laws.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7" w:name="page28"/>
    <w:bookmarkEnd w:id="27"/>
    <w:p>
      <w:pPr>
        <w:jc w:val="center"/>
        <w:ind w:right="-19"/>
        <w:spacing w:after="0"/>
        <w:rPr>
          <w:sz w:val="20"/>
          <w:szCs w:val="20"/>
          <w:color w:val="auto"/>
        </w:rPr>
      </w:pPr>
      <w:r>
        <w:rPr>
          <w:rFonts w:ascii="Times New Roman" w:cs="Times New Roman" w:eastAsia="Times New Roman" w:hAnsi="Times New Roman"/>
          <w:sz w:val="18"/>
          <w:szCs w:val="18"/>
          <w:color w:val="auto"/>
        </w:rPr>
        <w:t>Qorvo, Inc. and Subsidiaries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7"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Interest is payable on the 2031 Notes on April 1 and October 1 of each year. Interest paid on the 2031 Notes during fiscal years 2026, 2025 and 2024 was $23.6 million, $23.6 million and $11.8 million, respectively.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Debt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debt is carried at amortized cost and is measured at fair value quarterly for disclosure purposes. The estimated fair value of the 2029 Notes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the 2031 Notes as of March 28, 2026 was $829.4 million and $629.5 million, respectively (compared to the outstanding principal amount of $850.0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and $700.0 million, respectively). The estimated fair value of the 2029 Notes and the 2031 Notes as of March 29, 2025 was $812.8 million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$613.5 million, respectively (compared to the outstanding principal amount of $850.0 million and $700.0 million, respectively). The Company considers its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debt to be Level 2 in the fair value hierarchy. Fair values are estimated based on quoted market prices for identical or similar instruments. The 2029 Notes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the 2031 Notes currently trade over-the-counter, and the fair values were estimated based upon the value of the last trade at the end of the period.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2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During fiscal 2026, the Company recognized $76.5 million of interest expense primarily related to the 2029 Notes and the 2031 Notes, which was partially offset by $3.3 million of interest capitalized to property and equipment. During fiscal 2025, the Company recognized $82.2 million of interest expense primarily related to the 2024 Notes, the 2029 Notes and the 2031 Notes, which was partially offset by $3.9 million of interest capitalized to property and equipment. Interest expense in fiscal years 2026 and 2025 also includes financing costs related to certain inventory (subject to repurchase) in connection with a supply agreement. During fiscal 2024, the Company recognized $72.1 million of interest expense primarily related to the 2024 Notes, the 2029 Notes and the 2031 Notes, which was partially offset by $2.9 million of interest capitalized to property and equipment.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 RETIREMENT BENEFIT PLANS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Defined Contribution Plans</w:t>
      </w:r>
    </w:p>
    <w:p>
      <w:pPr>
        <w:spacing w:after="0" w:line="22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offers tax-beneficial retirement contribution plans to eligible employees in the U.S. and certain other countries. Eligible employees in certain countries outside of the U.S. are eligible to participate in stakeholder, group, or national pension plans with differing eligibility and contributory requirements based on local and national regulations. U.S. employees are eligible to participate in the Company’s fully qualified 401(k) plan 30 days after their date of hire. An employee may contribute and invest pretax and/or Roth dollars into the 401(k) plan up to the maximum legal limits (as defined by federal regulations). Employer contributions to the 401(k) plan are made at the discretion of the Company’s Board of Directors. Employees are immediately vested in their own contributions as well as employer matching contributions.</w:t>
      </w:r>
    </w:p>
    <w:p>
      <w:pPr>
        <w:spacing w:after="0" w:line="187"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 total, the Company contributed $23.2 million, $23.5 million and $20.3 million to its domestic and foreign defined contribution plans during fiscal years 2026, 2025 and 2024, respectively.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Defined Benefit Pension Plans</w:t>
      </w:r>
    </w:p>
    <w:p>
      <w:pPr>
        <w:spacing w:after="0" w:line="227"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Company maintains two qualified defined benefit pension plans for its subsidiaries located in Germany. One of the plans is funded through a self-paid reinsurance program with assets valued at $3.8 million as of March 28, 2026 and March 29, 2025 (included in “Other non-current assets” in the Consolidated Balance Sheets). The pension benefit obligations of the Company’s plans totaled $9.4 million and $9.2 million as of March 28, 2026 and March 29, 2025, respectively, which is included in “Accrued liabilities” and “Other long-term liabilities” in the Consolidated Balance Sheets. The benefit obligations for the plans are calculated annually by an independent actuary and require the use of significant judgment including assumptions based on local economic conditions. The net periodic benefit cost was approximately $0.5 million for fiscal years 2026, 2025 and 2024.</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8" w:name="page29"/>
    <w:bookmarkEnd w:id="28"/>
    <w:p>
      <w:pPr>
        <w:jc w:val="center"/>
        <w:ind w:right="-19"/>
        <w:spacing w:after="0"/>
        <w:rPr>
          <w:sz w:val="20"/>
          <w:szCs w:val="20"/>
          <w:color w:val="auto"/>
        </w:rPr>
      </w:pPr>
      <w:r>
        <w:rPr>
          <w:rFonts w:ascii="Times New Roman" w:cs="Times New Roman" w:eastAsia="Times New Roman" w:hAnsi="Times New Roman"/>
          <w:sz w:val="18"/>
          <w:szCs w:val="18"/>
          <w:color w:val="auto"/>
        </w:rPr>
        <w:t>Qorvo, Inc. and Subsidiaries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Non-Qualified Deferred Compensation Plan</w:t>
      </w:r>
    </w:p>
    <w:p>
      <w:pPr>
        <w:spacing w:after="0" w:line="22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Certain employees and members of the Board of Directors are eligible to participate in the Company’s Non-Qualified Deferred Compensation Plan (the “NQDC Plan”). The NQDC Plan provides eligible participants the opportunity to defer and invest a specified percentage of their cash compensation. The NQDC Plan is a non-qualified plan that is maintained in a rabbi trust, which restricts the Company’s use and access to the assets held but is subject to the claims of the Company’s general creditors in the event that the Company becomes insolvent. The amount of compensation to be deferred by each participant is based on their own elections and is adjusted for any investment changes that the participant directs. This plan does not provide for employer contributions. The deferred compensation obligation and the fair value of the investments held in the rabbi trust were $66.4 million and $58.4 million as of March 28, 2026 and March 29, 2025, respectively. The current portion of the deferred compensation obligation and fair value of the assets held in the rabbi trust were $3.9 million and $2.9 million as of March 28, 2026 and March 29, 2025, respectively, and are included in “Other current assets” and “Accrued liabilities” in the Consolidated Balance Sheets. The non-current portion of the deferred compensation obligation and fair value of the assets held in the rabbi trust were $62.5 million and $55.5 million as of March 28, 2026 and March 29, 2025, respectively, and are included in “Other non-current assets” and “Other long-term liabilities” in the Consolidated Balance Sheets. Fluctuations in the market value of the investments held in the rabbi trust result in the recognition of an investment gain or loss and deferred compensation expense or income. The change in the market value of the assets and the corresponding deferred compensation expense are recognized in “Other income, net” and “Other operating expenses,” respectively, in the Consolidated Statements of Operations.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 COMMITMENTS AND CONTINGENT LIABILITIES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Purchase Obligations</w:t>
      </w:r>
    </w:p>
    <w:p>
      <w:pPr>
        <w:spacing w:after="0" w:line="227"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The Company’s purchase obligations include noncancelable purchases of materials, manufacturing services and equipment and software, with the majority of payments due within the next 12 months. The majority of noncancelable purchase obligations are not recorded as liabilities in the Consolidated Balance Sheet because the Company has not received the related goods or services as of March 28, 2026.</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Matters</w:t>
      </w:r>
    </w:p>
    <w:p>
      <w:pPr>
        <w:spacing w:after="0" w:line="22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Company is involved in various legal proceedings and claims that have arisen in the ordinary course of business that have not been fully adjudicated. The Company accrues a liability for legal contingencies when it believes that it is both probable that a liability has been incurred, and the amount of the loss can be reasonably estimated. The Company regularly evaluates developments in its legal matters that could affect the amount of the previously accrued liability and records adjustments as appropriate. Although it is not possible to predict with certainty the outcome of the unresolved legal matters, it is the opinion of management that these matters will not, individually or in the aggregate, have a material adverse effect on the Company’s consolidated financial position or results of operations. The aggregate range of reasonably possible losses in excess of accrued liabilities, if any, associated with these unresolved legal matters is not material.</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 RESTRUCTURING</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2026 Restructuring Initiatives</w:t>
      </w:r>
    </w:p>
    <w:p>
      <w:pPr>
        <w:spacing w:after="0" w:line="227"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In the second quarter of fiscal 2026, the Company initiated further actions to reduce operating expenses, streamline its manufacturing footprint and accelerate its focus on long-term profitability objectives (the “2026 Restructuring Initiatives”). As part of these actions, the Company decided to close its North Carolina fabrication facility and transfer surface acoustic wave filter production to its Texas fabrication facility. In the fourth quarter of fiscal 2026, the Company completed the sale of its North Carolina fabrication facility for net proceeds of $36.8 million, resulting in a net gain on sale of $7.9 million, and is operating under a short-term supply agreement with the buyer until the Company completes the transfer of SAW filter production to its Texas facility. In addition, the Company consolidated the CSG organizational structure as it continues to align total Company resources, improve efficiency and narrow its focus on a higher margin portfolio.</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color w:val="auto"/>
        </w:rPr>
        <w:t>Qorvo,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following table summarizes the charges resulting from the 2026 Restructuring Initiatives (in thousands):</w:t>
            </w:r>
          </w:p>
        </w:tc>
        <w:tc>
          <w:tcPr>
            <w:tcW w:w="1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46"/>
        </w:trPr>
        <w:tc>
          <w:tcPr>
            <w:tcW w:w="58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2"/>
          </w:tcPr>
          <w:p>
            <w:pPr>
              <w:jc w:val="right"/>
              <w:ind w:right="980"/>
              <w:spacing w:after="0"/>
              <w:rPr>
                <w:sz w:val="20"/>
                <w:szCs w:val="20"/>
                <w:color w:val="auto"/>
              </w:rPr>
            </w:pPr>
            <w:r>
              <w:rPr>
                <w:rFonts w:ascii="Times New Roman" w:cs="Times New Roman" w:eastAsia="Times New Roman" w:hAnsi="Times New Roman"/>
                <w:sz w:val="18"/>
                <w:szCs w:val="18"/>
                <w:color w:val="auto"/>
              </w:rPr>
              <w:t>Fiscal 2026</w:t>
            </w: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23"/>
        </w:trPr>
        <w:tc>
          <w:tcPr>
            <w:tcW w:w="5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Cost of Goods Sold</w:t>
            </w:r>
          </w:p>
        </w:tc>
        <w:tc>
          <w:tcPr>
            <w:tcW w:w="2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Operating Expense</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gridSpan w:val="2"/>
          </w:tcPr>
          <w:p>
            <w:pPr>
              <w:spacing w:after="0"/>
              <w:rPr>
                <w:sz w:val="19"/>
                <w:szCs w:val="19"/>
                <w:color w:val="auto"/>
              </w:rPr>
            </w:pPr>
          </w:p>
        </w:tc>
      </w:tr>
      <w:tr>
        <w:trPr>
          <w:trHeight w:val="210"/>
        </w:trPr>
        <w:tc>
          <w:tcPr>
            <w:tcW w:w="5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termination and other costs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7,400</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4,162</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 impairment costs and gain on sale (1)</w:t>
            </w:r>
          </w:p>
        </w:tc>
        <w:tc>
          <w:tcPr>
            <w:tcW w:w="140" w:type="dxa"/>
            <w:vAlign w:val="bottom"/>
          </w:tcPr>
          <w:p>
            <w:pPr>
              <w:spacing w:after="0"/>
              <w:rPr>
                <w:sz w:val="18"/>
                <w:szCs w:val="18"/>
                <w:color w:val="auto"/>
              </w:rPr>
            </w:pPr>
          </w:p>
        </w:tc>
        <w:tc>
          <w:tcPr>
            <w:tcW w:w="1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(6,131)</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(6,131)</w:t>
            </w:r>
          </w:p>
        </w:tc>
      </w:tr>
      <w:tr>
        <w:trPr>
          <w:trHeight w:val="229"/>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One-time employee termination benefits</w:t>
            </w:r>
          </w:p>
        </w:tc>
        <w:tc>
          <w:tcPr>
            <w:tcW w:w="14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37,086</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37,086</w:t>
            </w:r>
          </w:p>
        </w:tc>
        <w:tc>
          <w:tcPr>
            <w:tcW w:w="80" w:type="dxa"/>
            <w:vAlign w:val="bottom"/>
            <w:shd w:val="clear" w:color="auto" w:fill="CCEEFF"/>
          </w:tcPr>
          <w:p>
            <w:pPr>
              <w:spacing w:after="0"/>
              <w:rPr>
                <w:sz w:val="19"/>
                <w:szCs w:val="19"/>
                <w:color w:val="auto"/>
              </w:rPr>
            </w:pPr>
          </w:p>
        </w:tc>
      </w:tr>
      <w:tr>
        <w:trPr>
          <w:trHeight w:val="223"/>
        </w:trPr>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7,400</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35,117</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42,517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“Other Operating Expense” includes a gain on sale of the North Carolina fabrication facility.</w:t>
      </w:r>
    </w:p>
    <w:p>
      <w:pPr>
        <w:spacing w:after="0" w:line="225"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 Company expects to incur additional charges associated with the 2026 Restructuring Initiatives of approximately $10.0 million to $20.0 million, primarily related to employee termination benefits.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liability activity related to the 2026 Restructuring Initiative (in thousands):</w:t>
      </w:r>
    </w:p>
    <w:p>
      <w:pPr>
        <w:sectPr>
          <w:pgSz w:w="11900" w:h="16838" w:orient="portrait"/>
          <w:cols w:equalWidth="0" w:num="1">
            <w:col w:w="11240"/>
          </w:cols>
          <w:pgMar w:left="320" w:top="90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80" w:right="860" w:hanging="145"/>
        <w:spacing w:after="0" w:line="261" w:lineRule="auto"/>
        <w:rPr>
          <w:sz w:val="20"/>
          <w:szCs w:val="20"/>
          <w:color w:val="auto"/>
        </w:rPr>
      </w:pPr>
      <w:r>
        <w:rPr>
          <w:rFonts w:ascii="Times New Roman" w:cs="Times New Roman" w:eastAsia="Times New Roman" w:hAnsi="Times New Roman"/>
          <w:sz w:val="18"/>
          <w:szCs w:val="18"/>
          <w:color w:val="auto"/>
        </w:rPr>
        <w:t>Accrued restructuring balance as of March 29, 2025 Costs incurred and charged to expense</w:t>
      </w:r>
    </w:p>
    <w:p>
      <w:pPr>
        <w:ind w:left="180"/>
        <w:spacing w:after="0"/>
        <w:rPr>
          <w:sz w:val="20"/>
          <w:szCs w:val="20"/>
          <w:color w:val="auto"/>
        </w:rPr>
      </w:pPr>
      <w:r>
        <w:rPr>
          <w:rFonts w:ascii="Times New Roman" w:cs="Times New Roman" w:eastAsia="Times New Roman" w:hAnsi="Times New Roman"/>
          <w:sz w:val="18"/>
          <w:szCs w:val="18"/>
          <w:color w:val="auto"/>
        </w:rPr>
        <w:t>Cash payments</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Accrued restructuring balance as of March 28, 2026</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w w:val="98"/>
              </w:rPr>
              <w:t>One-Time Employee</w:t>
            </w:r>
          </w:p>
        </w:tc>
        <w:tc>
          <w:tcPr>
            <w:tcW w:w="25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Contract Termination and Other</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Termination Benefits</w:t>
            </w:r>
          </w:p>
        </w:tc>
        <w:tc>
          <w:tcPr>
            <w:tcW w:w="540" w:type="dxa"/>
            <w:vAlign w:val="bottom"/>
          </w:tcPr>
          <w:p>
            <w:pPr>
              <w:spacing w:after="0"/>
              <w:rPr>
                <w:sz w:val="20"/>
                <w:szCs w:val="20"/>
                <w:color w:val="auto"/>
              </w:rPr>
            </w:pPr>
          </w:p>
        </w:tc>
        <w:tc>
          <w:tcPr>
            <w:tcW w:w="2020" w:type="dxa"/>
            <w:vAlign w:val="bottom"/>
            <w:gridSpan w:val="2"/>
          </w:tcPr>
          <w:p>
            <w:pPr>
              <w:jc w:val="right"/>
              <w:ind w:right="1180"/>
              <w:spacing w:after="0"/>
              <w:rPr>
                <w:sz w:val="20"/>
                <w:szCs w:val="20"/>
                <w:color w:val="auto"/>
              </w:rPr>
            </w:pPr>
            <w:r>
              <w:rPr>
                <w:rFonts w:ascii="Times New Roman" w:cs="Times New Roman" w:eastAsia="Times New Roman" w:hAnsi="Times New Roman"/>
                <w:sz w:val="18"/>
                <w:szCs w:val="18"/>
                <w:color w:val="auto"/>
              </w:rPr>
              <w:t>Costs</w:t>
            </w:r>
          </w:p>
        </w:tc>
        <w:tc>
          <w:tcPr>
            <w:tcW w:w="260" w:type="dxa"/>
            <w:vAlign w:val="bottom"/>
          </w:tcPr>
          <w:p>
            <w:pPr>
              <w:spacing w:after="0"/>
              <w:rPr>
                <w:sz w:val="20"/>
                <w:szCs w:val="20"/>
                <w:color w:val="auto"/>
              </w:rPr>
            </w:pPr>
          </w:p>
        </w:tc>
        <w:tc>
          <w:tcPr>
            <w:tcW w:w="102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Total</w:t>
            </w:r>
          </w:p>
        </w:tc>
      </w:tr>
      <w:tr>
        <w:trPr>
          <w:trHeight w:val="191"/>
        </w:trPr>
        <w:tc>
          <w:tcPr>
            <w:tcW w:w="20" w:type="dxa"/>
            <w:vAlign w:val="bottom"/>
          </w:tcPr>
          <w:p>
            <w:pPr>
              <w:spacing w:after="0"/>
              <w:rPr>
                <w:sz w:val="16"/>
                <w:szCs w:val="16"/>
                <w:color w:val="auto"/>
              </w:rPr>
            </w:pPr>
          </w:p>
        </w:tc>
        <w:tc>
          <w:tcPr>
            <w:tcW w:w="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6"/>
                <w:szCs w:val="16"/>
                <w:color w:val="auto"/>
              </w:rPr>
            </w:pPr>
          </w:p>
        </w:tc>
        <w:tc>
          <w:tcPr>
            <w:tcW w:w="5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6"/>
                <w:szCs w:val="16"/>
                <w:color w:val="auto"/>
              </w:rPr>
            </w:pPr>
          </w:p>
        </w:tc>
        <w:tc>
          <w:tcPr>
            <w:tcW w:w="260" w:type="dxa"/>
            <w:vAlign w:val="bottom"/>
            <w:tcBorders>
              <w:top w:val="single" w:sz="8" w:color="auto"/>
            </w:tcBorders>
          </w:tcPr>
          <w:p>
            <w:pPr>
              <w:jc w:val="right"/>
              <w:ind w:right="9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gridSpan w:val="2"/>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37,086</w:t>
            </w:r>
          </w:p>
        </w:tc>
        <w:tc>
          <w:tcPr>
            <w:tcW w:w="540" w:type="dxa"/>
            <w:vAlign w:val="bottom"/>
          </w:tcPr>
          <w:p>
            <w:pPr>
              <w:spacing w:after="0"/>
              <w:rPr>
                <w:sz w:val="18"/>
                <w:szCs w:val="18"/>
                <w:color w:val="auto"/>
              </w:rPr>
            </w:pPr>
          </w:p>
        </w:tc>
        <w:tc>
          <w:tcPr>
            <w:tcW w:w="2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11,562</w:t>
            </w:r>
          </w:p>
        </w:tc>
        <w:tc>
          <w:tcPr>
            <w:tcW w:w="2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48,648</w:t>
            </w:r>
          </w:p>
        </w:tc>
        <w:tc>
          <w:tcPr>
            <w:tcW w:w="40" w:type="dxa"/>
            <w:vAlign w:val="bottom"/>
          </w:tcPr>
          <w:p>
            <w:pPr>
              <w:spacing w:after="0"/>
              <w:rPr>
                <w:sz w:val="18"/>
                <w:szCs w:val="18"/>
                <w:color w:val="auto"/>
              </w:rPr>
            </w:pPr>
          </w:p>
        </w:tc>
      </w:tr>
      <w:tr>
        <w:trPr>
          <w:trHeight w:val="248"/>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(17,230)</w:t>
            </w:r>
          </w:p>
        </w:tc>
        <w:tc>
          <w:tcPr>
            <w:tcW w:w="540" w:type="dxa"/>
            <w:vAlign w:val="bottom"/>
          </w:tcPr>
          <w:p>
            <w:pPr>
              <w:spacing w:after="0"/>
              <w:rPr>
                <w:sz w:val="21"/>
                <w:szCs w:val="21"/>
                <w:color w:val="auto"/>
              </w:rPr>
            </w:pPr>
          </w:p>
        </w:tc>
        <w:tc>
          <w:tcPr>
            <w:tcW w:w="2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(2,069)</w:t>
            </w:r>
          </w:p>
        </w:tc>
        <w:tc>
          <w:tcPr>
            <w:tcW w:w="260" w:type="dxa"/>
            <w:vAlign w:val="bottom"/>
          </w:tcPr>
          <w:p>
            <w:pPr>
              <w:spacing w:after="0"/>
              <w:rPr>
                <w:sz w:val="21"/>
                <w:szCs w:val="21"/>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(19,299)</w:t>
            </w:r>
          </w:p>
        </w:tc>
      </w:tr>
      <w:tr>
        <w:trPr>
          <w:trHeight w:val="223"/>
        </w:trPr>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19,856</w:t>
            </w:r>
          </w:p>
        </w:tc>
        <w:tc>
          <w:tcPr>
            <w:tcW w:w="220" w:type="dxa"/>
            <w:vAlign w:val="bottom"/>
          </w:tcPr>
          <w:p>
            <w:pPr>
              <w:spacing w:after="0"/>
              <w:rPr>
                <w:sz w:val="19"/>
                <w:szCs w:val="19"/>
                <w:color w:val="auto"/>
              </w:rPr>
            </w:pPr>
          </w:p>
        </w:tc>
        <w:tc>
          <w:tcPr>
            <w:tcW w:w="5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9,493</w:t>
            </w:r>
          </w:p>
        </w:tc>
        <w:tc>
          <w:tcPr>
            <w:tcW w:w="2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29,349</w:t>
            </w: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-3397885</wp:posOffset>
            </wp:positionH>
            <wp:positionV relativeFrom="paragraph">
              <wp:posOffset>-607695</wp:posOffset>
            </wp:positionV>
            <wp:extent cx="7132320" cy="146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-3397885</wp:posOffset>
            </wp:positionH>
            <wp:positionV relativeFrom="paragraph">
              <wp:posOffset>-325120</wp:posOffset>
            </wp:positionV>
            <wp:extent cx="7132320" cy="1454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4640" w:space="720"/>
            <w:col w:w="5880"/>
          </w:cols>
          <w:pgMar w:left="320" w:top="904"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The Company incurred additional immaterial legal fees and other costs in fiscal 2026 in connection with other miscellaneous restructuring initiatives.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2025 Restructuring Initiatives</w:t>
      </w:r>
    </w:p>
    <w:p>
      <w:pPr>
        <w:spacing w:after="0" w:line="22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fiscal 2025, the Company initiated actions to reduce operating expenses, streamline its manufacturing footprint and focus on opportunities that align with its long-term profitability objectives (the “2025 Restructuring Initiatives”). As part of these actions, the Company reduced its workforce related to its mass-market Android business, sold its SiC power device business, cancelled certain multiyear projects to update the Company’s core business systems, and began to seek strategic alternatives related to its MEMS-based sensing solutions business. In the third quarter of fiscal 2026, the Company completed the sale of its MEMS-based sensing solutions business, resulting in a gain of $19.2 million, which is included in “Other operating expense” in the Consolidated Statement of Operations.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5 for additional information regarding the divestitures of the SiC power device business and the MEMS-based sensing solutions business.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30" w:name="page31"/>
    <w:bookmarkEnd w:id="30"/>
    <w:p>
      <w:pPr>
        <w:jc w:val="center"/>
        <w:ind w:right="-19"/>
        <w:spacing w:after="0"/>
        <w:rPr>
          <w:sz w:val="20"/>
          <w:szCs w:val="20"/>
          <w:color w:val="auto"/>
        </w:rPr>
      </w:pPr>
      <w:r>
        <w:rPr>
          <w:rFonts w:ascii="Times New Roman" w:cs="Times New Roman" w:eastAsia="Times New Roman" w:hAnsi="Times New Roman"/>
          <w:sz w:val="18"/>
          <w:szCs w:val="18"/>
          <w:color w:val="auto"/>
        </w:rPr>
        <w:t>Qorvo, Inc. and Subsidiaries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charges resulting from the 2025 Restructuring Initiatives (in thousands):</w:t>
      </w:r>
    </w:p>
    <w:p>
      <w:pPr>
        <w:sectPr>
          <w:pgSz w:w="11900" w:h="16838" w:orient="portrait"/>
          <w:cols w:equalWidth="0" w:num="1">
            <w:col w:w="11240"/>
          </w:cols>
          <w:pgMar w:left="320" w:top="90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Contract termination and other costs</w:t>
      </w:r>
    </w:p>
    <w:p>
      <w:pPr>
        <w:spacing w:after="0" w:line="27" w:lineRule="exact"/>
        <w:rPr>
          <w:sz w:val="20"/>
          <w:szCs w:val="20"/>
          <w:color w:val="auto"/>
        </w:rPr>
      </w:pPr>
    </w:p>
    <w:p>
      <w:pPr>
        <w:ind w:left="20" w:right="120"/>
        <w:spacing w:after="0" w:line="250" w:lineRule="auto"/>
        <w:rPr>
          <w:sz w:val="20"/>
          <w:szCs w:val="20"/>
          <w:color w:val="auto"/>
        </w:rPr>
      </w:pPr>
      <w:r>
        <w:rPr>
          <w:rFonts w:ascii="Times New Roman" w:cs="Times New Roman" w:eastAsia="Times New Roman" w:hAnsi="Times New Roman"/>
          <w:sz w:val="18"/>
          <w:szCs w:val="18"/>
          <w:color w:val="auto"/>
        </w:rPr>
        <w:t>Asset impairment costs and gain on sale of business (1) One-time employee termination benefits</w:t>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Total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Contract termination and other costs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Asset impairments and gain on sale of business (2)</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One-time employee termination benefits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Fiscal 2026</w:t>
            </w: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191"/>
        </w:trPr>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gridSpan w:val="3"/>
          </w:tcPr>
          <w:p>
            <w:pPr>
              <w:ind w:left="20"/>
              <w:spacing w:after="0" w:line="191" w:lineRule="exact"/>
              <w:rPr>
                <w:sz w:val="20"/>
                <w:szCs w:val="20"/>
                <w:color w:val="auto"/>
              </w:rPr>
            </w:pPr>
            <w:r>
              <w:rPr>
                <w:rFonts w:ascii="Times New Roman" w:cs="Times New Roman" w:eastAsia="Times New Roman" w:hAnsi="Times New Roman"/>
                <w:sz w:val="18"/>
                <w:szCs w:val="18"/>
                <w:color w:val="auto"/>
              </w:rPr>
              <w:t>Other Operating</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34"/>
        </w:trPr>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7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rPr>
              <w:t>Cost of Goods Sold</w:t>
            </w:r>
          </w:p>
        </w:tc>
        <w:tc>
          <w:tcPr>
            <w:tcW w:w="200" w:type="dxa"/>
            <w:vAlign w:val="bottom"/>
          </w:tcPr>
          <w:p>
            <w:pPr>
              <w:spacing w:after="0"/>
              <w:rPr>
                <w:sz w:val="20"/>
                <w:szCs w:val="20"/>
                <w:color w:val="auto"/>
              </w:rPr>
            </w:pPr>
          </w:p>
        </w:tc>
        <w:tc>
          <w:tcPr>
            <w:tcW w:w="12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Expense</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Total</w:t>
            </w:r>
          </w:p>
        </w:tc>
      </w:tr>
      <w:tr>
        <w:trPr>
          <w:trHeight w:val="191"/>
        </w:trPr>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Borders>
              <w:top w:val="single" w:sz="8" w:color="auto"/>
            </w:tcBorders>
            <w:gridSpan w:val="2"/>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3,430</w:t>
            </w:r>
          </w:p>
        </w:tc>
        <w:tc>
          <w:tcPr>
            <w:tcW w:w="220" w:type="dxa"/>
            <w:vAlign w:val="bottom"/>
          </w:tcPr>
          <w:p>
            <w:pPr>
              <w:spacing w:after="0"/>
              <w:rPr>
                <w:sz w:val="16"/>
                <w:szCs w:val="16"/>
                <w:color w:val="auto"/>
              </w:rPr>
            </w:pPr>
          </w:p>
        </w:tc>
        <w:tc>
          <w:tcPr>
            <w:tcW w:w="2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12,743</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Borders>
              <w:top w:val="single" w:sz="8" w:color="auto"/>
            </w:tcBorders>
          </w:tcPr>
          <w:p>
            <w:pPr>
              <w:jc w:val="right"/>
              <w:ind w:right="7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16,173</w:t>
            </w:r>
          </w:p>
        </w:tc>
        <w:tc>
          <w:tcPr>
            <w:tcW w:w="60" w:type="dxa"/>
            <w:vAlign w:val="bottom"/>
            <w:gridSpan w:val="2"/>
          </w:tcPr>
          <w:p>
            <w:pPr>
              <w:spacing w:after="0"/>
              <w:rPr>
                <w:sz w:val="16"/>
                <w:szCs w:val="16"/>
                <w:color w:val="auto"/>
              </w:rPr>
            </w:pPr>
          </w:p>
        </w:tc>
      </w:tr>
      <w:tr>
        <w:trPr>
          <w:trHeight w:val="229"/>
        </w:trPr>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514</w:t>
            </w:r>
          </w:p>
        </w:tc>
        <w:tc>
          <w:tcPr>
            <w:tcW w:w="20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(17,702)</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(17,188)</w:t>
            </w:r>
          </w:p>
        </w:tc>
      </w:tr>
      <w:tr>
        <w:trPr>
          <w:trHeight w:val="234"/>
        </w:trPr>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5,387</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5,387</w:t>
            </w:r>
          </w:p>
        </w:tc>
        <w:tc>
          <w:tcPr>
            <w:tcW w:w="4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3,944</w:t>
            </w:r>
          </w:p>
        </w:tc>
        <w:tc>
          <w:tcPr>
            <w:tcW w:w="220" w:type="dxa"/>
            <w:vAlign w:val="bottom"/>
          </w:tcPr>
          <w:p>
            <w:pPr>
              <w:spacing w:after="0"/>
              <w:rPr>
                <w:sz w:val="19"/>
                <w:szCs w:val="19"/>
                <w:color w:val="auto"/>
              </w:rPr>
            </w:pPr>
          </w:p>
        </w:tc>
        <w:tc>
          <w:tcPr>
            <w:tcW w:w="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top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4,372</w:t>
            </w: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53"/>
        </w:trPr>
        <w:tc>
          <w:tcPr>
            <w:tcW w:w="2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Fiscal 2025</w:t>
            </w: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91"/>
        </w:trPr>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40" w:type="dxa"/>
            <w:vAlign w:val="bottom"/>
            <w:gridSpan w:val="2"/>
          </w:tcPr>
          <w:p>
            <w:pPr>
              <w:jc w:val="center"/>
              <w:ind w:right="360"/>
              <w:spacing w:after="0" w:line="191" w:lineRule="exact"/>
              <w:rPr>
                <w:sz w:val="20"/>
                <w:szCs w:val="20"/>
                <w:color w:val="auto"/>
              </w:rPr>
            </w:pPr>
            <w:r>
              <w:rPr>
                <w:rFonts w:ascii="Times New Roman" w:cs="Times New Roman" w:eastAsia="Times New Roman" w:hAnsi="Times New Roman"/>
                <w:sz w:val="18"/>
                <w:szCs w:val="18"/>
                <w:color w:val="auto"/>
              </w:rPr>
              <w:t>Goodwill and</w:t>
            </w: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8"/>
              </w:rPr>
              <w:t>Intangible Asset</w:t>
            </w:r>
          </w:p>
        </w:tc>
        <w:tc>
          <w:tcPr>
            <w:tcW w:w="14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Other Operating</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Impairment</w:t>
            </w:r>
          </w:p>
        </w:tc>
        <w:tc>
          <w:tcPr>
            <w:tcW w:w="200" w:type="dxa"/>
            <w:vAlign w:val="bottom"/>
          </w:tcPr>
          <w:p>
            <w:pPr>
              <w:spacing w:after="0"/>
              <w:rPr>
                <w:sz w:val="20"/>
                <w:szCs w:val="20"/>
                <w:color w:val="auto"/>
              </w:rPr>
            </w:pPr>
          </w:p>
        </w:tc>
        <w:tc>
          <w:tcPr>
            <w:tcW w:w="12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Expense</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Total</w:t>
            </w:r>
          </w:p>
        </w:tc>
      </w:tr>
      <w:tr>
        <w:trPr>
          <w:trHeight w:val="191"/>
        </w:trPr>
        <w:tc>
          <w:tcPr>
            <w:tcW w:w="20" w:type="dxa"/>
            <w:vAlign w:val="bottom"/>
          </w:tcPr>
          <w:p>
            <w:pPr>
              <w:spacing w:after="0"/>
              <w:rPr>
                <w:sz w:val="16"/>
                <w:szCs w:val="16"/>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500" w:type="dxa"/>
            <w:vAlign w:val="bottom"/>
            <w:tcBorders>
              <w:top w:val="single" w:sz="8" w:color="auto"/>
            </w:tcBorders>
          </w:tcPr>
          <w:p>
            <w:pPr>
              <w:ind w:left="1020"/>
              <w:spacing w:after="0" w:line="191" w:lineRule="exact"/>
              <w:rPr>
                <w:sz w:val="20"/>
                <w:szCs w:val="20"/>
                <w:color w:val="auto"/>
              </w:rPr>
            </w:pPr>
            <w:r>
              <w:rPr>
                <w:rFonts w:ascii="Times New Roman" w:cs="Times New Roman" w:eastAsia="Times New Roman" w:hAnsi="Times New Roman"/>
                <w:sz w:val="18"/>
                <w:szCs w:val="18"/>
                <w:color w:val="auto"/>
                <w:w w:val="92"/>
              </w:rPr>
              <w:t>11,622</w:t>
            </w: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6"/>
                <w:szCs w:val="16"/>
                <w:color w:val="auto"/>
              </w:rPr>
            </w:pPr>
          </w:p>
        </w:tc>
        <w:tc>
          <w:tcPr>
            <w:tcW w:w="2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43,443</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Borders>
              <w:top w:val="single" w:sz="8" w:color="auto"/>
            </w:tcBorders>
          </w:tcPr>
          <w:p>
            <w:pPr>
              <w:jc w:val="right"/>
              <w:ind w:right="7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55,065</w:t>
            </w:r>
          </w:p>
        </w:tc>
        <w:tc>
          <w:tcPr>
            <w:tcW w:w="60" w:type="dxa"/>
            <w:vAlign w:val="bottom"/>
            <w:gridSpan w:val="2"/>
          </w:tcPr>
          <w:p>
            <w:pPr>
              <w:spacing w:after="0"/>
              <w:rPr>
                <w:sz w:val="16"/>
                <w:szCs w:val="16"/>
                <w:color w:val="auto"/>
              </w:rPr>
            </w:pPr>
          </w:p>
        </w:tc>
      </w:tr>
      <w:tr>
        <w:trPr>
          <w:trHeight w:val="229"/>
        </w:trPr>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70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14,359</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192,569</w:t>
            </w:r>
          </w:p>
        </w:tc>
        <w:tc>
          <w:tcPr>
            <w:tcW w:w="20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(10,914)</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196,014</w:t>
            </w:r>
          </w:p>
        </w:tc>
        <w:tc>
          <w:tcPr>
            <w:tcW w:w="40" w:type="dxa"/>
            <w:vAlign w:val="bottom"/>
          </w:tcPr>
          <w:p>
            <w:pPr>
              <w:spacing w:after="0"/>
              <w:rPr>
                <w:sz w:val="19"/>
                <w:szCs w:val="19"/>
                <w:color w:val="auto"/>
              </w:rPr>
            </w:pPr>
          </w:p>
        </w:tc>
      </w:tr>
      <w:tr>
        <w:trPr>
          <w:trHeight w:val="234"/>
        </w:trPr>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70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7,788</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7,788</w:t>
            </w:r>
          </w:p>
        </w:tc>
        <w:tc>
          <w:tcPr>
            <w:tcW w:w="4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500" w:type="dxa"/>
            <w:vAlign w:val="bottom"/>
            <w:tcBorders>
              <w:top w:val="single" w:sz="8" w:color="auto"/>
              <w:bottom w:val="single" w:sz="8" w:color="auto"/>
            </w:tcBorders>
          </w:tcPr>
          <w:p>
            <w:pPr>
              <w:ind w:left="1020"/>
              <w:spacing w:after="0"/>
              <w:rPr>
                <w:sz w:val="20"/>
                <w:szCs w:val="20"/>
                <w:color w:val="auto"/>
              </w:rPr>
            </w:pPr>
            <w:r>
              <w:rPr>
                <w:rFonts w:ascii="Times New Roman" w:cs="Times New Roman" w:eastAsia="Times New Roman" w:hAnsi="Times New Roman"/>
                <w:sz w:val="18"/>
                <w:szCs w:val="18"/>
                <w:color w:val="auto"/>
                <w:w w:val="92"/>
              </w:rPr>
              <w:t>25,981</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192,569</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40,317</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258,867</w:t>
            </w: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-3080385</wp:posOffset>
            </wp:positionH>
            <wp:positionV relativeFrom="paragraph">
              <wp:posOffset>-1936750</wp:posOffset>
            </wp:positionV>
            <wp:extent cx="7132320" cy="146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-3080385</wp:posOffset>
            </wp:positionH>
            <wp:positionV relativeFrom="paragraph">
              <wp:posOffset>-1653540</wp:posOffset>
            </wp:positionV>
            <wp:extent cx="7132320" cy="1454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-3080385</wp:posOffset>
            </wp:positionH>
            <wp:positionV relativeFrom="paragraph">
              <wp:posOffset>-607695</wp:posOffset>
            </wp:positionV>
            <wp:extent cx="7132320" cy="146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-3080385</wp:posOffset>
            </wp:positionH>
            <wp:positionV relativeFrom="paragraph">
              <wp:posOffset>-325120</wp:posOffset>
            </wp:positionV>
            <wp:extent cx="7132320" cy="1454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4140" w:space="720"/>
            <w:col w:w="6380"/>
          </w:cols>
          <w:pgMar w:left="320" w:top="904" w:right="339" w:bottom="1440" w:gutter="0" w:footer="0" w:header="0"/>
          <w:type w:val="continuous"/>
        </w:sectPr>
      </w:pPr>
    </w:p>
    <w:p>
      <w:pPr>
        <w:ind w:left="260" w:hanging="252"/>
        <w:spacing w:after="0"/>
        <w:tabs>
          <w:tab w:leader="none" w:pos="2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Operating Expense” in fiscal 2026 includes a gain on sale of the MEMS-based sensing solutions business.</w:t>
      </w:r>
    </w:p>
    <w:p>
      <w:pPr>
        <w:spacing w:after="0" w:line="2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Operating Expense” in fiscal 2025 includes a gain on sale of the SiC power device business.</w:t>
      </w:r>
    </w:p>
    <w:p>
      <w:pPr>
        <w:spacing w:after="0" w:line="207"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As of March 28, 2026, the Company has recorded cumulative expenses of approximately $71.2 million for contract termination and other costs, $178.8 million for asset impairment costs and gain on sales of businesses, and $13.2 million for one-time employee termination benefits as a result of the 2025 Restructuring Initiatives. The Company does not expect to incur additional material charges related to the 2025 Restructuring Initiatives.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liability activity related to the 2025 Restructuring Initiatives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One-Time Employee</w:t>
            </w:r>
          </w:p>
        </w:tc>
        <w:tc>
          <w:tcPr>
            <w:tcW w:w="204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Contract Termination and</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8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8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Termination Benefits</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Other Costs</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Total</w:t>
            </w:r>
          </w:p>
        </w:tc>
      </w:tr>
      <w:tr>
        <w:trPr>
          <w:trHeight w:val="210"/>
        </w:trPr>
        <w:tc>
          <w:tcPr>
            <w:tcW w:w="4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restructuring balance as of March 30, 2024</w:t>
            </w:r>
          </w:p>
        </w:tc>
        <w:tc>
          <w:tcPr>
            <w:tcW w:w="11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Costs incurred and charged to expense</w:t>
            </w:r>
          </w:p>
        </w:tc>
        <w:tc>
          <w:tcPr>
            <w:tcW w:w="1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7,788</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43,443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51,231</w:t>
            </w:r>
          </w:p>
        </w:tc>
      </w:tr>
      <w:tr>
        <w:trPr>
          <w:trHeight w:val="230"/>
        </w:trPr>
        <w:tc>
          <w:tcPr>
            <w:tcW w:w="4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payments</w:t>
            </w: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(7,311)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(12,955)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(20,266)</w:t>
            </w:r>
          </w:p>
        </w:tc>
      </w:tr>
      <w:tr>
        <w:trPr>
          <w:trHeight w:val="210"/>
        </w:trPr>
        <w:tc>
          <w:tcPr>
            <w:tcW w:w="4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Accrued restructuring balance as of March 29, 2025</w:t>
            </w:r>
          </w:p>
        </w:tc>
        <w:tc>
          <w:tcPr>
            <w:tcW w:w="1100" w:type="dxa"/>
            <w:vAlign w:val="bottom"/>
            <w:tcBorders>
              <w:bottom w:val="single" w:sz="8" w:color="CCEEFF"/>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30,488</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30,965</w:t>
            </w:r>
          </w:p>
        </w:tc>
        <w:tc>
          <w:tcPr>
            <w:tcW w:w="100" w:type="dxa"/>
            <w:vAlign w:val="bottom"/>
            <w:tcBorders>
              <w:bottom w:val="single" w:sz="8" w:color="CCEEFF"/>
            </w:tcBorders>
          </w:tcPr>
          <w:p>
            <w:pPr>
              <w:spacing w:after="0"/>
              <w:rPr>
                <w:sz w:val="18"/>
                <w:szCs w:val="18"/>
                <w:color w:val="auto"/>
              </w:rPr>
            </w:pPr>
          </w:p>
        </w:tc>
      </w:tr>
      <w:tr>
        <w:trPr>
          <w:trHeight w:val="209"/>
        </w:trPr>
        <w:tc>
          <w:tcPr>
            <w:tcW w:w="4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Costs incurred and charged to expense</w:t>
            </w:r>
          </w:p>
        </w:tc>
        <w:tc>
          <w:tcPr>
            <w:tcW w:w="1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18,130</w:t>
            </w:r>
          </w:p>
        </w:tc>
        <w:tc>
          <w:tcPr>
            <w:tcW w:w="100" w:type="dxa"/>
            <w:vAlign w:val="bottom"/>
            <w:shd w:val="clear" w:color="auto" w:fill="CCEEFF"/>
          </w:tcPr>
          <w:p>
            <w:pPr>
              <w:spacing w:after="0"/>
              <w:rPr>
                <w:sz w:val="18"/>
                <w:szCs w:val="18"/>
                <w:color w:val="auto"/>
              </w:rPr>
            </w:pPr>
          </w:p>
        </w:tc>
      </w:tr>
      <w:tr>
        <w:trPr>
          <w:trHeight w:val="230"/>
        </w:trPr>
        <w:tc>
          <w:tcPr>
            <w:tcW w:w="4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payments</w:t>
            </w:r>
          </w:p>
        </w:tc>
        <w:tc>
          <w:tcPr>
            <w:tcW w:w="1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(5,795)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(16,367)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(22,162)</w:t>
            </w:r>
          </w:p>
        </w:tc>
      </w:tr>
      <w:tr>
        <w:trPr>
          <w:trHeight w:val="223"/>
        </w:trPr>
        <w:tc>
          <w:tcPr>
            <w:tcW w:w="4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restructuring balance as of March 28, 2026</w:t>
            </w:r>
          </w:p>
        </w:tc>
        <w:tc>
          <w:tcPr>
            <w:tcW w:w="1100" w:type="dxa"/>
            <w:vAlign w:val="bottom"/>
            <w:tcBorders>
              <w:top w:val="single" w:sz="8" w:color="CCEEFF"/>
              <w:bottom w:val="single" w:sz="8" w:color="CCEEFF"/>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26,864</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26,933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8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2024 Restructuring Initiative</w:t>
      </w:r>
    </w:p>
    <w:p>
      <w:pPr>
        <w:spacing w:after="0" w:line="22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During fiscal years 2025 and 2024, the Company incurred $18.3 million and $53.0 million, respectively, in restructuring-related charges in connection with an initiative that began in fiscal 2024 to divest its assembly and test operations in China (the “2024 Restructuring Initiative”). The sale of these operations was completed in the first quarter of fiscal 2025 (refer to Note 5 for additional information).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incurred immaterial costs in fiscal 2026 as a result of the 2024 Restructuring Initiative.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2023 Restructuring Initiatives</w:t>
      </w:r>
    </w:p>
    <w:p>
      <w:pPr>
        <w:spacing w:after="0" w:line="22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During fiscal 2024, the Company incurred $37.4 million in restructuring-related charges in connection with initiatives that began in fiscal 2023 to improve efficiencies in its operations and further align the organization with its strategic objectives, which primarily included seeking strategic alternatives related to its biotechnology business (the “2023 Restructuring Initiatives”). The Company completed the sale of its biotechnology business in the third quarter of fiscal 2024.</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color w:val="auto"/>
        </w:rPr>
        <w:t>Qorvo,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incurred immaterial costs in fiscal 2026 and fiscal 2025 as a result of the 2023 Restructuring Initiatives.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 INCOME TAXES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before income taxes consists of the following components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jc w:val="center"/>
              <w:ind w:right="221"/>
              <w:spacing w:after="0"/>
              <w:rPr>
                <w:sz w:val="20"/>
                <w:szCs w:val="20"/>
                <w:color w:val="auto"/>
              </w:rPr>
            </w:pPr>
            <w:r>
              <w:rPr>
                <w:rFonts w:ascii="Times New Roman" w:cs="Times New Roman" w:eastAsia="Times New Roman" w:hAnsi="Times New Roman"/>
                <w:sz w:val="18"/>
                <w:szCs w:val="18"/>
                <w:color w:val="auto"/>
                <w:w w:val="96"/>
              </w:rPr>
              <w:t>Fiscal Year</w:t>
            </w:r>
          </w:p>
        </w:tc>
        <w:tc>
          <w:tcPr>
            <w:tcW w:w="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460" w:type="dxa"/>
            <w:vAlign w:val="bottom"/>
            <w:tcBorders>
              <w:bottom w:val="single" w:sz="8" w:color="CCEEFF"/>
            </w:tcBorders>
          </w:tcPr>
          <w:p>
            <w:pPr>
              <w:spacing w:after="0"/>
              <w:rPr>
                <w:sz w:val="19"/>
                <w:szCs w:val="19"/>
                <w:color w:val="auto"/>
              </w:rPr>
            </w:pPr>
          </w:p>
        </w:tc>
        <w:tc>
          <w:tcPr>
            <w:tcW w:w="15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9"/>
              </w:rPr>
              <w:t>2025</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5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(102,415)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(405,546)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(281,790)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1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500,688</w:t>
            </w:r>
          </w:p>
        </w:tc>
        <w:tc>
          <w:tcPr>
            <w:tcW w:w="140" w:type="dxa"/>
            <w:vAlign w:val="bottom"/>
          </w:tcPr>
          <w:p>
            <w:pPr>
              <w:spacing w:after="0"/>
              <w:rPr>
                <w:sz w:val="19"/>
                <w:szCs w:val="19"/>
                <w:color w:val="auto"/>
              </w:rPr>
            </w:pPr>
          </w:p>
        </w:tc>
        <w:tc>
          <w:tcPr>
            <w:tcW w:w="12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471,445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355,350</w:t>
            </w:r>
          </w:p>
        </w:tc>
        <w:tc>
          <w:tcPr>
            <w:tcW w:w="0" w:type="dxa"/>
            <w:vAlign w:val="bottom"/>
          </w:tcPr>
          <w:p>
            <w:pPr>
              <w:spacing w:after="0"/>
              <w:rPr>
                <w:sz w:val="1"/>
                <w:szCs w:val="1"/>
                <w:color w:val="auto"/>
              </w:rPr>
            </w:pPr>
          </w:p>
        </w:tc>
      </w:tr>
      <w:tr>
        <w:trPr>
          <w:trHeight w:val="223"/>
        </w:trPr>
        <w:tc>
          <w:tcPr>
            <w:tcW w:w="5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5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398,273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65,899</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73,560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The components of the income tax provision are as follows (in thousands):</w:t>
            </w:r>
          </w:p>
        </w:tc>
        <w:tc>
          <w:tcPr>
            <w:tcW w:w="1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460" w:type="dxa"/>
            <w:vAlign w:val="bottom"/>
            <w:vMerge w:val="continue"/>
          </w:tcPr>
          <w:p>
            <w:pPr>
              <w:spacing w:after="0"/>
              <w:rPr>
                <w:sz w:val="24"/>
                <w:szCs w:val="24"/>
                <w:color w:val="auto"/>
              </w:rPr>
            </w:pPr>
          </w:p>
        </w:tc>
        <w:tc>
          <w:tcPr>
            <w:tcW w:w="1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vMerge w:val="restart"/>
          </w:tcPr>
          <w:p>
            <w:pPr>
              <w:jc w:val="center"/>
              <w:ind w:right="221"/>
              <w:spacing w:after="0"/>
              <w:rPr>
                <w:sz w:val="20"/>
                <w:szCs w:val="20"/>
                <w:color w:val="auto"/>
              </w:rPr>
            </w:pPr>
            <w:r>
              <w:rPr>
                <w:rFonts w:ascii="Times New Roman" w:cs="Times New Roman" w:eastAsia="Times New Roman" w:hAnsi="Times New Roman"/>
                <w:sz w:val="18"/>
                <w:szCs w:val="18"/>
                <w:color w:val="auto"/>
                <w:w w:val="96"/>
              </w:rPr>
              <w:t>Fiscal Year</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4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vMerge w:val="continue"/>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60" w:type="dxa"/>
            <w:vAlign w:val="bottom"/>
            <w:tcBorders>
              <w:bottom w:val="single" w:sz="8" w:color="CCEEFF"/>
            </w:tcBorders>
          </w:tcPr>
          <w:p>
            <w:pPr>
              <w:spacing w:after="0"/>
              <w:rPr>
                <w:sz w:val="19"/>
                <w:szCs w:val="19"/>
                <w:color w:val="auto"/>
              </w:rPr>
            </w:pPr>
          </w:p>
        </w:tc>
        <w:tc>
          <w:tcPr>
            <w:tcW w:w="15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9"/>
              </w:rPr>
              <w:t>2025</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tax expense (benefit):</w:t>
            </w:r>
          </w:p>
        </w:tc>
        <w:tc>
          <w:tcPr>
            <w:tcW w:w="1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18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4,125</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19,482</w:t>
            </w:r>
          </w:p>
        </w:tc>
        <w:tc>
          <w:tcPr>
            <w:tcW w:w="3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36,155</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1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1,023</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92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232</w:t>
            </w:r>
          </w:p>
        </w:tc>
        <w:tc>
          <w:tcPr>
            <w:tcW w:w="0" w:type="dxa"/>
            <w:vAlign w:val="bottom"/>
          </w:tcPr>
          <w:p>
            <w:pPr>
              <w:spacing w:after="0"/>
              <w:rPr>
                <w:sz w:val="1"/>
                <w:szCs w:val="1"/>
                <w:color w:val="auto"/>
              </w:rPr>
            </w:pPr>
          </w:p>
        </w:tc>
      </w:tr>
      <w:tr>
        <w:trPr>
          <w:trHeight w:val="230"/>
        </w:trPr>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1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93,520</w:t>
            </w:r>
          </w:p>
        </w:tc>
        <w:tc>
          <w:tcPr>
            <w:tcW w:w="140" w:type="dxa"/>
            <w:vAlign w:val="bottom"/>
          </w:tcPr>
          <w:p>
            <w:pPr>
              <w:spacing w:after="0"/>
              <w:rPr>
                <w:sz w:val="19"/>
                <w:szCs w:val="19"/>
                <w:color w:val="auto"/>
              </w:rPr>
            </w:pPr>
          </w:p>
        </w:tc>
        <w:tc>
          <w:tcPr>
            <w:tcW w:w="12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75,447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88,090</w:t>
            </w:r>
          </w:p>
        </w:tc>
        <w:tc>
          <w:tcPr>
            <w:tcW w:w="0" w:type="dxa"/>
            <w:vAlign w:val="bottom"/>
          </w:tcPr>
          <w:p>
            <w:pPr>
              <w:spacing w:after="0"/>
              <w:rPr>
                <w:sz w:val="1"/>
                <w:szCs w:val="1"/>
                <w:color w:val="auto"/>
              </w:rPr>
            </w:pPr>
          </w:p>
        </w:tc>
      </w:tr>
      <w:tr>
        <w:trPr>
          <w:trHeight w:val="209"/>
        </w:trPr>
        <w:tc>
          <w:tcPr>
            <w:tcW w:w="546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98,668</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95,021</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124,477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expense (benefit):</w:t>
            </w:r>
          </w:p>
        </w:tc>
        <w:tc>
          <w:tcPr>
            <w:tcW w:w="1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1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(22,757)</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(91,101)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6,532</w:t>
            </w:r>
          </w:p>
        </w:tc>
        <w:tc>
          <w:tcPr>
            <w:tcW w:w="0" w:type="dxa"/>
            <w:vAlign w:val="bottom"/>
          </w:tcPr>
          <w:p>
            <w:pPr>
              <w:spacing w:after="0"/>
              <w:rPr>
                <w:sz w:val="1"/>
                <w:szCs w:val="1"/>
                <w:color w:val="auto"/>
              </w:rPr>
            </w:pPr>
          </w:p>
        </w:tc>
      </w:tr>
      <w:tr>
        <w:trPr>
          <w:trHeight w:val="216"/>
        </w:trPr>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1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(2,499)</w:t>
            </w:r>
          </w:p>
        </w:tc>
        <w:tc>
          <w:tcPr>
            <w:tcW w:w="140" w:type="dxa"/>
            <w:vAlign w:val="bottom"/>
          </w:tcPr>
          <w:p>
            <w:pPr>
              <w:spacing w:after="0"/>
              <w:rPr>
                <w:sz w:val="18"/>
                <w:szCs w:val="18"/>
                <w:color w:val="auto"/>
              </w:rPr>
            </w:pPr>
          </w:p>
        </w:tc>
        <w:tc>
          <w:tcPr>
            <w:tcW w:w="12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(1,090)</w:t>
            </w:r>
          </w:p>
        </w:tc>
        <w:tc>
          <w:tcPr>
            <w:tcW w:w="0" w:type="dxa"/>
            <w:vAlign w:val="bottom"/>
          </w:tcPr>
          <w:p>
            <w:pPr>
              <w:spacing w:after="0"/>
              <w:rPr>
                <w:sz w:val="1"/>
                <w:szCs w:val="1"/>
                <w:color w:val="auto"/>
              </w:rPr>
            </w:pPr>
          </w:p>
        </w:tc>
      </w:tr>
      <w:tr>
        <w:trPr>
          <w:trHeight w:val="230"/>
        </w:trPr>
        <w:tc>
          <w:tcPr>
            <w:tcW w:w="5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15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(14,128)</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6,315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13,963</w:t>
            </w:r>
          </w:p>
        </w:tc>
        <w:tc>
          <w:tcPr>
            <w:tcW w:w="0" w:type="dxa"/>
            <w:vAlign w:val="bottom"/>
          </w:tcPr>
          <w:p>
            <w:pPr>
              <w:spacing w:after="0"/>
              <w:rPr>
                <w:sz w:val="1"/>
                <w:szCs w:val="1"/>
                <w:color w:val="auto"/>
              </w:rPr>
            </w:pPr>
          </w:p>
        </w:tc>
      </w:tr>
      <w:tr>
        <w:trPr>
          <w:trHeight w:val="210"/>
        </w:trPr>
        <w:tc>
          <w:tcPr>
            <w:tcW w:w="5460" w:type="dxa"/>
            <w:vAlign w:val="bottom"/>
            <w:tcBorders>
              <w:bottom w:val="single" w:sz="8" w:color="CCEEFF"/>
            </w:tcBorders>
          </w:tcPr>
          <w:p>
            <w:pPr>
              <w:spacing w:after="0"/>
              <w:rPr>
                <w:sz w:val="18"/>
                <w:szCs w:val="18"/>
                <w:color w:val="auto"/>
              </w:rPr>
            </w:pPr>
          </w:p>
        </w:tc>
        <w:tc>
          <w:tcPr>
            <w:tcW w:w="15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(39,384</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(84,737</w:t>
            </w:r>
          </w:p>
        </w:tc>
        <w:tc>
          <w:tcPr>
            <w:tcW w:w="14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19,405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5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59,284</w:t>
            </w: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10,284</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143,882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1520" w:type="dxa"/>
            <w:vAlign w:val="bottom"/>
            <w:vMerge w:val="restart"/>
          </w:tcPr>
          <w:p>
            <w:pPr>
              <w:jc w:val="right"/>
              <w:ind w:right="1170"/>
              <w:spacing w:after="0"/>
              <w:rPr>
                <w:sz w:val="20"/>
                <w:szCs w:val="20"/>
                <w:color w:val="auto"/>
              </w:rPr>
            </w:pPr>
            <w:r>
              <w:rPr>
                <w:rFonts w:ascii="Times New Roman" w:cs="Times New Roman" w:eastAsia="Times New Roman" w:hAnsi="Times New Roman"/>
                <w:sz w:val="18"/>
                <w:szCs w:val="18"/>
                <w:color w:val="auto"/>
              </w:rPr>
              <w:t>25</w:t>
            </w: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54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vMerge w:val="continue"/>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color w:val="auto"/>
        </w:rPr>
        <w:t>Qorvo,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7"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 reconciliation of the U.S. federal statutory income tax rate to the Company’s effective tax rate, pursuant to the disclosure requirements of ASU 2023-09, is as follows (dollars 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80" w:type="dxa"/>
            <w:vAlign w:val="bottom"/>
            <w:gridSpan w:val="4"/>
          </w:tcPr>
          <w:p>
            <w:pPr>
              <w:jc w:val="right"/>
              <w:ind w:right="810"/>
              <w:spacing w:after="0"/>
              <w:rPr>
                <w:sz w:val="20"/>
                <w:szCs w:val="20"/>
                <w:color w:val="auto"/>
              </w:rPr>
            </w:pPr>
            <w:r>
              <w:rPr>
                <w:rFonts w:ascii="Times New Roman" w:cs="Times New Roman" w:eastAsia="Times New Roman" w:hAnsi="Times New Roman"/>
                <w:sz w:val="18"/>
                <w:szCs w:val="18"/>
                <w:color w:val="auto"/>
              </w:rPr>
              <w:t>Fiscal 2026</w:t>
            </w:r>
          </w:p>
        </w:tc>
        <w:tc>
          <w:tcPr>
            <w:tcW w:w="120" w:type="dxa"/>
            <w:vAlign w:val="bottom"/>
          </w:tcPr>
          <w:p>
            <w:pPr>
              <w:spacing w:after="0"/>
              <w:rPr>
                <w:sz w:val="20"/>
                <w:szCs w:val="20"/>
                <w:color w:val="auto"/>
              </w:rPr>
            </w:pPr>
          </w:p>
        </w:tc>
        <w:tc>
          <w:tcPr>
            <w:tcW w:w="2200" w:type="dxa"/>
            <w:vAlign w:val="bottom"/>
            <w:gridSpan w:val="4"/>
          </w:tcPr>
          <w:p>
            <w:pPr>
              <w:jc w:val="right"/>
              <w:ind w:right="810"/>
              <w:spacing w:after="0"/>
              <w:rPr>
                <w:sz w:val="20"/>
                <w:szCs w:val="20"/>
                <w:color w:val="auto"/>
              </w:rPr>
            </w:pPr>
            <w:r>
              <w:rPr>
                <w:rFonts w:ascii="Times New Roman" w:cs="Times New Roman" w:eastAsia="Times New Roman" w:hAnsi="Times New Roman"/>
                <w:sz w:val="18"/>
                <w:szCs w:val="18"/>
                <w:color w:val="auto"/>
              </w:rPr>
              <w:t>Fiscal 2025</w:t>
            </w:r>
          </w:p>
        </w:tc>
        <w:tc>
          <w:tcPr>
            <w:tcW w:w="120" w:type="dxa"/>
            <w:vAlign w:val="bottom"/>
          </w:tcPr>
          <w:p>
            <w:pPr>
              <w:spacing w:after="0"/>
              <w:rPr>
                <w:sz w:val="20"/>
                <w:szCs w:val="20"/>
                <w:color w:val="auto"/>
              </w:rPr>
            </w:pPr>
          </w:p>
        </w:tc>
        <w:tc>
          <w:tcPr>
            <w:tcW w:w="2100" w:type="dxa"/>
            <w:vAlign w:val="bottom"/>
            <w:gridSpan w:val="5"/>
          </w:tcPr>
          <w:p>
            <w:pPr>
              <w:jc w:val="right"/>
              <w:ind w:right="800"/>
              <w:spacing w:after="0"/>
              <w:rPr>
                <w:sz w:val="20"/>
                <w:szCs w:val="20"/>
                <w:color w:val="auto"/>
              </w:rPr>
            </w:pPr>
            <w:r>
              <w:rPr>
                <w:rFonts w:ascii="Times New Roman" w:cs="Times New Roman" w:eastAsia="Times New Roman" w:hAnsi="Times New Roman"/>
                <w:sz w:val="18"/>
                <w:szCs w:val="18"/>
                <w:color w:val="auto"/>
              </w:rPr>
              <w:t>Fiscal 2024</w:t>
            </w:r>
          </w:p>
        </w:tc>
      </w:tr>
      <w:tr>
        <w:trPr>
          <w:trHeight w:val="223"/>
        </w:trPr>
        <w:tc>
          <w:tcPr>
            <w:tcW w:w="44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98"/>
              </w:rPr>
              <w:t>Amount</w:t>
            </w:r>
          </w:p>
        </w:tc>
        <w:tc>
          <w:tcPr>
            <w:tcW w:w="200" w:type="dxa"/>
            <w:vAlign w:val="bottom"/>
            <w:tcBorders>
              <w:top w:val="single" w:sz="8" w:color="auto"/>
              <w:bottom w:val="single" w:sz="8" w:color="CCEEFF"/>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Percentage</w:t>
            </w:r>
          </w:p>
        </w:tc>
        <w:tc>
          <w:tcPr>
            <w:tcW w:w="3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Amount</w:t>
            </w:r>
          </w:p>
        </w:tc>
        <w:tc>
          <w:tcPr>
            <w:tcW w:w="220" w:type="dxa"/>
            <w:vAlign w:val="bottom"/>
            <w:tcBorders>
              <w:top w:val="single" w:sz="8" w:color="auto"/>
              <w:bottom w:val="single" w:sz="8" w:color="CCEEFF"/>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Percentage</w:t>
            </w:r>
          </w:p>
        </w:tc>
        <w:tc>
          <w:tcPr>
            <w:tcW w:w="3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Amount</w:t>
            </w:r>
          </w:p>
        </w:tc>
        <w:tc>
          <w:tcPr>
            <w:tcW w:w="220" w:type="dxa"/>
            <w:vAlign w:val="bottom"/>
            <w:tcBorders>
              <w:top w:val="single" w:sz="8" w:color="auto"/>
              <w:bottom w:val="single" w:sz="8" w:color="CCEEFF"/>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Percentage</w:t>
            </w:r>
          </w:p>
        </w:tc>
        <w:tc>
          <w:tcPr>
            <w:tcW w:w="220" w:type="dxa"/>
            <w:vAlign w:val="bottom"/>
            <w:tcBorders>
              <w:bottom w:val="single" w:sz="8" w:color="CCEEFF"/>
            </w:tcBorders>
            <w:gridSpan w:val="2"/>
          </w:tcPr>
          <w:p>
            <w:pPr>
              <w:spacing w:after="0"/>
              <w:rPr>
                <w:sz w:val="19"/>
                <w:szCs w:val="19"/>
                <w:color w:val="auto"/>
              </w:rPr>
            </w:pPr>
          </w:p>
        </w:tc>
      </w:tr>
      <w:tr>
        <w:trPr>
          <w:trHeight w:val="20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Federal Statutory Tax Rate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83,637</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21.0%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13,839</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21.0%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15,448</w:t>
            </w:r>
          </w:p>
        </w:tc>
        <w:tc>
          <w:tcPr>
            <w:tcW w:w="2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21.0%</w:t>
            </w:r>
          </w:p>
        </w:tc>
      </w:tr>
      <w:tr>
        <w:trPr>
          <w:trHeight w:val="216"/>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and Local Taxes, Net of Federal Tax Effect (1)</w:t>
            </w:r>
          </w:p>
        </w:tc>
        <w:tc>
          <w:tcPr>
            <w:tcW w:w="1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(1,086)</w:t>
            </w:r>
          </w:p>
        </w:tc>
        <w:tc>
          <w:tcPr>
            <w:tcW w:w="12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(400)</w:t>
            </w:r>
          </w:p>
        </w:tc>
        <w:tc>
          <w:tcPr>
            <w:tcW w:w="12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(1,213)</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Tax Effects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4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Singapore</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44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Statutory tax rate difference</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(22,235)</w:t>
            </w:r>
          </w:p>
        </w:tc>
        <w:tc>
          <w:tcPr>
            <w:tcW w:w="12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(19,448)</w:t>
            </w:r>
          </w:p>
        </w:tc>
        <w:tc>
          <w:tcPr>
            <w:tcW w:w="12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(29.5)%</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(20,051)</w:t>
            </w: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r>
      <w:tr>
        <w:trPr>
          <w:trHeight w:val="216"/>
        </w:trPr>
        <w:tc>
          <w:tcPr>
            <w:tcW w:w="44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Tax holiday and other rate differences</w:t>
            </w:r>
          </w:p>
        </w:tc>
        <w:tc>
          <w:tcPr>
            <w:tcW w:w="1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(57,069)</w:t>
            </w:r>
          </w:p>
        </w:tc>
        <w:tc>
          <w:tcPr>
            <w:tcW w:w="12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(14.3)%</w:t>
            </w: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(48,891)</w:t>
            </w:r>
          </w:p>
        </w:tc>
        <w:tc>
          <w:tcPr>
            <w:tcW w:w="12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(74.2)%</w:t>
            </w: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(45,580)</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(62.0)%</w:t>
            </w:r>
          </w:p>
        </w:tc>
      </w:tr>
      <w:tr>
        <w:trPr>
          <w:trHeight w:val="216"/>
        </w:trPr>
        <w:tc>
          <w:tcPr>
            <w:tcW w:w="44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Restructuring-related impact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(19,824)</w:t>
            </w:r>
          </w:p>
        </w:tc>
        <w:tc>
          <w:tcPr>
            <w:tcW w:w="12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4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Global minimum taxes</w:t>
            </w:r>
          </w:p>
        </w:tc>
        <w:tc>
          <w:tcPr>
            <w:tcW w:w="1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39,002</w:t>
            </w:r>
          </w:p>
        </w:tc>
        <w:tc>
          <w:tcPr>
            <w:tcW w:w="12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4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1,165</w:t>
            </w:r>
          </w:p>
        </w:tc>
        <w:tc>
          <w:tcPr>
            <w:tcW w:w="12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954</w:t>
            </w:r>
          </w:p>
        </w:tc>
        <w:tc>
          <w:tcPr>
            <w:tcW w:w="12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1,234</w:t>
            </w:r>
          </w:p>
        </w:tc>
        <w:tc>
          <w:tcPr>
            <w:tcW w:w="11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4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Ireland</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44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Statutory tax rate difference</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6,569</w:t>
            </w:r>
          </w:p>
        </w:tc>
        <w:tc>
          <w:tcPr>
            <w:tcW w:w="12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3,828</w:t>
            </w:r>
          </w:p>
        </w:tc>
        <w:tc>
          <w:tcPr>
            <w:tcW w:w="12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16,596</w:t>
            </w:r>
          </w:p>
        </w:tc>
        <w:tc>
          <w:tcPr>
            <w:tcW w:w="11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22.6%</w:t>
            </w:r>
          </w:p>
        </w:tc>
      </w:tr>
      <w:tr>
        <w:trPr>
          <w:trHeight w:val="216"/>
        </w:trPr>
        <w:tc>
          <w:tcPr>
            <w:tcW w:w="44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Changes in valuation allowance</w:t>
            </w:r>
          </w:p>
        </w:tc>
        <w:tc>
          <w:tcPr>
            <w:tcW w:w="1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(4,948)</w:t>
            </w:r>
          </w:p>
        </w:tc>
        <w:tc>
          <w:tcPr>
            <w:tcW w:w="12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2,784</w:t>
            </w:r>
          </w:p>
        </w:tc>
        <w:tc>
          <w:tcPr>
            <w:tcW w:w="12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5,251</w:t>
            </w:r>
          </w:p>
        </w:tc>
        <w:tc>
          <w:tcPr>
            <w:tcW w:w="11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44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Restructuring-related impact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16,404</w:t>
            </w:r>
          </w:p>
        </w:tc>
        <w:tc>
          <w:tcPr>
            <w:tcW w:w="12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4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Goodwill impairment</w:t>
            </w:r>
          </w:p>
        </w:tc>
        <w:tc>
          <w:tcPr>
            <w:tcW w:w="1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18,237</w:t>
            </w:r>
          </w:p>
        </w:tc>
        <w:tc>
          <w:tcPr>
            <w:tcW w:w="11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24.8%</w:t>
            </w:r>
          </w:p>
        </w:tc>
      </w:tr>
      <w:tr>
        <w:trPr>
          <w:trHeight w:val="216"/>
        </w:trPr>
        <w:tc>
          <w:tcPr>
            <w:tcW w:w="44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(417)</w:t>
            </w:r>
          </w:p>
        </w:tc>
        <w:tc>
          <w:tcPr>
            <w:tcW w:w="12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(150)</w:t>
            </w:r>
          </w:p>
        </w:tc>
        <w:tc>
          <w:tcPr>
            <w:tcW w:w="12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w:t>
            </w:r>
          </w:p>
        </w:tc>
        <w:tc>
          <w:tcPr>
            <w:tcW w:w="11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France</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44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Statutory tax rate difference</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(1,291)</w:t>
            </w:r>
          </w:p>
        </w:tc>
        <w:tc>
          <w:tcPr>
            <w:tcW w:w="12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(688)</w:t>
            </w:r>
          </w:p>
        </w:tc>
        <w:tc>
          <w:tcPr>
            <w:tcW w:w="12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(1,437)</w:t>
            </w: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44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Changes in valuation allowance</w:t>
            </w:r>
          </w:p>
        </w:tc>
        <w:tc>
          <w:tcPr>
            <w:tcW w:w="1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8,037</w:t>
            </w:r>
          </w:p>
        </w:tc>
        <w:tc>
          <w:tcPr>
            <w:tcW w:w="12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5,762</w:t>
            </w:r>
          </w:p>
        </w:tc>
        <w:tc>
          <w:tcPr>
            <w:tcW w:w="12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5,724</w:t>
            </w:r>
          </w:p>
        </w:tc>
        <w:tc>
          <w:tcPr>
            <w:tcW w:w="11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44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Goodwill impairment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4,784</w:t>
            </w:r>
          </w:p>
        </w:tc>
        <w:tc>
          <w:tcPr>
            <w:tcW w:w="11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44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58</w:t>
            </w:r>
          </w:p>
        </w:tc>
        <w:tc>
          <w:tcPr>
            <w:tcW w:w="12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(688)</w:t>
            </w:r>
          </w:p>
        </w:tc>
        <w:tc>
          <w:tcPr>
            <w:tcW w:w="12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(909)</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4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China</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44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Statutory tax rate difference</w:t>
            </w:r>
          </w:p>
        </w:tc>
        <w:tc>
          <w:tcPr>
            <w:tcW w:w="1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47</w:t>
            </w:r>
          </w:p>
        </w:tc>
        <w:tc>
          <w:tcPr>
            <w:tcW w:w="12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177</w:t>
            </w:r>
          </w:p>
        </w:tc>
        <w:tc>
          <w:tcPr>
            <w:tcW w:w="12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2,346</w:t>
            </w:r>
          </w:p>
        </w:tc>
        <w:tc>
          <w:tcPr>
            <w:tcW w:w="11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44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Restructuring-related impact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(664)</w:t>
            </w:r>
          </w:p>
        </w:tc>
        <w:tc>
          <w:tcPr>
            <w:tcW w:w="12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45,096</w:t>
            </w:r>
          </w:p>
        </w:tc>
        <w:tc>
          <w:tcPr>
            <w:tcW w:w="11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61.3%</w:t>
            </w:r>
          </w:p>
        </w:tc>
      </w:tr>
      <w:tr>
        <w:trPr>
          <w:trHeight w:val="216"/>
        </w:trPr>
        <w:tc>
          <w:tcPr>
            <w:tcW w:w="44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556</w:t>
            </w:r>
          </w:p>
        </w:tc>
        <w:tc>
          <w:tcPr>
            <w:tcW w:w="12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(928)</w:t>
            </w:r>
          </w:p>
        </w:tc>
        <w:tc>
          <w:tcPr>
            <w:tcW w:w="12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5,111</w:t>
            </w:r>
          </w:p>
        </w:tc>
        <w:tc>
          <w:tcPr>
            <w:tcW w:w="11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4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Foreign Jurisdictions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44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Statutory tax rate difference</w:t>
            </w:r>
          </w:p>
        </w:tc>
        <w:tc>
          <w:tcPr>
            <w:tcW w:w="1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8,233</w:t>
            </w:r>
          </w:p>
        </w:tc>
        <w:tc>
          <w:tcPr>
            <w:tcW w:w="12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3,632</w:t>
            </w:r>
          </w:p>
        </w:tc>
        <w:tc>
          <w:tcPr>
            <w:tcW w:w="12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4,025</w:t>
            </w:r>
          </w:p>
        </w:tc>
        <w:tc>
          <w:tcPr>
            <w:tcW w:w="11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44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139</w:t>
            </w:r>
          </w:p>
        </w:tc>
        <w:tc>
          <w:tcPr>
            <w:tcW w:w="12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1,145</w:t>
            </w:r>
          </w:p>
        </w:tc>
        <w:tc>
          <w:tcPr>
            <w:tcW w:w="12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(125)</w:t>
            </w: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16"/>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Cross-Border Tax Laws</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4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Global intangible low-taxed income</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71,418</w:t>
            </w:r>
          </w:p>
        </w:tc>
        <w:tc>
          <w:tcPr>
            <w:tcW w:w="12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17.9%</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70,132</w:t>
            </w:r>
          </w:p>
        </w:tc>
        <w:tc>
          <w:tcPr>
            <w:tcW w:w="12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106.4%</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110,572</w:t>
            </w:r>
          </w:p>
        </w:tc>
        <w:tc>
          <w:tcPr>
            <w:tcW w:w="11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150.3%</w:t>
            </w:r>
          </w:p>
        </w:tc>
      </w:tr>
      <w:tr>
        <w:trPr>
          <w:trHeight w:val="216"/>
        </w:trPr>
        <w:tc>
          <w:tcPr>
            <w:tcW w:w="4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Subpart F income</w:t>
            </w:r>
          </w:p>
        </w:tc>
        <w:tc>
          <w:tcPr>
            <w:tcW w:w="1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12,731</w:t>
            </w:r>
          </w:p>
        </w:tc>
        <w:tc>
          <w:tcPr>
            <w:tcW w:w="12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9,599</w:t>
            </w:r>
          </w:p>
        </w:tc>
        <w:tc>
          <w:tcPr>
            <w:tcW w:w="12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14.6%</w:t>
            </w: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19,121</w:t>
            </w:r>
          </w:p>
        </w:tc>
        <w:tc>
          <w:tcPr>
            <w:tcW w:w="11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26.0%</w:t>
            </w:r>
          </w:p>
        </w:tc>
      </w:tr>
      <w:tr>
        <w:trPr>
          <w:trHeight w:val="216"/>
        </w:trPr>
        <w:tc>
          <w:tcPr>
            <w:tcW w:w="4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Foreign-derived intangible income</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(4,486)</w:t>
            </w:r>
          </w:p>
        </w:tc>
        <w:tc>
          <w:tcPr>
            <w:tcW w:w="12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(4,848)</w:t>
            </w:r>
          </w:p>
        </w:tc>
        <w:tc>
          <w:tcPr>
            <w:tcW w:w="12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Restructuring-related impact</w:t>
            </w:r>
          </w:p>
        </w:tc>
        <w:tc>
          <w:tcPr>
            <w:tcW w:w="1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(6,461)</w:t>
            </w:r>
          </w:p>
        </w:tc>
        <w:tc>
          <w:tcPr>
            <w:tcW w:w="12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5,034</w:t>
            </w:r>
          </w:p>
        </w:tc>
        <w:tc>
          <w:tcPr>
            <w:tcW w:w="12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(340)</w:t>
            </w:r>
          </w:p>
        </w:tc>
        <w:tc>
          <w:tcPr>
            <w:tcW w:w="12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(672)</w:t>
            </w:r>
          </w:p>
        </w:tc>
        <w:tc>
          <w:tcPr>
            <w:tcW w:w="12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574</w:t>
            </w:r>
          </w:p>
        </w:tc>
        <w:tc>
          <w:tcPr>
            <w:tcW w:w="11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0.8%</w:t>
            </w:r>
          </w:p>
        </w:tc>
      </w:tr>
      <w:tr>
        <w:trPr>
          <w:trHeight w:val="216"/>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Credits</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4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&amp; development credits</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(30,354)</w:t>
            </w:r>
          </w:p>
        </w:tc>
        <w:tc>
          <w:tcPr>
            <w:tcW w:w="12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(25,305)</w:t>
            </w:r>
          </w:p>
        </w:tc>
        <w:tc>
          <w:tcPr>
            <w:tcW w:w="12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(38.4)%</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(22,392)</w:t>
            </w: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r>
      <w:tr>
        <w:trPr>
          <w:trHeight w:val="216"/>
        </w:trPr>
        <w:tc>
          <w:tcPr>
            <w:tcW w:w="4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tax credit</w:t>
            </w:r>
          </w:p>
        </w:tc>
        <w:tc>
          <w:tcPr>
            <w:tcW w:w="1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(77,588)</w:t>
            </w:r>
          </w:p>
        </w:tc>
        <w:tc>
          <w:tcPr>
            <w:tcW w:w="12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(19.5)%</w:t>
            </w: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(32,142)</w:t>
            </w:r>
          </w:p>
        </w:tc>
        <w:tc>
          <w:tcPr>
            <w:tcW w:w="12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(48.8)%</w:t>
            </w: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(46,940)</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(63.8)%</w:t>
            </w:r>
          </w:p>
        </w:tc>
      </w:tr>
      <w:tr>
        <w:trPr>
          <w:trHeight w:val="216"/>
        </w:trPr>
        <w:tc>
          <w:tcPr>
            <w:tcW w:w="4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Restructuring-related impact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5,409</w:t>
            </w:r>
          </w:p>
        </w:tc>
        <w:tc>
          <w:tcPr>
            <w:tcW w:w="12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(5,944)</w:t>
            </w:r>
          </w:p>
        </w:tc>
        <w:tc>
          <w:tcPr>
            <w:tcW w:w="12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(7,624)</w:t>
            </w: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16"/>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Federal Valuation Allowance</w:t>
            </w:r>
          </w:p>
        </w:tc>
        <w:tc>
          <w:tcPr>
            <w:tcW w:w="1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(41)</w:t>
            </w:r>
          </w:p>
        </w:tc>
        <w:tc>
          <w:tcPr>
            <w:tcW w:w="12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27,938</w:t>
            </w:r>
          </w:p>
        </w:tc>
        <w:tc>
          <w:tcPr>
            <w:tcW w:w="12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42.4%</w:t>
            </w: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w:t>
            </w:r>
          </w:p>
        </w:tc>
        <w:tc>
          <w:tcPr>
            <w:tcW w:w="11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Nontaxable or Nondeductible Items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4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Disallowed stock-based and officers’ compensation</w:t>
            </w:r>
          </w:p>
        </w:tc>
        <w:tc>
          <w:tcPr>
            <w:tcW w:w="1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14,634</w:t>
            </w:r>
          </w:p>
        </w:tc>
        <w:tc>
          <w:tcPr>
            <w:tcW w:w="12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11,793</w:t>
            </w:r>
          </w:p>
        </w:tc>
        <w:tc>
          <w:tcPr>
            <w:tcW w:w="12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17.9%</w:t>
            </w: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10,148</w:t>
            </w:r>
          </w:p>
        </w:tc>
        <w:tc>
          <w:tcPr>
            <w:tcW w:w="11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13.8%</w:t>
            </w:r>
          </w:p>
        </w:tc>
      </w:tr>
      <w:tr>
        <w:trPr>
          <w:trHeight w:val="216"/>
        </w:trPr>
        <w:tc>
          <w:tcPr>
            <w:tcW w:w="4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Restructuring-related impact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(2,093)</w:t>
            </w:r>
          </w:p>
        </w:tc>
        <w:tc>
          <w:tcPr>
            <w:tcW w:w="12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5,388</w:t>
            </w:r>
          </w:p>
        </w:tc>
        <w:tc>
          <w:tcPr>
            <w:tcW w:w="11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4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Goodwill impairment</w:t>
            </w:r>
          </w:p>
        </w:tc>
        <w:tc>
          <w:tcPr>
            <w:tcW w:w="1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3,987</w:t>
            </w:r>
          </w:p>
        </w:tc>
        <w:tc>
          <w:tcPr>
            <w:tcW w:w="12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5,489</w:t>
            </w:r>
          </w:p>
        </w:tc>
        <w:tc>
          <w:tcPr>
            <w:tcW w:w="11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4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3,685</w:t>
            </w:r>
          </w:p>
        </w:tc>
        <w:tc>
          <w:tcPr>
            <w:tcW w:w="12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1,434</w:t>
            </w:r>
          </w:p>
        </w:tc>
        <w:tc>
          <w:tcPr>
            <w:tcW w:w="12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6,574</w:t>
            </w:r>
          </w:p>
        </w:tc>
        <w:tc>
          <w:tcPr>
            <w:tcW w:w="11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8.9%</w:t>
            </w:r>
          </w:p>
        </w:tc>
      </w:tr>
      <w:tr>
        <w:trPr>
          <w:trHeight w:val="216"/>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Unrecognized Tax Benefits</w:t>
            </w:r>
          </w:p>
        </w:tc>
        <w:tc>
          <w:tcPr>
            <w:tcW w:w="1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9,603</w:t>
            </w:r>
          </w:p>
        </w:tc>
        <w:tc>
          <w:tcPr>
            <w:tcW w:w="12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(5,016)</w:t>
            </w:r>
          </w:p>
        </w:tc>
        <w:tc>
          <w:tcPr>
            <w:tcW w:w="12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8,451</w:t>
            </w:r>
          </w:p>
        </w:tc>
        <w:tc>
          <w:tcPr>
            <w:tcW w:w="11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11.5%</w:t>
            </w:r>
          </w:p>
        </w:tc>
      </w:tr>
      <w:tr>
        <w:trPr>
          <w:trHeight w:val="230"/>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Adjustments</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110</w:t>
            </w:r>
          </w:p>
        </w:tc>
        <w:tc>
          <w:tcPr>
            <w:tcW w:w="12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110</w:t>
            </w:r>
          </w:p>
        </w:tc>
        <w:tc>
          <w:tcPr>
            <w:tcW w:w="12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w:t>
            </w:r>
          </w:p>
        </w:tc>
        <w:tc>
          <w:tcPr>
            <w:tcW w:w="11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59,284</w:t>
            </w:r>
          </w:p>
        </w:tc>
        <w:tc>
          <w:tcPr>
            <w:tcW w:w="20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3"/>
              </w:rPr>
              <w:t>%</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10,284</w:t>
            </w:r>
          </w:p>
        </w:tc>
        <w:tc>
          <w:tcPr>
            <w:tcW w:w="22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3"/>
              </w:rPr>
              <w:t>%</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143,882</w:t>
            </w:r>
          </w:p>
        </w:tc>
        <w:tc>
          <w:tcPr>
            <w:tcW w:w="22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195.6</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3"/>
              </w:rPr>
              <w:t>%</w:t>
            </w:r>
          </w:p>
        </w:tc>
      </w:tr>
      <w:tr>
        <w:trPr>
          <w:trHeight w:val="20"/>
        </w:trPr>
        <w:tc>
          <w:tcPr>
            <w:tcW w:w="4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Primarily consisting of taxes attributable to California and Texas.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color w:val="auto"/>
        </w:rPr>
        <w:t>Qorvo,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On July 4, 2025, the One Big Beautiful Bill Act (the “OBBBA”) was enacted in the United States. The OBBBA permanently extends several tax provisions originally introduced under the 2017 Tax Cuts and Jobs Act, and also repeals, modifies and introduces various other tax measures with varying effective dates. The OBBBA did not have a material impact on the Consolidated Financial Statements for the fiscal year ended March 28, 2026.</w:t>
      </w:r>
    </w:p>
    <w:p>
      <w:pPr>
        <w:spacing w:after="0" w:line="17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following table presents cash paid for income taxes, net of refunds received, by jurisdiction, pursuant to the disclosure requirements of ASU 2023-09 (in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Fiscal Year</w:t>
            </w: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69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2024</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10"/>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8,065</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16,123</w:t>
            </w:r>
          </w:p>
        </w:tc>
        <w:tc>
          <w:tcPr>
            <w:tcW w:w="100" w:type="dxa"/>
            <w:vAlign w:val="bottom"/>
            <w:gridSpan w:val="2"/>
            <w:shd w:val="clear" w:color="auto" w:fill="CCEEFF"/>
          </w:tcPr>
          <w:p>
            <w:pPr>
              <w:spacing w:after="0"/>
              <w:rPr>
                <w:sz w:val="18"/>
                <w:szCs w:val="18"/>
                <w:color w:val="auto"/>
              </w:rPr>
            </w:pPr>
          </w:p>
        </w:tc>
      </w:tr>
      <w:tr>
        <w:trPr>
          <w:trHeight w:val="216"/>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and local</w:t>
            </w:r>
          </w:p>
        </w:tc>
        <w:tc>
          <w:tcPr>
            <w:tcW w:w="2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1,089</w:t>
            </w:r>
          </w:p>
        </w:tc>
        <w:tc>
          <w:tcPr>
            <w:tcW w:w="14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444</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841</w:t>
            </w:r>
          </w:p>
        </w:tc>
      </w:tr>
      <w:tr>
        <w:trPr>
          <w:trHeight w:val="216"/>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China</w:t>
            </w:r>
          </w:p>
        </w:tc>
        <w:tc>
          <w:tcPr>
            <w:tcW w:w="2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15,344</w:t>
            </w:r>
          </w:p>
        </w:tc>
        <w:tc>
          <w:tcPr>
            <w:tcW w:w="14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31,588</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42,955</w:t>
            </w:r>
          </w:p>
        </w:tc>
      </w:tr>
      <w:tr>
        <w:trPr>
          <w:trHeight w:val="216"/>
        </w:trPr>
        <w:tc>
          <w:tcPr>
            <w:tcW w:w="6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Singapore</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22,505</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24,891</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33,414</w:t>
            </w:r>
          </w:p>
        </w:tc>
      </w:tr>
      <w:tr>
        <w:trPr>
          <w:trHeight w:val="216"/>
        </w:trPr>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Germany</w:t>
            </w:r>
          </w:p>
        </w:tc>
        <w:tc>
          <w:tcPr>
            <w:tcW w:w="2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3,295</w:t>
            </w:r>
          </w:p>
        </w:tc>
        <w:tc>
          <w:tcPr>
            <w:tcW w:w="14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22,268</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11,333</w:t>
            </w:r>
          </w:p>
        </w:tc>
        <w:tc>
          <w:tcPr>
            <w:tcW w:w="80" w:type="dxa"/>
            <w:vAlign w:val="bottom"/>
          </w:tcPr>
          <w:p>
            <w:pPr>
              <w:spacing w:after="0"/>
              <w:rPr>
                <w:sz w:val="18"/>
                <w:szCs w:val="18"/>
                <w:color w:val="auto"/>
              </w:rPr>
            </w:pPr>
          </w:p>
        </w:tc>
      </w:tr>
      <w:tr>
        <w:trPr>
          <w:trHeight w:val="229"/>
        </w:trPr>
        <w:tc>
          <w:tcPr>
            <w:tcW w:w="6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1,956</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w:t>
            </w:r>
          </w:p>
        </w:tc>
      </w:tr>
      <w:tr>
        <w:trPr>
          <w:trHeight w:val="223"/>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55,932</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89,212</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104,652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460"/>
        <w:spacing w:after="0" w:line="282" w:lineRule="auto"/>
        <w:rPr>
          <w:sz w:val="20"/>
          <w:szCs w:val="20"/>
          <w:color w:val="auto"/>
        </w:rPr>
      </w:pPr>
      <w:r>
        <w:rPr>
          <w:rFonts w:ascii="Times New Roman" w:cs="Times New Roman" w:eastAsia="Times New Roman" w:hAnsi="Times New Roman"/>
          <w:sz w:val="18"/>
          <w:szCs w:val="18"/>
          <w:color w:val="auto"/>
        </w:rPr>
        <w:t>The timing of cash tax payments and refunds is determined by jurisdiction-specific statutory requirements, which may not correspond to the period in which the related income tax expense is recognized.</w:t>
      </w:r>
    </w:p>
    <w:p>
      <w:pPr>
        <w:spacing w:after="0" w:line="162" w:lineRule="exact"/>
        <w:rPr>
          <w:sz w:val="20"/>
          <w:szCs w:val="20"/>
          <w:color w:val="auto"/>
        </w:rPr>
      </w:pPr>
    </w:p>
    <w:p>
      <w:pPr>
        <w:jc w:val="both"/>
        <w:ind w:right="440"/>
        <w:spacing w:after="0" w:line="266" w:lineRule="auto"/>
        <w:rPr>
          <w:sz w:val="20"/>
          <w:szCs w:val="20"/>
          <w:color w:val="auto"/>
        </w:rPr>
      </w:pPr>
      <w:r>
        <w:rPr>
          <w:rFonts w:ascii="Times New Roman" w:cs="Times New Roman" w:eastAsia="Times New Roman" w:hAnsi="Times New Roman"/>
          <w:sz w:val="18"/>
          <w:szCs w:val="18"/>
          <w:color w:val="auto"/>
        </w:rPr>
        <w:t>Deferred income taxes reflect the net tax effects of temporary differences between the carrying amounts of assets and liabilities for financial reporting purposes and the basis used for income tax purposes. The deferred income tax assets and liabilities are measured in each taxing jurisdiction using the enacted tax rates and laws that will be in effect when the differences are expected to reverse.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color w:val="auto"/>
        </w:rPr>
        <w:t>Qorvo,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Significant components of the Company’s net deferred income taxes are as follows (in thousands):</w:t>
            </w:r>
          </w:p>
        </w:tc>
        <w:tc>
          <w:tcPr>
            <w:tcW w:w="6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45"/>
        </w:trPr>
        <w:tc>
          <w:tcPr>
            <w:tcW w:w="7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60" w:type="dxa"/>
            <w:vAlign w:val="bottom"/>
            <w:gridSpan w:val="3"/>
          </w:tcPr>
          <w:p>
            <w:pPr>
              <w:jc w:val="right"/>
              <w:ind w:right="181"/>
              <w:spacing w:after="0"/>
              <w:rPr>
                <w:sz w:val="20"/>
                <w:szCs w:val="20"/>
                <w:color w:val="auto"/>
              </w:rPr>
            </w:pPr>
            <w:r>
              <w:rPr>
                <w:rFonts w:ascii="Times New Roman" w:cs="Times New Roman" w:eastAsia="Times New Roman" w:hAnsi="Times New Roman"/>
                <w:sz w:val="18"/>
                <w:szCs w:val="18"/>
                <w:color w:val="auto"/>
              </w:rPr>
              <w:t>March 28, 2026</w:t>
            </w:r>
          </w:p>
        </w:tc>
        <w:tc>
          <w:tcPr>
            <w:tcW w:w="20" w:type="dxa"/>
            <w:vAlign w:val="bottom"/>
          </w:tcPr>
          <w:p>
            <w:pPr>
              <w:spacing w:after="0"/>
              <w:rPr>
                <w:sz w:val="24"/>
                <w:szCs w:val="24"/>
                <w:color w:val="auto"/>
              </w:rPr>
            </w:pPr>
          </w:p>
        </w:tc>
        <w:tc>
          <w:tcPr>
            <w:tcW w:w="132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March 29, 2025</w:t>
            </w:r>
          </w:p>
        </w:tc>
      </w:tr>
      <w:tr>
        <w:trPr>
          <w:trHeight w:val="209"/>
        </w:trPr>
        <w:tc>
          <w:tcPr>
            <w:tcW w:w="7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6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7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Capitalized research and development expenses</w:t>
            </w:r>
          </w:p>
        </w:tc>
        <w:tc>
          <w:tcPr>
            <w:tcW w:w="104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103,142</w:t>
            </w:r>
          </w:p>
        </w:tc>
        <w:tc>
          <w:tcPr>
            <w:tcW w:w="380" w:type="dxa"/>
            <w:vAlign w:val="bottom"/>
            <w:gridSpan w:val="2"/>
          </w:tcPr>
          <w:p>
            <w:pPr>
              <w:jc w:val="right"/>
              <w:ind w:right="194"/>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96,198</w:t>
            </w:r>
          </w:p>
        </w:tc>
        <w:tc>
          <w:tcPr>
            <w:tcW w:w="80" w:type="dxa"/>
            <w:vAlign w:val="bottom"/>
          </w:tcPr>
          <w:p>
            <w:pPr>
              <w:spacing w:after="0"/>
              <w:rPr>
                <w:sz w:val="18"/>
                <w:szCs w:val="18"/>
                <w:color w:val="auto"/>
              </w:rPr>
            </w:pPr>
          </w:p>
        </w:tc>
      </w:tr>
      <w:tr>
        <w:trPr>
          <w:trHeight w:val="216"/>
        </w:trPr>
        <w:tc>
          <w:tcPr>
            <w:tcW w:w="7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other tax credits</w:t>
            </w: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43,312</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42,066</w:t>
            </w:r>
          </w:p>
        </w:tc>
        <w:tc>
          <w:tcPr>
            <w:tcW w:w="80" w:type="dxa"/>
            <w:vAlign w:val="bottom"/>
            <w:shd w:val="clear" w:color="auto" w:fill="CCEEFF"/>
          </w:tcPr>
          <w:p>
            <w:pPr>
              <w:spacing w:after="0"/>
              <w:rPr>
                <w:sz w:val="18"/>
                <w:szCs w:val="18"/>
                <w:color w:val="auto"/>
              </w:rPr>
            </w:pPr>
          </w:p>
        </w:tc>
      </w:tr>
      <w:tr>
        <w:trPr>
          <w:trHeight w:val="216"/>
        </w:trPr>
        <w:tc>
          <w:tcPr>
            <w:tcW w:w="7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Employee benefits</w:t>
            </w: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37,412</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34,335</w:t>
            </w:r>
          </w:p>
        </w:tc>
        <w:tc>
          <w:tcPr>
            <w:tcW w:w="80" w:type="dxa"/>
            <w:vAlign w:val="bottom"/>
          </w:tcPr>
          <w:p>
            <w:pPr>
              <w:spacing w:after="0"/>
              <w:rPr>
                <w:sz w:val="18"/>
                <w:szCs w:val="18"/>
                <w:color w:val="auto"/>
              </w:rPr>
            </w:pPr>
          </w:p>
        </w:tc>
      </w:tr>
      <w:tr>
        <w:trPr>
          <w:trHeight w:val="216"/>
        </w:trPr>
        <w:tc>
          <w:tcPr>
            <w:tcW w:w="7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Capital loss carryforwards</w:t>
            </w: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29,221</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29,334</w:t>
            </w:r>
          </w:p>
        </w:tc>
        <w:tc>
          <w:tcPr>
            <w:tcW w:w="80" w:type="dxa"/>
            <w:vAlign w:val="bottom"/>
            <w:shd w:val="clear" w:color="auto" w:fill="CCEEFF"/>
          </w:tcPr>
          <w:p>
            <w:pPr>
              <w:spacing w:after="0"/>
              <w:rPr>
                <w:sz w:val="18"/>
                <w:szCs w:val="18"/>
                <w:color w:val="auto"/>
              </w:rPr>
            </w:pPr>
          </w:p>
        </w:tc>
      </w:tr>
      <w:tr>
        <w:trPr>
          <w:trHeight w:val="216"/>
        </w:trPr>
        <w:tc>
          <w:tcPr>
            <w:tcW w:w="7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25,437</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25,045</w:t>
            </w:r>
          </w:p>
        </w:tc>
        <w:tc>
          <w:tcPr>
            <w:tcW w:w="80" w:type="dxa"/>
            <w:vAlign w:val="bottom"/>
          </w:tcPr>
          <w:p>
            <w:pPr>
              <w:spacing w:after="0"/>
              <w:rPr>
                <w:sz w:val="18"/>
                <w:szCs w:val="18"/>
                <w:color w:val="auto"/>
              </w:rPr>
            </w:pPr>
          </w:p>
        </w:tc>
      </w:tr>
      <w:tr>
        <w:trPr>
          <w:trHeight w:val="216"/>
        </w:trPr>
        <w:tc>
          <w:tcPr>
            <w:tcW w:w="7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17,593</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17,485</w:t>
            </w:r>
          </w:p>
        </w:tc>
        <w:tc>
          <w:tcPr>
            <w:tcW w:w="80" w:type="dxa"/>
            <w:vAlign w:val="bottom"/>
            <w:shd w:val="clear" w:color="auto" w:fill="CCEEFF"/>
          </w:tcPr>
          <w:p>
            <w:pPr>
              <w:spacing w:after="0"/>
              <w:rPr>
                <w:sz w:val="18"/>
                <w:szCs w:val="18"/>
                <w:color w:val="auto"/>
              </w:rPr>
            </w:pPr>
          </w:p>
        </w:tc>
      </w:tr>
      <w:tr>
        <w:trPr>
          <w:trHeight w:val="216"/>
        </w:trPr>
        <w:tc>
          <w:tcPr>
            <w:tcW w:w="7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Lease liabilities</w:t>
            </w: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12,871</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13,713</w:t>
            </w:r>
          </w:p>
        </w:tc>
        <w:tc>
          <w:tcPr>
            <w:tcW w:w="80" w:type="dxa"/>
            <w:vAlign w:val="bottom"/>
          </w:tcPr>
          <w:p>
            <w:pPr>
              <w:spacing w:after="0"/>
              <w:rPr>
                <w:sz w:val="18"/>
                <w:szCs w:val="18"/>
                <w:color w:val="auto"/>
              </w:rPr>
            </w:pPr>
          </w:p>
        </w:tc>
      </w:tr>
      <w:tr>
        <w:trPr>
          <w:trHeight w:val="229"/>
        </w:trPr>
        <w:tc>
          <w:tcPr>
            <w:tcW w:w="7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6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21,050</w:t>
            </w: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14,012</w:t>
            </w:r>
          </w:p>
        </w:tc>
        <w:tc>
          <w:tcPr>
            <w:tcW w:w="80" w:type="dxa"/>
            <w:vAlign w:val="bottom"/>
            <w:shd w:val="clear" w:color="auto" w:fill="CCEEFF"/>
          </w:tcPr>
          <w:p>
            <w:pPr>
              <w:spacing w:after="0"/>
              <w:rPr>
                <w:sz w:val="19"/>
                <w:szCs w:val="19"/>
                <w:color w:val="auto"/>
              </w:rPr>
            </w:pPr>
          </w:p>
        </w:tc>
      </w:tr>
      <w:tr>
        <w:trPr>
          <w:trHeight w:val="209"/>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deferred income tax assets</w:t>
            </w:r>
          </w:p>
        </w:tc>
        <w:tc>
          <w:tcPr>
            <w:tcW w:w="66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290,038</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272,188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7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Valuation allowance</w:t>
            </w:r>
          </w:p>
        </w:tc>
        <w:tc>
          <w:tcPr>
            <w:tcW w:w="6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(90,855)</w:t>
            </w: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(85,722)</w:t>
            </w:r>
          </w:p>
        </w:tc>
      </w:tr>
      <w:tr>
        <w:trPr>
          <w:trHeight w:val="209"/>
        </w:trPr>
        <w:tc>
          <w:tcPr>
            <w:tcW w:w="7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deferred income tax assets, net of valuation allowance</w:t>
            </w:r>
          </w:p>
        </w:tc>
        <w:tc>
          <w:tcPr>
            <w:tcW w:w="66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199,183</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186,466</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1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and equipment</w:t>
            </w:r>
          </w:p>
        </w:tc>
        <w:tc>
          <w:tcPr>
            <w:tcW w:w="104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(28,703)</w:t>
            </w:r>
          </w:p>
        </w:tc>
        <w:tc>
          <w:tcPr>
            <w:tcW w:w="380" w:type="dxa"/>
            <w:vAlign w:val="bottom"/>
            <w:gridSpan w:val="2"/>
          </w:tcPr>
          <w:p>
            <w:pPr>
              <w:jc w:val="right"/>
              <w:ind w:right="194"/>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(34,912)</w:t>
            </w:r>
          </w:p>
        </w:tc>
      </w:tr>
      <w:tr>
        <w:trPr>
          <w:trHeight w:val="216"/>
        </w:trPr>
        <w:tc>
          <w:tcPr>
            <w:tcW w:w="7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Intangible assets</w:t>
            </w: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(17,897)</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(34,289)</w:t>
            </w:r>
          </w:p>
        </w:tc>
      </w:tr>
      <w:tr>
        <w:trPr>
          <w:trHeight w:val="216"/>
        </w:trPr>
        <w:tc>
          <w:tcPr>
            <w:tcW w:w="7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Right-of-use assets</w:t>
            </w: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(11,819)</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(12,985)</w:t>
            </w:r>
          </w:p>
        </w:tc>
      </w:tr>
      <w:tr>
        <w:trPr>
          <w:trHeight w:val="216"/>
        </w:trPr>
        <w:tc>
          <w:tcPr>
            <w:tcW w:w="7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tax on unremitted foreign earnings</w:t>
            </w: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(8,906)</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(8,701)</w:t>
            </w:r>
          </w:p>
        </w:tc>
      </w:tr>
      <w:tr>
        <w:trPr>
          <w:trHeight w:val="230"/>
        </w:trPr>
        <w:tc>
          <w:tcPr>
            <w:tcW w:w="7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(2,356)</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(4,948)</w:t>
            </w:r>
          </w:p>
        </w:tc>
      </w:tr>
      <w:tr>
        <w:trPr>
          <w:trHeight w:val="209"/>
        </w:trPr>
        <w:tc>
          <w:tcPr>
            <w:tcW w:w="7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 income tax liabilities</w:t>
            </w:r>
          </w:p>
        </w:tc>
        <w:tc>
          <w:tcPr>
            <w:tcW w:w="6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(69,681</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(95,835</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63"/>
        </w:trPr>
        <w:tc>
          <w:tcPr>
            <w:tcW w:w="7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deferred income tax asset</w:t>
            </w:r>
          </w:p>
        </w:tc>
        <w:tc>
          <w:tcPr>
            <w:tcW w:w="66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129,502</w:t>
            </w:r>
          </w:p>
        </w:tc>
        <w:tc>
          <w:tcPr>
            <w:tcW w:w="2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90,631</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r>
      <w:tr>
        <w:trPr>
          <w:trHeight w:val="197"/>
        </w:trPr>
        <w:tc>
          <w:tcPr>
            <w:tcW w:w="77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Amounts included in the Consolidated Balance Sheets:</w:t>
            </w:r>
          </w:p>
        </w:tc>
        <w:tc>
          <w:tcPr>
            <w:tcW w:w="6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7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non-current assets</w:t>
            </w:r>
          </w:p>
        </w:tc>
        <w:tc>
          <w:tcPr>
            <w:tcW w:w="104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130,794</w:t>
            </w:r>
          </w:p>
        </w:tc>
        <w:tc>
          <w:tcPr>
            <w:tcW w:w="380" w:type="dxa"/>
            <w:vAlign w:val="bottom"/>
            <w:gridSpan w:val="2"/>
          </w:tcPr>
          <w:p>
            <w:pPr>
              <w:jc w:val="right"/>
              <w:ind w:right="194"/>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101,439</w:t>
            </w:r>
          </w:p>
        </w:tc>
        <w:tc>
          <w:tcPr>
            <w:tcW w:w="80" w:type="dxa"/>
            <w:vAlign w:val="bottom"/>
          </w:tcPr>
          <w:p>
            <w:pPr>
              <w:spacing w:after="0"/>
              <w:rPr>
                <w:sz w:val="18"/>
                <w:szCs w:val="18"/>
                <w:color w:val="auto"/>
              </w:rPr>
            </w:pPr>
          </w:p>
        </w:tc>
      </w:tr>
      <w:tr>
        <w:trPr>
          <w:trHeight w:val="230"/>
        </w:trPr>
        <w:tc>
          <w:tcPr>
            <w:tcW w:w="7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6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(1,292)</w:t>
            </w: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(10,808)</w:t>
            </w:r>
          </w:p>
        </w:tc>
      </w:tr>
      <w:tr>
        <w:trPr>
          <w:trHeight w:val="223"/>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deferred income tax asset</w:t>
            </w:r>
          </w:p>
        </w:tc>
        <w:tc>
          <w:tcPr>
            <w:tcW w:w="66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129,502</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90,631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7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The Company has recorded a valuation allowance against certain U.S. and foreign deferred tax assets as of March 28, 2026 and March 29, 2025. These valuation allowances were established based upon management’s opinion that it is more likely than not (a likelihood of more than 50 percent) that the benefit of these deferred tax assets will not be realized.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color w:val="auto"/>
        </w:rPr>
        <w:t>Qorvo,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components of the change in valuation allowances and ending balances are as follows (in thousands):</w:t>
            </w: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45"/>
        </w:trPr>
        <w:tc>
          <w:tcPr>
            <w:tcW w:w="52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Fiscal Year</w:t>
            </w: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23"/>
        </w:trPr>
        <w:tc>
          <w:tcPr>
            <w:tcW w:w="5260" w:type="dxa"/>
            <w:vAlign w:val="bottom"/>
            <w:tcBorders>
              <w:bottom w:val="single" w:sz="8" w:color="CCEEFF"/>
            </w:tcBorders>
          </w:tcPr>
          <w:p>
            <w:pPr>
              <w:spacing w:after="0"/>
              <w:rPr>
                <w:sz w:val="19"/>
                <w:szCs w:val="19"/>
                <w:color w:val="auto"/>
              </w:rPr>
            </w:pPr>
          </w:p>
        </w:tc>
        <w:tc>
          <w:tcPr>
            <w:tcW w:w="17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2024</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09"/>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valuation allowance</w:t>
            </w:r>
          </w:p>
        </w:tc>
        <w:tc>
          <w:tcPr>
            <w:tcW w:w="17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85,722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w w:val="92"/>
              </w:rPr>
              <w:t>43,636</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35,896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Charged (credited) to income tax provision:</w:t>
            </w:r>
          </w:p>
        </w:tc>
        <w:tc>
          <w:tcPr>
            <w:tcW w:w="1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Domestic tax attributes and deferred tax assets</w:t>
            </w:r>
          </w:p>
        </w:tc>
        <w:tc>
          <w:tcPr>
            <w:tcW w:w="1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746</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33,344</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(3,367)</w:t>
            </w:r>
          </w:p>
        </w:tc>
      </w:tr>
      <w:tr>
        <w:trPr>
          <w:trHeight w:val="216"/>
        </w:trPr>
        <w:tc>
          <w:tcPr>
            <w:tcW w:w="5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tax attributes and deferred tax assets</w:t>
            </w:r>
          </w:p>
        </w:tc>
        <w:tc>
          <w:tcPr>
            <w:tcW w:w="1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3,311</w:t>
            </w:r>
          </w:p>
        </w:tc>
        <w:tc>
          <w:tcPr>
            <w:tcW w:w="14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8,802</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10,904</w:t>
            </w:r>
          </w:p>
        </w:tc>
        <w:tc>
          <w:tcPr>
            <w:tcW w:w="80" w:type="dxa"/>
            <w:vAlign w:val="bottom"/>
          </w:tcPr>
          <w:p>
            <w:pPr>
              <w:spacing w:after="0"/>
              <w:rPr>
                <w:sz w:val="18"/>
                <w:szCs w:val="18"/>
                <w:color w:val="auto"/>
              </w:rPr>
            </w:pPr>
          </w:p>
        </w:tc>
      </w:tr>
      <w:tr>
        <w:trPr>
          <w:trHeight w:val="229"/>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Translation and other charges (1)</w:t>
            </w:r>
          </w:p>
        </w:tc>
        <w:tc>
          <w:tcPr>
            <w:tcW w:w="17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1,076</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(60)</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203</w:t>
            </w:r>
          </w:p>
        </w:tc>
        <w:tc>
          <w:tcPr>
            <w:tcW w:w="80" w:type="dxa"/>
            <w:vAlign w:val="bottom"/>
            <w:shd w:val="clear" w:color="auto" w:fill="CCEEFF"/>
          </w:tcPr>
          <w:p>
            <w:pPr>
              <w:spacing w:after="0"/>
              <w:rPr>
                <w:sz w:val="19"/>
                <w:szCs w:val="19"/>
                <w:color w:val="auto"/>
              </w:rPr>
            </w:pPr>
          </w:p>
        </w:tc>
      </w:tr>
      <w:tr>
        <w:trPr>
          <w:trHeight w:val="263"/>
        </w:trPr>
        <w:tc>
          <w:tcPr>
            <w:tcW w:w="5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Ending valuation allowance</w:t>
            </w:r>
          </w:p>
        </w:tc>
        <w:tc>
          <w:tcPr>
            <w:tcW w:w="172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90,855</w:t>
            </w:r>
          </w:p>
        </w:tc>
        <w:tc>
          <w:tcPr>
            <w:tcW w:w="22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w w:val="92"/>
              </w:rPr>
              <w:t>85,722</w:t>
            </w:r>
          </w:p>
        </w:tc>
        <w:tc>
          <w:tcPr>
            <w:tcW w:w="2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43,636</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r>
      <w:tr>
        <w:trPr>
          <w:trHeight w:val="197"/>
        </w:trPr>
        <w:tc>
          <w:tcPr>
            <w:tcW w:w="52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Components of ending valuation allowance:</w:t>
            </w:r>
          </w:p>
        </w:tc>
        <w:tc>
          <w:tcPr>
            <w:tcW w:w="1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Domestic deferred tax assets</w:t>
            </w:r>
          </w:p>
        </w:tc>
        <w:tc>
          <w:tcPr>
            <w:tcW w:w="20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66,516</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65,769</w:t>
            </w:r>
          </w:p>
        </w:tc>
        <w:tc>
          <w:tcPr>
            <w:tcW w:w="26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32,406</w:t>
            </w:r>
          </w:p>
        </w:tc>
        <w:tc>
          <w:tcPr>
            <w:tcW w:w="80" w:type="dxa"/>
            <w:vAlign w:val="bottom"/>
          </w:tcPr>
          <w:p>
            <w:pPr>
              <w:spacing w:after="0"/>
              <w:rPr>
                <w:sz w:val="18"/>
                <w:szCs w:val="18"/>
                <w:color w:val="auto"/>
              </w:rPr>
            </w:pPr>
          </w:p>
        </w:tc>
      </w:tr>
      <w:tr>
        <w:trPr>
          <w:trHeight w:val="230"/>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deferred tax assets</w:t>
            </w:r>
          </w:p>
        </w:tc>
        <w:tc>
          <w:tcPr>
            <w:tcW w:w="17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24,339</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19,953</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11,230</w:t>
            </w:r>
          </w:p>
        </w:tc>
        <w:tc>
          <w:tcPr>
            <w:tcW w:w="80" w:type="dxa"/>
            <w:vAlign w:val="bottom"/>
            <w:shd w:val="clear" w:color="auto" w:fill="CCEEFF"/>
          </w:tcPr>
          <w:p>
            <w:pPr>
              <w:spacing w:after="0"/>
              <w:rPr>
                <w:sz w:val="19"/>
                <w:szCs w:val="19"/>
                <w:color w:val="auto"/>
              </w:rPr>
            </w:pPr>
          </w:p>
        </w:tc>
      </w:tr>
      <w:tr>
        <w:trPr>
          <w:trHeight w:val="223"/>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17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90,855</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w w:val="92"/>
              </w:rPr>
              <w:t>85,722</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43,636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2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Other charges primarily relate to purchase accounting adjustments.</w:t>
      </w:r>
    </w:p>
    <w:p>
      <w:pPr>
        <w:spacing w:after="0" w:line="225"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As of March 28, 2026, the Company had federal tax loss carryforwards of approximately $20.4 million, some of which expire in fiscal years 2029 to 2038, and state tax loss carryforwards of approximately $91.9 million, some of which expire in fiscal years 2027 to 2044, the remainder of which will carry forward indefinitely. Federal research tax credits of $87.7 million expire in fiscal years 2044 to 2046, and a portion of the Company’s state research tax credits of $72.0 million expire in fiscal years 2027 to 2043, while the remainder carry forward indefinitely. The Company had foreign tax loss carryforwards of $97.0 million as of March 28, 2026, the majority of which will carry forward indefinitely. Each tax loss carryforward and tax credit expires only if unused prior to its respective expiration date. The utilization of acquired domestic tax assets is subject to certain annual limitations as required under Section 382 of the Internal Revenue Code of 1986, as amended, and similar state income tax provisions.</w:t>
      </w:r>
    </w:p>
    <w:p>
      <w:pPr>
        <w:spacing w:after="0" w:line="18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 currently operates in numerous international jurisdictions, which expose the Company to taxation in various regions. The Company is not permanently reinvested on earnings of its foreign subsidiaries which have been subject to U.S. federal taxation and has recognized a corresponding deferred tax liability for the estimated tax that would be incurred upon repatriation.</w:t>
      </w:r>
    </w:p>
    <w:p>
      <w:pPr>
        <w:spacing w:after="0" w:line="176"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The Company has foreign subsidiaries with tax holiday agreements in Costa Rica and Singapore, which provide for reduced income tax rates expiring in December 2027 and December 2031, respectively. These incentives are contingent upon the Company satisfying specified employment and investment requirements. Upon the divestiture of operations in Costa Rica, the Company began the process to deregister from the Costa Rica tax holiday agreement. As a result of the Company’s active tax holiday agreements, income tax expense decreased relative to the statutory rate by $64.0 million (an impact of approximately $0.69 per basic share and $0.68 per diluted share) in fiscal 2026 and $54.0 million (an impact of approximately $0.57 per basic and diluted share) in fiscal 2025. The overall benefit derived from the Company’s Singapore tax holiday was adversely impacted in fiscal 2026 due to Singapore’s implementation of a minimum tax of 15% on income, which resulted in the Company recording $39.0 million of incremental income tax expense. Certain countries in which the Company operates, including Singapore, have implemented legislation and other guidance to align their international tax rules with the Organization for Economic Co-operation and Development’s (the “OECD”) Base Erosion and Profit Shifting recommendations and action plan, including establishment of a minimum tax of 15% on global income (commonly referred to as the OECD’s global minimum tax regime or “Pillar Two”). On January 5, 2026, the OECD released additional Pillar Two guidance introducing a new “side-by-side” system, which, upon adoption by local legislatures, will exclude U.S. headquartered companies from some aspects of minimum taxation.</w:t>
      </w:r>
    </w:p>
    <w:p>
      <w:pPr>
        <w:spacing w:after="0" w:line="190" w:lineRule="exact"/>
        <w:rPr>
          <w:sz w:val="20"/>
          <w:szCs w:val="20"/>
          <w:color w:val="auto"/>
        </w:rPr>
      </w:pPr>
    </w:p>
    <w:p>
      <w:pPr>
        <w:ind w:right="180"/>
        <w:spacing w:after="0" w:line="289" w:lineRule="auto"/>
        <w:rPr>
          <w:sz w:val="20"/>
          <w:szCs w:val="20"/>
          <w:color w:val="auto"/>
        </w:rPr>
      </w:pPr>
      <w:r>
        <w:rPr>
          <w:rFonts w:ascii="Times New Roman" w:cs="Times New Roman" w:eastAsia="Times New Roman" w:hAnsi="Times New Roman"/>
          <w:sz w:val="17"/>
          <w:szCs w:val="17"/>
          <w:color w:val="auto"/>
        </w:rPr>
        <w:t>The Company’s gross unrecognized tax benefits totaled $154.6 million, $145.7 million and $158.9 million as of March 28, 2026, March 29, 2025 and March 30, 2024, respectively. Of these amounts, $148.8 million, $139.6 million and $152.6 million as of March 28, 2026, March 29, 2025 and March 30, 2024, respectively, represent the amounts of unrecognized tax benefits that, if recognized, would impact the effective tax rate in each of the fiscal years.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color w:val="auto"/>
        </w:rPr>
        <w:t>Qorvo,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Company’s gross unrecognized tax benefits increased from $145.7 million as of March 29, 2025 to $154.6 million as of March 28, 2026, primarily due to current year tax positions, partially offset by the expiration of statute of limitations on prior-year positions.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changes in the amount of gross unrecognized tax benefits is as follows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Fiscal Year</w:t>
            </w: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69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19"/>
                <w:szCs w:val="19"/>
                <w:color w:val="auto"/>
              </w:rPr>
            </w:pPr>
          </w:p>
        </w:tc>
      </w:tr>
      <w:tr>
        <w:trPr>
          <w:trHeight w:val="210"/>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145,717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158,899</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152,331</w:t>
            </w:r>
          </w:p>
        </w:tc>
        <w:tc>
          <w:tcPr>
            <w:tcW w:w="100" w:type="dxa"/>
            <w:vAlign w:val="bottom"/>
            <w:shd w:val="clear" w:color="auto" w:fill="CCEEFF"/>
          </w:tcPr>
          <w:p>
            <w:pPr>
              <w:spacing w:after="0"/>
              <w:rPr>
                <w:sz w:val="18"/>
                <w:szCs w:val="18"/>
                <w:color w:val="auto"/>
              </w:rPr>
            </w:pPr>
          </w:p>
        </w:tc>
      </w:tr>
      <w:tr>
        <w:trPr>
          <w:trHeight w:val="216"/>
        </w:trPr>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Additions based on positions related to current year</w:t>
            </w:r>
          </w:p>
        </w:tc>
        <w:tc>
          <w:tcPr>
            <w:tcW w:w="2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11,832</w:t>
            </w:r>
          </w:p>
        </w:tc>
        <w:tc>
          <w:tcPr>
            <w:tcW w:w="14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16,696</w:t>
            </w: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5,298</w:t>
            </w:r>
          </w:p>
        </w:tc>
      </w:tr>
      <w:tr>
        <w:trPr>
          <w:trHeight w:val="216"/>
        </w:trPr>
        <w:tc>
          <w:tcPr>
            <w:tcW w:w="6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Additions for tax positions in prior years</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578</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1,593</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2,280</w:t>
            </w:r>
          </w:p>
        </w:tc>
      </w:tr>
      <w:tr>
        <w:trPr>
          <w:trHeight w:val="216"/>
        </w:trPr>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Reductions for tax positions in prior years</w:t>
            </w:r>
          </w:p>
        </w:tc>
        <w:tc>
          <w:tcPr>
            <w:tcW w:w="2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(1,297)</w:t>
            </w:r>
          </w:p>
        </w:tc>
        <w:tc>
          <w:tcPr>
            <w:tcW w:w="14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(536)</w:t>
            </w:r>
          </w:p>
        </w:tc>
        <w:tc>
          <w:tcPr>
            <w:tcW w:w="2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(2,416)</w:t>
            </w:r>
          </w:p>
        </w:tc>
      </w:tr>
      <w:tr>
        <w:trPr>
          <w:trHeight w:val="216"/>
        </w:trPr>
        <w:tc>
          <w:tcPr>
            <w:tcW w:w="6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Expiration of statute of limitations</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(2,197)</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(24,983)</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(436)</w:t>
            </w:r>
          </w:p>
        </w:tc>
      </w:tr>
      <w:tr>
        <w:trPr>
          <w:trHeight w:val="230"/>
        </w:trPr>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(reductions) additions (1)</w:t>
            </w:r>
          </w:p>
        </w:tc>
        <w:tc>
          <w:tcPr>
            <w:tcW w:w="28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(5,952)</w:t>
            </w: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1,842</w:t>
            </w:r>
          </w:p>
        </w:tc>
      </w:tr>
      <w:tr>
        <w:trPr>
          <w:trHeight w:val="223"/>
        </w:trPr>
        <w:tc>
          <w:tcPr>
            <w:tcW w:w="6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154,633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145,717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158,899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Relates to divestitures and purchase accounting related adjustments.</w:t>
      </w:r>
    </w:p>
    <w:p>
      <w:pPr>
        <w:spacing w:after="0" w:line="22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It is the Company’s policy to recognize interest and penalties related to uncertain tax positions as a component of income tax expense. During fiscal years 2026, 2025 and 2024, the Company recognized $0.8 million, $2.2 million and $3.5 million, respectively, of interest and penalties related to uncertain tax positions. Accrued interest and penalties related to unrecognized tax benefits totaled $8.3 million, $7.5 million and $5.3 million as of March 28, 2026, March 29, 2025 and March 30, 2024, respectively.</w:t>
      </w:r>
    </w:p>
    <w:p>
      <w:pPr>
        <w:spacing w:after="0" w:line="180"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unrecognized tax benefits of $154.6 million and accrued interest and penalties of $8.3 million as of March 28, 2026 are recorded in the Consolidated Balance Sheet as a $44.4 million other long-term liability, with the balance reducing the carrying value of the gross deferred tax assets.</w:t>
      </w:r>
    </w:p>
    <w:p>
      <w:pPr>
        <w:spacing w:after="0" w:line="16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Company files a consolidated U.S. federal income tax return, as well as separate and combined income tax returns in numerous state and international jurisdictions. The Company’s fiscal 2021 U.S. federal and state tax returns and subsequent tax years remain open for examination, as well as attributes brought forward into those years. As of March 28, 2026, the Company’s U.S. federal income tax return for fiscal 2023 is under examination. While the ultimate resolution of this examination is uncertain, the Company believes that its tax positions are reasonably supported and that adequate reserves, if any, have been recorded in accordance with ASC 740. The Company is also subject to examination by various international tax authorities, with tax years subject to examination varying by jurisdiction.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color w:val="auto"/>
        </w:rPr>
        <w:t>Qorvo,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 NET INCOME (LOSS) PER SHARE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net income (loss) per share (in thousands, except per share data):</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Fiscal Year</w:t>
            </w: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9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900" w:type="dxa"/>
            <w:vAlign w:val="bottom"/>
          </w:tcPr>
          <w:p>
            <w:pPr>
              <w:ind w:left="320"/>
              <w:spacing w:after="0" w:line="198" w:lineRule="exact"/>
              <w:rPr>
                <w:sz w:val="20"/>
                <w:szCs w:val="20"/>
                <w:color w:val="auto"/>
              </w:rPr>
            </w:pPr>
            <w:r>
              <w:rPr>
                <w:rFonts w:ascii="Times New Roman" w:cs="Times New Roman" w:eastAsia="Times New Roman" w:hAnsi="Times New Roman"/>
                <w:sz w:val="18"/>
                <w:szCs w:val="18"/>
                <w:color w:val="auto"/>
              </w:rPr>
              <w:t>Numerator for basic and diluted net income (loss) per share — net income (loss) available</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1"/>
        </w:trPr>
        <w:tc>
          <w:tcPr>
            <w:tcW w:w="69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 common stockholders</w:t>
            </w:r>
          </w:p>
        </w:tc>
        <w:tc>
          <w:tcPr>
            <w:tcW w:w="3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338,989</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55,615</w:t>
            </w:r>
          </w:p>
        </w:tc>
        <w:tc>
          <w:tcPr>
            <w:tcW w:w="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(70,322)</w:t>
            </w:r>
          </w:p>
        </w:tc>
        <w:tc>
          <w:tcPr>
            <w:tcW w:w="0" w:type="dxa"/>
            <w:vAlign w:val="bottom"/>
          </w:tcPr>
          <w:p>
            <w:pPr>
              <w:spacing w:after="0"/>
              <w:rPr>
                <w:sz w:val="1"/>
                <w:szCs w:val="1"/>
                <w:color w:val="auto"/>
              </w:rPr>
            </w:pPr>
          </w:p>
        </w:tc>
      </w:tr>
      <w:tr>
        <w:trPr>
          <w:trHeight w:val="197"/>
        </w:trPr>
        <w:tc>
          <w:tcPr>
            <w:tcW w:w="6900" w:type="dxa"/>
            <w:vAlign w:val="bottom"/>
            <w:tcBorders>
              <w:top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Denominator:</w:t>
            </w: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Denominator for basic net income (loss) per share — weighted-average shares</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92,592</w:t>
            </w:r>
          </w:p>
        </w:tc>
        <w:tc>
          <w:tcPr>
            <w:tcW w:w="14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94,586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97,557</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Stock-based awards</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955</w:t>
            </w:r>
          </w:p>
        </w:tc>
        <w:tc>
          <w:tcPr>
            <w:tcW w:w="14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864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8"/>
        </w:trPr>
        <w:tc>
          <w:tcPr>
            <w:tcW w:w="6900" w:type="dxa"/>
            <w:vAlign w:val="bottom"/>
            <w:tcBorders>
              <w:top w:val="single" w:sz="8" w:color="CCEEFF"/>
            </w:tcBorders>
            <w:shd w:val="clear" w:color="auto" w:fill="CCEEFF"/>
          </w:tcPr>
          <w:p>
            <w:pPr>
              <w:ind w:left="320"/>
              <w:spacing w:after="0" w:line="177" w:lineRule="exact"/>
              <w:rPr>
                <w:sz w:val="20"/>
                <w:szCs w:val="20"/>
                <w:color w:val="auto"/>
              </w:rPr>
            </w:pPr>
            <w:r>
              <w:rPr>
                <w:rFonts w:ascii="Times New Roman" w:cs="Times New Roman" w:eastAsia="Times New Roman" w:hAnsi="Times New Roman"/>
                <w:sz w:val="18"/>
                <w:szCs w:val="18"/>
                <w:color w:val="auto"/>
              </w:rPr>
              <w:t>Denominator for diluted net income (loss) per share — adjusted weighted-average shares</w:t>
            </w:r>
          </w:p>
        </w:tc>
        <w:tc>
          <w:tcPr>
            <w:tcW w:w="8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69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and assumed conversions</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93,547</w:t>
            </w:r>
          </w:p>
        </w:tc>
        <w:tc>
          <w:tcPr>
            <w:tcW w:w="14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95,450</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97,557</w:t>
            </w:r>
          </w:p>
        </w:tc>
        <w:tc>
          <w:tcPr>
            <w:tcW w:w="0" w:type="dxa"/>
            <w:vAlign w:val="bottom"/>
          </w:tcPr>
          <w:p>
            <w:pPr>
              <w:spacing w:after="0"/>
              <w:rPr>
                <w:sz w:val="1"/>
                <w:szCs w:val="1"/>
                <w:color w:val="auto"/>
              </w:rPr>
            </w:pPr>
          </w:p>
        </w:tc>
      </w:tr>
      <w:tr>
        <w:trPr>
          <w:trHeight w:val="20"/>
        </w:trPr>
        <w:tc>
          <w:tcPr>
            <w:tcW w:w="69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Basic net income (loss) per share</w:t>
            </w: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37"/>
        </w:trPr>
        <w:tc>
          <w:tcPr>
            <w:tcW w:w="690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vMerge w:val="continue"/>
          </w:tcPr>
          <w:p>
            <w:pPr>
              <w:spacing w:after="0"/>
              <w:rPr>
                <w:sz w:val="20"/>
                <w:szCs w:val="20"/>
                <w:color w:val="auto"/>
              </w:rPr>
            </w:pPr>
          </w:p>
        </w:tc>
        <w:tc>
          <w:tcPr>
            <w:tcW w:w="280" w:type="dxa"/>
            <w:vAlign w:val="bottom"/>
            <w:tcBorders>
              <w:bottom w:val="single" w:sz="8" w:color="auto"/>
            </w:tcBorders>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3.66</w:t>
            </w:r>
          </w:p>
        </w:tc>
        <w:tc>
          <w:tcPr>
            <w:tcW w:w="22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0.59</w:t>
            </w:r>
          </w:p>
        </w:tc>
        <w:tc>
          <w:tcPr>
            <w:tcW w:w="12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(0.72</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6900" w:type="dxa"/>
            <w:vAlign w:val="bottom"/>
            <w:tcBorders>
              <w:bottom w:val="single" w:sz="8" w:color="CCEEFF"/>
            </w:tcBorders>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color w:val="auto"/>
              </w:rPr>
              <w:t>Diluted net income (loss) per share</w:t>
            </w: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3.62</w:t>
            </w:r>
          </w:p>
        </w:tc>
        <w:tc>
          <w:tcPr>
            <w:tcW w:w="2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0.58</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(0.72</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the computation of diluted net income per share for fiscal years 2026 and 2025, approximately 1.1 million and 1.0 million shares, respectively, of outstanding stock-based awards were excluded because the effect of their inclusion would have been anti-dilutive. In the computation of net loss per share for fiscal 2024, approximately 1.5 million shares of outstanding stock-based awards were excluded because the effect of their inclusion would have been anti-dilutive.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 STOCK-BASED COMPENSATION</w:t>
      </w:r>
    </w:p>
    <w:p>
      <w:pPr>
        <w:spacing w:after="0" w:line="225"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Total pre-tax stock-based compensation expense recognized in the Consolidated Statements of Operations was $136.1 million, $136.3 million and $120.8 million for fiscal years 2026, 2025 and 2024, respectively. The net tax benefit realized for the tax deduction from stock-based compensation was $14.7 million, $17.3 million and $16.2 million for fiscal years 2026, 2025 and 2024, respectively.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Incentive Award Plan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Amended and Restated 2022 Stock Incentive Plan – Qorvo, Inc.</w:t>
      </w:r>
    </w:p>
    <w:p>
      <w:pPr>
        <w:spacing w:after="0" w:line="227"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Company currently grants equity-based awards to eligible employees, directors and independent contractors under the Qorvo, Inc. Amended and Restated 2022 Stock Incentive Plan (the “2022 Plan”), which was amended and restated upon approval by stockholders at the Annual Meeting of Stockholders held on August 13, 2025 to increase the number of shares that may be issued in connection with awards granted thereunder by approximately 3.2 million shares (subject to adjustment for anti-dilution purposes). Under the 2022 Plan, the Company is permitted to grant awards, such as restricted stock units (“RSUs”), restricted stock awards, performance shares, performance units, stock options, stock appreciation rights and phantom stock awards, to eligible participants. The maximum number of shares issuable under the 2022 Plan may not exceed approximately 7.7 million shares (subject to adjustment for anti-dilution purposes). As of March 28, 2026, approximately 3.8 million shares were available for issuance under the 2022 Plan.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22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RSUs granted by the Company in fiscal years 2026, 2025 and 2024 are either service-based or performance-based. Service-based RSUs generally vest over a four-year period from the grant date. Performance-based awards are comprised of corporate objective-based awards and gross margin-based awards. Corporate objective-based awards are earned based on Company achievement of specific performance targets and, if earned, generally vest one-half when earned and the remaining balance vests in equal installments over each of the following two years. Gross margin-based awards are earned based on Company achievement of gross margin targets and, if earned, generally vest when earned. RSUs granted to non-employee directors generally vest over a one-year period from the grant date. In fiscal 2026, each non-employee director was eligible to receive an annual grant of RSUs.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8" w:name="page39"/>
    <w:bookmarkEnd w:id="38"/>
    <w:p>
      <w:pPr>
        <w:jc w:val="center"/>
        <w:ind w:right="-39"/>
        <w:spacing w:after="0"/>
        <w:rPr>
          <w:sz w:val="20"/>
          <w:szCs w:val="20"/>
          <w:color w:val="auto"/>
        </w:rPr>
      </w:pPr>
      <w:r>
        <w:rPr>
          <w:rFonts w:ascii="Times New Roman" w:cs="Times New Roman" w:eastAsia="Times New Roman" w:hAnsi="Times New Roman"/>
          <w:sz w:val="18"/>
          <w:szCs w:val="18"/>
          <w:color w:val="auto"/>
        </w:rPr>
        <w:t>Qorvo, Inc. and Subsidiaries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RSUs granted to certain officers of the Company generally will, in the event of the officer’s termination other than for cause and subject to the officer executing certain agreements in favor of the Company, continue to vest pursuant to the same vesting schedule as if the officer had remained an employee of the Company and, as a result, these awards are expensed at grant date. In fiscal 2026, stock-based compensation of $34.9 million was recognized upon the grant of 0.1 million service-based RSUs and 0.3 million performance-based RSUs to certain officers of the Company.</w:t>
      </w:r>
    </w:p>
    <w:p>
      <w:pPr>
        <w:spacing w:after="0" w:line="180"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fair value per unit of each RSU is determined on the grant date, and the compensation expense is based on awards ultimately expected to vest. The Company has elected to estimate forfeitures at the time of grant and if actual forfeitures differ from those estimates, the Company revises the estimates in subsequent periods. Based upon historical pre-vesting forfeiture experience, the Company assumed an annualized forfeiture rate of 2.4% for RSUs.</w:t>
      </w:r>
    </w:p>
    <w:p>
      <w:pPr>
        <w:sectPr>
          <w:pgSz w:w="11900" w:h="16838" w:orient="portrait"/>
          <w:cols w:equalWidth="0" w:num="1">
            <w:col w:w="11220"/>
          </w:cols>
          <w:pgMar w:left="320" w:top="904" w:right="359" w:bottom="1440" w:gutter="0" w:footer="0" w:header="0"/>
        </w:sectPr>
      </w:pP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summary of activity with respect to RSUs under the Company’s director and employee stock plans is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Unvested balance as of March 29,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Vested</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Forfeited</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Unvested balance as of March 28,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631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7"/>
              </w:rPr>
              <w:t>Weighted-Average</w:t>
            </w:r>
          </w:p>
        </w:tc>
      </w:tr>
      <w:tr>
        <w:trPr>
          <w:trHeight w:val="216"/>
        </w:trPr>
        <w:tc>
          <w:tcPr>
            <w:tcW w:w="136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RSUs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Grant-Date</w:t>
            </w:r>
          </w:p>
        </w:tc>
      </w:tr>
      <w:tr>
        <w:trPr>
          <w:trHeight w:val="234"/>
        </w:trPr>
        <w:tc>
          <w:tcPr>
            <w:tcW w:w="13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(in thousands)</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6"/>
              </w:rPr>
              <w:t>Fair Value</w:t>
            </w:r>
          </w:p>
        </w:tc>
      </w:tr>
      <w:tr>
        <w:trPr>
          <w:trHeight w:val="191"/>
        </w:trPr>
        <w:tc>
          <w:tcPr>
            <w:tcW w:w="12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2,820</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top w:val="single" w:sz="8" w:color="auto"/>
            </w:tcBorders>
          </w:tcPr>
          <w:p>
            <w:pPr>
              <w:jc w:val="right"/>
              <w:ind w:right="1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102.45</w:t>
            </w:r>
          </w:p>
        </w:tc>
        <w:tc>
          <w:tcPr>
            <w:tcW w:w="20" w:type="dxa"/>
            <w:vAlign w:val="bottom"/>
          </w:tcPr>
          <w:p>
            <w:pPr>
              <w:spacing w:after="0"/>
              <w:rPr>
                <w:sz w:val="16"/>
                <w:szCs w:val="16"/>
                <w:color w:val="auto"/>
              </w:rPr>
            </w:pPr>
          </w:p>
        </w:tc>
      </w:tr>
      <w:tr>
        <w:trPr>
          <w:trHeight w:val="216"/>
        </w:trPr>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1,601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87.26</w:t>
            </w:r>
          </w:p>
        </w:tc>
      </w:tr>
      <w:tr>
        <w:trPr>
          <w:trHeight w:val="216"/>
        </w:trPr>
        <w:tc>
          <w:tcPr>
            <w:tcW w:w="13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(1,157)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106.83</w:t>
            </w:r>
          </w:p>
        </w:tc>
      </w:tr>
      <w:tr>
        <w:trPr>
          <w:trHeight w:val="248"/>
        </w:trPr>
        <w:tc>
          <w:tcPr>
            <w:tcW w:w="13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(293)</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96.94</w:t>
            </w:r>
          </w:p>
        </w:tc>
      </w:tr>
      <w:tr>
        <w:trPr>
          <w:trHeight w:val="223"/>
        </w:trPr>
        <w:tc>
          <w:tcPr>
            <w:tcW w:w="12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2,971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94.07</w:t>
            </w:r>
          </w:p>
        </w:tc>
      </w:tr>
      <w:tr>
        <w:trPr>
          <w:trHeight w:val="20"/>
        </w:trPr>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8280" w:space="80"/>
            <w:col w:w="2860"/>
          </w:cols>
          <w:pgMar w:left="320" w:top="904" w:right="359" w:bottom="1440" w:gutter="0" w:footer="0" w:header="0"/>
          <w:type w:val="continuous"/>
        </w:sect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As of March 28, 2026, total remaining unearned compensation cost related to unvested RSUs was $167.0 million, which will be amortized over the weighted-average remaining service period of approximately 1.3 years.</w:t>
      </w:r>
    </w:p>
    <w:p>
      <w:pPr>
        <w:spacing w:after="0" w:line="162"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18"/>
          <w:szCs w:val="18"/>
          <w:color w:val="auto"/>
        </w:rPr>
        <w:t>The total intrinsic value of RSUs that vested during fiscal years 2026, 2025 and 2024 was $96.4 million, $96.3 million and $85.8 million, respectively, based upon the fair market value of the Company’s common stock on the vesting date. The Company settles RSUs with newly issued shares of the Company’s common stock. For the majority of RSUs, shares are issued on the vesting date net of the amount of shares needed to satisfy statutory tax withholding obligations to be paid by the Company on behalf of the employees. As a result, the actual number of shares issued will be fewer than the number of RSUs unvested.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Amended and Restated Employee Stock Purchase Plan</w:t>
      </w:r>
    </w:p>
    <w:p>
      <w:pPr>
        <w:spacing w:after="0" w:line="22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Qorvo, Inc. Amended and Restated 2007 Employee Stock Purchase Plan (the “ESPP”), which is intended to qualify as an “employee stock purchase plan” under Section 423 of the Internal Revenue Code, was assumed by the Company in connection with the Business Combination and was amended and restated upon approval by stockholders at the Annual Meeting of Stockholders held on August 13, 2025 to increase the number of shares that may be made available for sale thereunder by 4.0 million shares (subject to adjustment for anti-dilution purposes). All employees who meet the eligibility requirements of the plan may participate in the ESPP, which provides employees an opportunity to acquire the Company’s common stock at 85% of the lower of the closing price per share of the Company’s common stock on the first or last day of each six-month purchase period. The maximum number of shares issuable under the ESPP is approximately 10.2 million shares (subject to adjustment for anti-dilution purposes). As of March 28, 2026, 5.0 million shares were available for future issuance under this plan. The Company makes no cash contributions to the ESPP but bears the expenses of its administration. The Company issued 0.7 million shares under the ESPP in fiscal 2026 and 0.5 million shares in both fiscal years 2025 and 2024.</w:t>
      </w:r>
    </w:p>
    <w:p>
      <w:pPr>
        <w:spacing w:after="0" w:line="188"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Cash received from participation in the ESPP (excluding accrued unremitted employee funds) was approximately $36.9 million for fiscal 2026 and is reflected in cash flows from financing activities in the Consolidated Statement of Cash Flows. The Company settles ESPP purchases with newly issued shares of the Company’s common stock. The fair value of each award is estimated on the date of grant using a Black-Scholes pricing model based on the historical volatility, dividend yield, term and risk-free interest rate.</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type w:val="continuous"/>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color w:val="auto"/>
        </w:rPr>
        <w:t>Qorvo,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 STOCKHOLDERS’ EQUITY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Repurchase</w:t>
      </w:r>
    </w:p>
    <w:p>
      <w:pPr>
        <w:spacing w:after="0" w:line="22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On November 2, 2022, the Company announced that its Board of Directors authorized a share repurchase program to repurchase up to $2.0 billion of the Company’s outstanding common stock, which included the remaining authorized dollar amount under a prior program terminated concurrent with the new authorization.</w:t>
      </w:r>
    </w:p>
    <w:p>
      <w:pPr>
        <w:spacing w:after="0" w:line="176"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Under this program, share repurchases are made in accordance with applicable securities laws on the open market or in privately negotiated transactions. The extent to which the Company repurchases its shares, the number of shares and the timing of any repurchases depends on general market conditions, regulatory requirements, alternative investment opportunities and other considerations. The program does not require the Company to repurchase a minimum number of shares, does not have a fixed term, and may be modified, suspended or terminated at any time without prior notice. Following the execution of the Merger Agreement in the third quarter of fiscal 2026, the Company suspended its share repurchase activity; however, in the fourth quarter of fiscal 2026, the Company resumed share repurchases in accordance with the terms of the Merger Agreement.</w:t>
      </w:r>
    </w:p>
    <w:p>
      <w:pPr>
        <w:spacing w:after="0" w:line="18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During fiscal years 2026, 2025 and 2024, the Company repurchased approximately 6.6 million shares, 4.0 million shares and 4.0 million shares of its common stock, respectively, for approximately $536.7 million, $358.8 million and $403.0 million, respectively (including transaction costs and excise tax, as applicable) under the share repurchase program. As of March 28, 2026, approximately $416.2 million remains authorized for repurchases under the share repurchase program.</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Stock Reserved For Future Issuance</w:t>
      </w:r>
    </w:p>
    <w:p>
      <w:pPr>
        <w:spacing w:after="0" w:line="22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As of March 28, 2026, the Company had reserved a total of approximately 11.8 million of its authorized 405.0 million shares of common stock for possible future issuance as follows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Company stock incentive plan</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3,789</w:t>
            </w:r>
          </w:p>
        </w:tc>
        <w:tc>
          <w:tcPr>
            <w:tcW w:w="80" w:type="dxa"/>
            <w:vAlign w:val="bottom"/>
            <w:shd w:val="clear" w:color="auto" w:fill="CCEEFF"/>
          </w:tcPr>
          <w:p>
            <w:pPr>
              <w:spacing w:after="0"/>
              <w:rPr>
                <w:sz w:val="18"/>
                <w:szCs w:val="18"/>
                <w:color w:val="auto"/>
              </w:rPr>
            </w:pPr>
          </w:p>
        </w:tc>
      </w:tr>
      <w:tr>
        <w:trPr>
          <w:trHeight w:val="216"/>
        </w:trPr>
        <w:tc>
          <w:tcPr>
            <w:tcW w:w="9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5,005</w:t>
            </w:r>
          </w:p>
        </w:tc>
        <w:tc>
          <w:tcPr>
            <w:tcW w:w="80" w:type="dxa"/>
            <w:vAlign w:val="bottom"/>
          </w:tcPr>
          <w:p>
            <w:pPr>
              <w:spacing w:after="0"/>
              <w:rPr>
                <w:sz w:val="18"/>
                <w:szCs w:val="18"/>
                <w:color w:val="auto"/>
              </w:rPr>
            </w:pPr>
          </w:p>
        </w:tc>
      </w:tr>
      <w:tr>
        <w:trPr>
          <w:trHeight w:val="229"/>
        </w:trPr>
        <w:tc>
          <w:tcPr>
            <w:tcW w:w="9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restricted stock units</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2,971</w:t>
            </w:r>
          </w:p>
        </w:tc>
        <w:tc>
          <w:tcPr>
            <w:tcW w:w="80" w:type="dxa"/>
            <w:vAlign w:val="bottom"/>
            <w:shd w:val="clear" w:color="auto" w:fill="CCEEFF"/>
          </w:tcPr>
          <w:p>
            <w:pPr>
              <w:spacing w:after="0"/>
              <w:rPr>
                <w:sz w:val="19"/>
                <w:szCs w:val="19"/>
                <w:color w:val="auto"/>
              </w:rPr>
            </w:pPr>
          </w:p>
        </w:tc>
      </w:tr>
      <w:tr>
        <w:trPr>
          <w:trHeight w:val="223"/>
        </w:trPr>
        <w:tc>
          <w:tcPr>
            <w:tcW w:w="9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shares reserved</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11,765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99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 OPERATING SEGMENT AND GEOGRAPHIC INFORMATION</w:t>
      </w:r>
    </w:p>
    <w:p>
      <w:pPr>
        <w:spacing w:after="0" w:line="22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Company is organized into three operating and reportable segments that align technologies and applications with customers and end markets: HPA, CSG and ACG.</w:t>
      </w:r>
    </w:p>
    <w:p>
      <w:pPr>
        <w:spacing w:after="0" w:line="16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HPA is a leading global supplier of RF, analog mixed signal and power management solutions. HPA leverages a diverse portfolio of differentiated process technologies and products to serve customers in consumer, defense and aerospace, infrastructure, and industrial and enterprise markets.</w:t>
      </w:r>
    </w:p>
    <w:p>
      <w:pPr>
        <w:spacing w:after="0" w:line="162" w:lineRule="exact"/>
        <w:rPr>
          <w:sz w:val="20"/>
          <w:szCs w:val="20"/>
          <w:color w:val="auto"/>
        </w:rPr>
      </w:pPr>
    </w:p>
    <w:p>
      <w:pPr>
        <w:ind w:right="340"/>
        <w:spacing w:after="0" w:line="257" w:lineRule="auto"/>
        <w:rPr>
          <w:sz w:val="20"/>
          <w:szCs w:val="20"/>
          <w:color w:val="auto"/>
        </w:rPr>
      </w:pPr>
      <w:r>
        <w:rPr>
          <w:rFonts w:ascii="Times New Roman" w:cs="Times New Roman" w:eastAsia="Times New Roman" w:hAnsi="Times New Roman"/>
          <w:sz w:val="18"/>
          <w:szCs w:val="18"/>
          <w:color w:val="auto"/>
        </w:rPr>
        <w:t>CSG is a leading global supplier of connectivity solutions, with broad expertise spanning ultra-wideband, Matter®, Bluetooth® Low Energy, Zigbee®, Thread®, Wi-Fi® and cellular solutions for the Internet of Things to serve customers in automotive, consumer, industrial and enterprise, and mobile markets.</w:t>
      </w:r>
    </w:p>
    <w:p>
      <w:pPr>
        <w:spacing w:after="0" w:line="1"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ACG is a leading global supplier of advanced cellular solutions for smartphones, wearables, laptops, tablets and other devices. ACG leverages world-class technology and systems-level expertise to deliver a broad portfolio of high-performance discrete and highly integrated cellular products.</w:t>
      </w:r>
    </w:p>
    <w:p>
      <w:pPr>
        <w:spacing w:after="0" w:line="18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Company’s three operating and reportable segments are based on the organizational structure and information reviewed by the Company’s Chief Executive Officer, who is also the Company’s chief operating decision maker (the “CODM”). The CODM primarily uses segment operating income (loss) to evaluate each segment’s performance and allocate resources. This measure is utilized during the budgeting and forecasting process to assess profitability and enable decision making regarding strategic initiatives, capital investments and personnel across all operating segments. The Company’s manufacturing facilities service and provide benefit to all three operating segments, and the operating costs of the facilities are reflected in the cost of goods sold for each operating segment. The Company’s operating segments do not have intercompany revenue. The CODM does not evaluate operating segments using discrete asset information.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8"/>
          <w:szCs w:val="18"/>
          <w:color w:val="auto"/>
        </w:rPr>
        <w:t>Qorvo,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7"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The following table presents details of the Company’s operating and reportable segments and a reconciliation of segment operating income (loss) to consolidated income before income taxes (in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Fiscal Year</w:t>
            </w:r>
          </w:p>
        </w:tc>
        <w:tc>
          <w:tcPr>
            <w:tcW w:w="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614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19"/>
                <w:szCs w:val="19"/>
                <w:color w:val="auto"/>
              </w:rPr>
            </w:pPr>
          </w:p>
        </w:tc>
      </w:tr>
      <w:tr>
        <w:trPr>
          <w:trHeight w:val="209"/>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HPA</w:t>
            </w:r>
          </w:p>
        </w:tc>
        <w:tc>
          <w:tcPr>
            <w:tcW w:w="11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705,657</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637,261</w:t>
            </w:r>
          </w:p>
        </w:tc>
        <w:tc>
          <w:tcPr>
            <w:tcW w:w="3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572,953</w:t>
            </w:r>
          </w:p>
        </w:tc>
      </w:tr>
      <w:tr>
        <w:trPr>
          <w:trHeight w:val="216"/>
        </w:trPr>
        <w:tc>
          <w:tcPr>
            <w:tcW w:w="6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CSG</w:t>
            </w: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421,654</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472,521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434,537</w:t>
            </w:r>
          </w:p>
        </w:tc>
      </w:tr>
      <w:tr>
        <w:trPr>
          <w:trHeight w:val="229"/>
        </w:trPr>
        <w:tc>
          <w:tcPr>
            <w:tcW w:w="6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ACG</w:t>
            </w: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2,551,206</w:t>
            </w:r>
          </w:p>
        </w:tc>
        <w:tc>
          <w:tcPr>
            <w:tcW w:w="14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2,609,189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2,762,016</w:t>
            </w:r>
          </w:p>
        </w:tc>
      </w:tr>
      <w:tr>
        <w:trPr>
          <w:trHeight w:val="209"/>
        </w:trPr>
        <w:tc>
          <w:tcPr>
            <w:tcW w:w="6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8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3,678,517</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3,718,971</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3,769,506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expenses:</w:t>
            </w: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HPA</w:t>
            </w: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goods sold</w:t>
            </w:r>
          </w:p>
        </w:tc>
        <w:tc>
          <w:tcPr>
            <w:tcW w:w="11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272,528</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288,847</w:t>
            </w:r>
          </w:p>
        </w:tc>
        <w:tc>
          <w:tcPr>
            <w:tcW w:w="3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279,516</w:t>
            </w:r>
          </w:p>
        </w:tc>
      </w:tr>
      <w:tr>
        <w:trPr>
          <w:trHeight w:val="216"/>
        </w:trPr>
        <w:tc>
          <w:tcPr>
            <w:tcW w:w="6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150,955</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151,139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130,000</w:t>
            </w:r>
          </w:p>
        </w:tc>
      </w:tr>
      <w:tr>
        <w:trPr>
          <w:trHeight w:val="216"/>
        </w:trPr>
        <w:tc>
          <w:tcPr>
            <w:tcW w:w="6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Marketing and selling</w:t>
            </w: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65,581</w:t>
            </w:r>
          </w:p>
        </w:tc>
        <w:tc>
          <w:tcPr>
            <w:tcW w:w="14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63,006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52,565</w:t>
            </w:r>
          </w:p>
        </w:tc>
      </w:tr>
      <w:tr>
        <w:trPr>
          <w:trHeight w:val="230"/>
        </w:trPr>
        <w:tc>
          <w:tcPr>
            <w:tcW w:w="6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27,237</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25,374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28,371</w:t>
            </w:r>
          </w:p>
        </w:tc>
      </w:tr>
      <w:tr>
        <w:trPr>
          <w:trHeight w:val="209"/>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operating income</w:t>
            </w:r>
          </w:p>
        </w:tc>
        <w:tc>
          <w:tcPr>
            <w:tcW w:w="8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189,356</w:t>
            </w: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108,895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82,501</w:t>
            </w:r>
          </w:p>
        </w:tc>
        <w:tc>
          <w:tcPr>
            <w:tcW w:w="100" w:type="dxa"/>
            <w:vAlign w:val="bottom"/>
          </w:tcPr>
          <w:p>
            <w:pPr>
              <w:spacing w:after="0"/>
              <w:rPr>
                <w:sz w:val="18"/>
                <w:szCs w:val="18"/>
                <w:color w:val="auto"/>
              </w:rPr>
            </w:pPr>
          </w:p>
        </w:tc>
      </w:tr>
      <w:tr>
        <w:trPr>
          <w:trHeight w:val="216"/>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CSG</w:t>
            </w: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goods sold</w:t>
            </w: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243,521</w:t>
            </w:r>
          </w:p>
        </w:tc>
        <w:tc>
          <w:tcPr>
            <w:tcW w:w="14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293,664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291,350</w:t>
            </w:r>
          </w:p>
        </w:tc>
      </w:tr>
      <w:tr>
        <w:trPr>
          <w:trHeight w:val="216"/>
        </w:trPr>
        <w:tc>
          <w:tcPr>
            <w:tcW w:w="6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127,491</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135,580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133,252</w:t>
            </w:r>
          </w:p>
        </w:tc>
      </w:tr>
      <w:tr>
        <w:trPr>
          <w:trHeight w:val="216"/>
        </w:trPr>
        <w:tc>
          <w:tcPr>
            <w:tcW w:w="6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Marketing and selling</w:t>
            </w: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69,722</w:t>
            </w:r>
          </w:p>
        </w:tc>
        <w:tc>
          <w:tcPr>
            <w:tcW w:w="14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76,583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74,455</w:t>
            </w:r>
          </w:p>
        </w:tc>
      </w:tr>
      <w:tr>
        <w:trPr>
          <w:trHeight w:val="229"/>
        </w:trPr>
        <w:tc>
          <w:tcPr>
            <w:tcW w:w="6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23,173</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22,536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24,129</w:t>
            </w:r>
          </w:p>
        </w:tc>
      </w:tr>
      <w:tr>
        <w:trPr>
          <w:trHeight w:val="210"/>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operating loss</w:t>
            </w:r>
          </w:p>
        </w:tc>
        <w:tc>
          <w:tcPr>
            <w:tcW w:w="8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(42,253)</w:t>
            </w: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(55,842)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(88,649)</w:t>
            </w:r>
          </w:p>
        </w:tc>
        <w:tc>
          <w:tcPr>
            <w:tcW w:w="100" w:type="dxa"/>
            <w:vAlign w:val="bottom"/>
          </w:tcPr>
          <w:p>
            <w:pPr>
              <w:spacing w:after="0"/>
              <w:rPr>
                <w:sz w:val="18"/>
                <w:szCs w:val="18"/>
                <w:color w:val="auto"/>
              </w:rPr>
            </w:pPr>
          </w:p>
        </w:tc>
      </w:tr>
      <w:tr>
        <w:trPr>
          <w:trHeight w:val="216"/>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ACG</w:t>
            </w: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goods sold</w:t>
            </w: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1,363,621</w:t>
            </w:r>
          </w:p>
        </w:tc>
        <w:tc>
          <w:tcPr>
            <w:tcW w:w="14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1,456,799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1,523,025</w:t>
            </w:r>
          </w:p>
        </w:tc>
      </w:tr>
      <w:tr>
        <w:trPr>
          <w:trHeight w:val="216"/>
        </w:trPr>
        <w:tc>
          <w:tcPr>
            <w:tcW w:w="6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390,596</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406,776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373,473</w:t>
            </w:r>
          </w:p>
        </w:tc>
      </w:tr>
      <w:tr>
        <w:trPr>
          <w:trHeight w:val="216"/>
        </w:trPr>
        <w:tc>
          <w:tcPr>
            <w:tcW w:w="6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Marketing and selling</w:t>
            </w: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55,532</w:t>
            </w:r>
          </w:p>
        </w:tc>
        <w:tc>
          <w:tcPr>
            <w:tcW w:w="14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61,654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56,687</w:t>
            </w:r>
          </w:p>
        </w:tc>
      </w:tr>
      <w:tr>
        <w:trPr>
          <w:trHeight w:val="229"/>
        </w:trPr>
        <w:tc>
          <w:tcPr>
            <w:tcW w:w="6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74,105</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81,513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80,925</w:t>
            </w:r>
          </w:p>
        </w:tc>
      </w:tr>
      <w:tr>
        <w:trPr>
          <w:trHeight w:val="210"/>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operating income</w:t>
            </w:r>
          </w:p>
        </w:tc>
        <w:tc>
          <w:tcPr>
            <w:tcW w:w="8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667,352</w:t>
            </w: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602,447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727,906</w:t>
            </w:r>
          </w:p>
        </w:tc>
        <w:tc>
          <w:tcPr>
            <w:tcW w:w="100" w:type="dxa"/>
            <w:vAlign w:val="bottom"/>
          </w:tcPr>
          <w:p>
            <w:pPr>
              <w:spacing w:after="0"/>
              <w:rPr>
                <w:sz w:val="18"/>
                <w:szCs w:val="18"/>
                <w:color w:val="auto"/>
              </w:rPr>
            </w:pPr>
          </w:p>
        </w:tc>
      </w:tr>
      <w:tr>
        <w:trPr>
          <w:trHeight w:val="216"/>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segment operating income</w:t>
            </w:r>
          </w:p>
        </w:tc>
        <w:tc>
          <w:tcPr>
            <w:tcW w:w="11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814,455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655,500</w:t>
            </w:r>
          </w:p>
        </w:tc>
        <w:tc>
          <w:tcPr>
            <w:tcW w:w="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721,758</w:t>
            </w:r>
          </w:p>
        </w:tc>
      </w:tr>
      <w:tr>
        <w:trPr>
          <w:trHeight w:val="216"/>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Unallocated amounts:</w:t>
            </w: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(136,070)</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(136,346)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(120,834)</w:t>
            </w:r>
          </w:p>
        </w:tc>
      </w:tr>
      <w:tr>
        <w:trPr>
          <w:trHeight w:val="216"/>
        </w:trPr>
        <w:tc>
          <w:tcPr>
            <w:tcW w:w="6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(84,953)</w:t>
            </w:r>
          </w:p>
        </w:tc>
        <w:tc>
          <w:tcPr>
            <w:tcW w:w="14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(110,081)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(121,809)</w:t>
            </w:r>
          </w:p>
        </w:tc>
      </w:tr>
      <w:tr>
        <w:trPr>
          <w:trHeight w:val="216"/>
        </w:trPr>
        <w:tc>
          <w:tcPr>
            <w:tcW w:w="6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Restructuring-related charges (1)</w:t>
            </w: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(50,739)</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(88,182)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(92,764)</w:t>
            </w:r>
          </w:p>
        </w:tc>
      </w:tr>
      <w:tr>
        <w:trPr>
          <w:trHeight w:val="216"/>
        </w:trPr>
        <w:tc>
          <w:tcPr>
            <w:tcW w:w="6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Merger-related costs (2)</w:t>
            </w: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(23,475)</w:t>
            </w:r>
          </w:p>
        </w:tc>
        <w:tc>
          <w:tcPr>
            <w:tcW w:w="14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Goodwill and intangible asset impairment (3)</w:t>
            </w: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(82,369)</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(192,569)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(221,414)</w:t>
            </w:r>
          </w:p>
        </w:tc>
      </w:tr>
      <w:tr>
        <w:trPr>
          <w:trHeight w:val="216"/>
        </w:trPr>
        <w:tc>
          <w:tcPr>
            <w:tcW w:w="6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adjustments related to a terminated capacity reservation agreement</w:t>
            </w: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2,010</w:t>
            </w:r>
          </w:p>
        </w:tc>
        <w:tc>
          <w:tcPr>
            <w:tcW w:w="14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5,444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(38,419)</w:t>
            </w:r>
          </w:p>
        </w:tc>
      </w:tr>
      <w:tr>
        <w:trPr>
          <w:trHeight w:val="230"/>
        </w:trPr>
        <w:tc>
          <w:tcPr>
            <w:tcW w:w="6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(4)</w:t>
            </w:r>
          </w:p>
        </w:tc>
        <w:tc>
          <w:tcPr>
            <w:tcW w:w="8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(27,435)</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(38,239)</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(34,817)</w:t>
            </w:r>
          </w:p>
        </w:tc>
      </w:tr>
      <w:tr>
        <w:trPr>
          <w:trHeight w:val="209"/>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operating income</w:t>
            </w:r>
          </w:p>
        </w:tc>
        <w:tc>
          <w:tcPr>
            <w:tcW w:w="8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411,424</w:t>
            </w: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95,527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91,701</w:t>
            </w:r>
          </w:p>
        </w:tc>
        <w:tc>
          <w:tcPr>
            <w:tcW w:w="100" w:type="dxa"/>
            <w:vAlign w:val="bottom"/>
          </w:tcPr>
          <w:p>
            <w:pPr>
              <w:spacing w:after="0"/>
              <w:rPr>
                <w:sz w:val="18"/>
                <w:szCs w:val="18"/>
                <w:color w:val="auto"/>
              </w:rPr>
            </w:pPr>
          </w:p>
        </w:tc>
      </w:tr>
      <w:tr>
        <w:trPr>
          <w:trHeight w:val="216"/>
        </w:trPr>
        <w:tc>
          <w:tcPr>
            <w:tcW w:w="6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(73,134)</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(78,328)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(69,245)</w:t>
            </w:r>
          </w:p>
        </w:tc>
      </w:tr>
      <w:tr>
        <w:trPr>
          <w:trHeight w:val="230"/>
        </w:trPr>
        <w:tc>
          <w:tcPr>
            <w:tcW w:w="6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income, net</w:t>
            </w: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59,983</w:t>
            </w:r>
          </w:p>
        </w:tc>
        <w:tc>
          <w:tcPr>
            <w:tcW w:w="14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48,700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51,104</w:t>
            </w:r>
          </w:p>
        </w:tc>
      </w:tr>
      <w:tr>
        <w:trPr>
          <w:trHeight w:val="223"/>
        </w:trPr>
        <w:tc>
          <w:tcPr>
            <w:tcW w:w="6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84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398,273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65,899</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73,560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260" w:hanging="252"/>
        <w:spacing w:after="0"/>
        <w:tabs>
          <w:tab w:leader="none" w:pos="2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 to Note 12 for additional information.</w:t>
      </w:r>
    </w:p>
    <w:p>
      <w:pPr>
        <w:spacing w:after="0" w:line="2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 to Note 2 for additional information.</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 to Note 7 for additional information.</w:t>
      </w:r>
    </w:p>
    <w:p>
      <w:pPr>
        <w:spacing w:after="0" w:line="9" w:lineRule="exact"/>
        <w:rPr>
          <w:rFonts w:ascii="Times New Roman" w:cs="Times New Roman" w:eastAsia="Times New Roman" w:hAnsi="Times New Roman"/>
          <w:sz w:val="18"/>
          <w:szCs w:val="18"/>
          <w:color w:val="auto"/>
        </w:rPr>
      </w:pPr>
    </w:p>
    <w:p>
      <w:pPr>
        <w:ind w:right="340" w:firstLine="8"/>
        <w:spacing w:after="0" w:line="260" w:lineRule="auto"/>
        <w:tabs>
          <w:tab w:leader="none" w:pos="2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acquisition and integration-related costs; certain settlements, gains, losses and other charges; costs associated with upgrading certain of the Company’s core business systems; and start-up costs.</w:t>
      </w:r>
    </w:p>
    <w:p>
      <w:pPr>
        <w:spacing w:after="0" w:line="18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unallocated amounts in the table above are not allocated to the Company’s operating segments because they are not included in the segment operating performance measures evaluated by the Company’s CODM. Except as discussed above regarding the unallocated amounts, the Company’s accounting policies for segment reporting are the same as for the Company as a whole.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color w:val="auto"/>
        </w:rPr>
        <w:t>Qorvo,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7"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revenue to customers by geographic region (based on the location of the customers’ headquarters) that are summarized as follows (in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6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6"/>
              </w:rPr>
              <w:t>Fiscal Year</w:t>
            </w: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060" w:type="dxa"/>
            <w:vAlign w:val="bottom"/>
            <w:tcBorders>
              <w:bottom w:val="single" w:sz="8" w:color="CCEEFF"/>
            </w:tcBorders>
          </w:tcPr>
          <w:p>
            <w:pPr>
              <w:spacing w:after="0"/>
              <w:rPr>
                <w:sz w:val="19"/>
                <w:szCs w:val="19"/>
                <w:color w:val="auto"/>
              </w:rPr>
            </w:pPr>
          </w:p>
        </w:tc>
        <w:tc>
          <w:tcPr>
            <w:tcW w:w="29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19"/>
                <w:szCs w:val="19"/>
                <w:color w:val="auto"/>
              </w:rPr>
            </w:pPr>
          </w:p>
        </w:tc>
      </w:tr>
      <w:tr>
        <w:trPr>
          <w:trHeight w:val="209"/>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United States</w:t>
            </w:r>
          </w:p>
        </w:tc>
        <w:tc>
          <w:tcPr>
            <w:tcW w:w="32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2,315,762</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2,227,177</w:t>
            </w:r>
          </w:p>
        </w:tc>
        <w:tc>
          <w:tcPr>
            <w:tcW w:w="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2,175,937</w:t>
            </w:r>
          </w:p>
        </w:tc>
      </w:tr>
      <w:tr>
        <w:trPr>
          <w:trHeight w:val="216"/>
        </w:trPr>
        <w:tc>
          <w:tcPr>
            <w:tcW w:w="4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China</w:t>
            </w:r>
          </w:p>
        </w:tc>
        <w:tc>
          <w:tcPr>
            <w:tcW w:w="2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474,870</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620,423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726,810</w:t>
            </w:r>
          </w:p>
        </w:tc>
      </w:tr>
      <w:tr>
        <w:trPr>
          <w:trHeight w:val="216"/>
        </w:trPr>
        <w:tc>
          <w:tcPr>
            <w:tcW w:w="4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Asia</w:t>
            </w:r>
          </w:p>
        </w:tc>
        <w:tc>
          <w:tcPr>
            <w:tcW w:w="2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431,862</w:t>
            </w:r>
          </w:p>
        </w:tc>
        <w:tc>
          <w:tcPr>
            <w:tcW w:w="14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444,352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517,683</w:t>
            </w:r>
          </w:p>
        </w:tc>
      </w:tr>
      <w:tr>
        <w:trPr>
          <w:trHeight w:val="216"/>
        </w:trPr>
        <w:tc>
          <w:tcPr>
            <w:tcW w:w="4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Taiwan</w:t>
            </w:r>
          </w:p>
        </w:tc>
        <w:tc>
          <w:tcPr>
            <w:tcW w:w="2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357,739</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341,161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260,839</w:t>
            </w:r>
          </w:p>
        </w:tc>
      </w:tr>
      <w:tr>
        <w:trPr>
          <w:trHeight w:val="229"/>
        </w:trPr>
        <w:tc>
          <w:tcPr>
            <w:tcW w:w="4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Europe</w:t>
            </w:r>
          </w:p>
        </w:tc>
        <w:tc>
          <w:tcPr>
            <w:tcW w:w="2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98,284</w:t>
            </w:r>
          </w:p>
        </w:tc>
        <w:tc>
          <w:tcPr>
            <w:tcW w:w="14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85,858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88,237</w:t>
            </w:r>
          </w:p>
        </w:tc>
      </w:tr>
      <w:tr>
        <w:trPr>
          <w:trHeight w:val="223"/>
        </w:trPr>
        <w:tc>
          <w:tcPr>
            <w:tcW w:w="4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9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3,678,517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3,718,971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3,769,506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0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following long-lived tangible asset amounts related to operations of the Company by geographic region (in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4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13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March 28, 2026</w:t>
            </w:r>
          </w:p>
        </w:tc>
        <w:tc>
          <w:tcPr>
            <w:tcW w:w="100" w:type="dxa"/>
            <w:vAlign w:val="bottom"/>
          </w:tcPr>
          <w:p>
            <w:pPr>
              <w:spacing w:after="0"/>
              <w:rPr>
                <w:sz w:val="20"/>
                <w:szCs w:val="20"/>
                <w:color w:val="auto"/>
              </w:rPr>
            </w:pPr>
          </w:p>
        </w:tc>
        <w:tc>
          <w:tcPr>
            <w:tcW w:w="13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March 29, 2025</w:t>
            </w:r>
          </w:p>
        </w:tc>
      </w:tr>
      <w:tr>
        <w:trPr>
          <w:trHeight w:val="209"/>
        </w:trPr>
        <w:tc>
          <w:tcPr>
            <w:tcW w:w="3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Long-lived tangible assets:</w:t>
            </w:r>
          </w:p>
        </w:tc>
        <w:tc>
          <w:tcPr>
            <w:tcW w:w="47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United States</w:t>
            </w:r>
          </w:p>
        </w:tc>
        <w:tc>
          <w:tcPr>
            <w:tcW w:w="50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650,340</w:t>
            </w:r>
          </w:p>
        </w:tc>
        <w:tc>
          <w:tcPr>
            <w:tcW w:w="4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725,620</w:t>
            </w:r>
          </w:p>
        </w:tc>
      </w:tr>
      <w:tr>
        <w:trPr>
          <w:trHeight w:val="216"/>
        </w:trPr>
        <w:tc>
          <w:tcPr>
            <w:tcW w:w="3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countries</w:t>
            </w:r>
          </w:p>
        </w:tc>
        <w:tc>
          <w:tcPr>
            <w:tcW w:w="4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60,052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76,275</w:t>
            </w:r>
          </w:p>
        </w:tc>
      </w:tr>
      <w:tr>
        <w:trPr>
          <w:trHeight w:val="648"/>
        </w:trPr>
        <w:tc>
          <w:tcPr>
            <w:tcW w:w="3740" w:type="dxa"/>
            <w:vAlign w:val="bottom"/>
            <w:tcBorders>
              <w:bottom w:val="single" w:sz="8" w:color="auto"/>
            </w:tcBorders>
          </w:tcPr>
          <w:p>
            <w:pPr>
              <w:spacing w:after="0"/>
              <w:rPr>
                <w:sz w:val="24"/>
                <w:szCs w:val="24"/>
                <w:color w:val="auto"/>
              </w:rPr>
            </w:pPr>
          </w:p>
        </w:tc>
        <w:tc>
          <w:tcPr>
            <w:tcW w:w="4700" w:type="dxa"/>
            <w:vAlign w:val="bottom"/>
            <w:tcBorders>
              <w:bottom w:val="single" w:sz="8" w:color="auto"/>
            </w:tcBorders>
          </w:tcPr>
          <w:p>
            <w:pPr>
              <w:jc w:val="right"/>
              <w:ind w:right="2630"/>
              <w:spacing w:after="0"/>
              <w:rPr>
                <w:sz w:val="20"/>
                <w:szCs w:val="20"/>
                <w:color w:val="auto"/>
              </w:rPr>
            </w:pPr>
            <w:r>
              <w:rPr>
                <w:rFonts w:ascii="Times New Roman" w:cs="Times New Roman" w:eastAsia="Times New Roman" w:hAnsi="Times New Roman"/>
                <w:sz w:val="18"/>
                <w:szCs w:val="18"/>
                <w:color w:val="auto"/>
              </w:rPr>
              <w:t>35</w:t>
            </w:r>
          </w:p>
        </w:tc>
        <w:tc>
          <w:tcPr>
            <w:tcW w:w="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42" w:name="page43"/>
    <w:bookmarkEnd w:id="42"/>
    <w:p>
      <w:pPr>
        <w:ind w:left="3520"/>
        <w:spacing w:after="0"/>
        <w:rPr>
          <w:sz w:val="20"/>
          <w:szCs w:val="20"/>
          <w:color w:val="auto"/>
        </w:rPr>
      </w:pPr>
      <w:r>
        <w:rPr>
          <w:rFonts w:ascii="Times New Roman" w:cs="Times New Roman" w:eastAsia="Times New Roman" w:hAnsi="Times New Roman"/>
          <w:sz w:val="18"/>
          <w:szCs w:val="18"/>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Qorvo,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Opinion on the Financial Statements</w:t>
      </w:r>
    </w:p>
    <w:p>
      <w:pPr>
        <w:spacing w:after="0" w:line="22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Qorvo, Inc. and subsidiaries (the Company) as of March 28, 2026 and March 29, 2025, the related consolidated statements of operations, comprehensive income (loss), stockholders’ equity and cash flows for each of the three years in the period ended March 28, 2026, and the related notes (collectively referred to as the “consolidated financial statements”). In our opinion, the consolidated financial statements present fairly, in all material respects, the financial position of the Company at March 28, 2026 and March 29, 2025, and the results of its operations and its cash flows for each of the three years in the period ended March 28, 2026, in conformity with U.S. generally accepted accounting principles.</w:t>
      </w:r>
    </w:p>
    <w:p>
      <w:pPr>
        <w:spacing w:after="0" w:line="187"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March 28, 2026, based on criteria established in Internal Control—Integrated Framework issued by the Committee of Sponsoring Organizations of the Treadway Commission (2013 framework), and our report dated May 8, 2026 expressed an unqualified opinion thereon.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Basis for Opinion</w:t>
      </w:r>
    </w:p>
    <w:p>
      <w:pPr>
        <w:spacing w:after="0" w:line="22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Critical Audit Matter</w:t>
      </w:r>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 or disclosure to which it relates.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7"/>
          <w:szCs w:val="17"/>
          <w:color w:val="auto"/>
        </w:rPr>
        <w:t>Inventory - Valuation</w:t>
      </w:r>
    </w:p>
    <w:p>
      <w:pPr>
        <w:sectPr>
          <w:pgSz w:w="11900" w:h="16838" w:orient="portrait"/>
          <w:cols w:equalWidth="0" w:num="1">
            <w:col w:w="11120"/>
          </w:cols>
          <w:pgMar w:left="320" w:top="904" w:right="459" w:bottom="1440" w:gutter="0" w:footer="0" w:header="0"/>
        </w:sectPr>
      </w:pPr>
    </w:p>
    <w:p>
      <w:pPr>
        <w:spacing w:after="0" w:line="2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Description of the Matter</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inventory, net totaled $553.7 million as of March 28, 2026, representing approximately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9.5% of total assets. As explained in Note 1 to the consolidated financial statements, the Company assesses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valuation of inventories on a material or product family basis each reporting period. Obsolete inventory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inventory in excess of management’s demand forecasts is written down to its estimated net realizable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value if less than cost by recording an inventory reserve at each reporting period.</w:t>
      </w:r>
    </w:p>
    <w:p>
      <w:pPr>
        <w:spacing w:after="0" w:line="200" w:lineRule="exact"/>
        <w:rPr>
          <w:sz w:val="20"/>
          <w:szCs w:val="20"/>
          <w:color w:val="auto"/>
        </w:rPr>
      </w:pPr>
    </w:p>
    <w:p>
      <w:pPr>
        <w:sectPr>
          <w:pgSz w:w="11900" w:h="16838" w:orient="portrait"/>
          <w:cols w:equalWidth="0" w:num="2">
            <w:col w:w="2680" w:space="720"/>
            <w:col w:w="7720"/>
          </w:cols>
          <w:pgMar w:left="320" w:top="904" w:right="459" w:bottom="1440" w:gutter="0" w:footer="0" w:header="0"/>
          <w:type w:val="continuous"/>
        </w:sectPr>
      </w:pPr>
    </w:p>
    <w:p>
      <w:pPr>
        <w:spacing w:after="0" w:line="7" w:lineRule="exact"/>
        <w:rPr>
          <w:sz w:val="20"/>
          <w:szCs w:val="20"/>
          <w:color w:val="auto"/>
        </w:rPr>
      </w:pPr>
    </w:p>
    <w:p>
      <w:pPr>
        <w:ind w:left="3400" w:right="140"/>
        <w:spacing w:after="0" w:line="261" w:lineRule="auto"/>
        <w:rPr>
          <w:sz w:val="20"/>
          <w:szCs w:val="20"/>
          <w:color w:val="auto"/>
        </w:rPr>
      </w:pPr>
      <w:r>
        <w:rPr>
          <w:rFonts w:ascii="Times New Roman" w:cs="Times New Roman" w:eastAsia="Times New Roman" w:hAnsi="Times New Roman"/>
          <w:sz w:val="18"/>
          <w:szCs w:val="18"/>
          <w:color w:val="auto"/>
        </w:rPr>
        <w:t>Auditing management’s estimates for inventory reserves involved significant judgment because the assessment considers a number of factors, including demand forecasts, changes in the customer base, and customer acceptance of the Company’s products and technologies that are affected at least partially by market and economic conditions outside the Company’s control.</w:t>
      </w:r>
    </w:p>
    <w:p>
      <w:pPr>
        <w:sectPr>
          <w:pgSz w:w="11900" w:h="16838" w:orient="portrait"/>
          <w:cols w:equalWidth="0" w:num="1">
            <w:col w:w="11120"/>
          </w:cols>
          <w:pgMar w:left="320" w:top="904" w:right="459" w:bottom="1440" w:gutter="0" w:footer="0" w:header="0"/>
          <w:type w:val="continuous"/>
        </w:sectPr>
      </w:pPr>
    </w:p>
    <w:p>
      <w:pPr>
        <w:spacing w:after="0" w:line="178" w:lineRule="exact"/>
        <w:rPr>
          <w:sz w:val="20"/>
          <w:szCs w:val="20"/>
          <w:color w:val="auto"/>
        </w:rPr>
      </w:pPr>
    </w:p>
    <w:p>
      <w:pPr>
        <w:ind w:left="20"/>
        <w:spacing w:after="0" w:line="284" w:lineRule="auto"/>
        <w:rPr>
          <w:sz w:val="20"/>
          <w:szCs w:val="20"/>
          <w:color w:val="auto"/>
        </w:rPr>
      </w:pPr>
      <w:r>
        <w:rPr>
          <w:rFonts w:ascii="Times New Roman" w:cs="Times New Roman" w:eastAsia="Times New Roman" w:hAnsi="Times New Roman"/>
          <w:sz w:val="18"/>
          <w:szCs w:val="18"/>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We obtained an understanding, evaluated the design and tested the operating effectiveness of controls that address the risk of material misstatement relating to the Company’s inventory reserves estimation process, including controls over management’s development and review of the assumptions and data underlying the inventory reserves.</w:t>
      </w:r>
    </w:p>
    <w:p>
      <w:pPr>
        <w:spacing w:after="0" w:line="180" w:lineRule="exact"/>
        <w:rPr>
          <w:sz w:val="20"/>
          <w:szCs w:val="20"/>
          <w:color w:val="auto"/>
        </w:rPr>
      </w:pPr>
    </w:p>
    <w:p>
      <w:pPr>
        <w:sectPr>
          <w:pgSz w:w="11900" w:h="16838" w:orient="portrait"/>
          <w:cols w:equalWidth="0" w:num="2">
            <w:col w:w="2720" w:space="680"/>
            <w:col w:w="7720"/>
          </w:cols>
          <w:pgMar w:left="320" w:top="904" w:right="459" w:bottom="1440" w:gutter="0" w:footer="0" w:header="0"/>
          <w:type w:val="continuous"/>
        </w:sectPr>
      </w:pPr>
    </w:p>
    <w:p>
      <w:pPr>
        <w:ind w:left="3400" w:right="20"/>
        <w:spacing w:after="0" w:line="256" w:lineRule="auto"/>
        <w:rPr>
          <w:sz w:val="20"/>
          <w:szCs w:val="20"/>
          <w:color w:val="auto"/>
        </w:rPr>
      </w:pPr>
      <w:r>
        <w:rPr>
          <w:rFonts w:ascii="Times New Roman" w:cs="Times New Roman" w:eastAsia="Times New Roman" w:hAnsi="Times New Roman"/>
          <w:sz w:val="18"/>
          <w:szCs w:val="18"/>
          <w:color w:val="auto"/>
        </w:rPr>
        <w:t>Our audit procedures included, among others, testing the reasonableness of the significant assumptions and testing the accuracy and completeness of underlying data used in management’s assessment of inventory reserves. We evaluated inventory levels compared to forecasted demand, historical sales and specific product considerations. We also assessed the historical accuracy of management’s estimates for both the demand forecast assumptions and the reserve estimate by comparing management’s historical estimates to actual results.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ectPr>
          <w:pgSz w:w="11900" w:h="16838" w:orient="portrait"/>
          <w:cols w:equalWidth="0" w:num="1">
            <w:col w:w="11120"/>
          </w:cols>
          <w:pgMar w:left="320" w:top="904" w:right="459" w:bottom="1440" w:gutter="0" w:footer="0" w:header="0"/>
          <w:type w:val="continuous"/>
        </w:sect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2018.</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Charlotte, North Carolina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8, 2026</w:t>
      </w:r>
    </w:p>
    <w:p>
      <w:pPr>
        <w:spacing w:after="0" w:line="200" w:lineRule="exact"/>
        <w:rPr>
          <w:sz w:val="20"/>
          <w:szCs w:val="20"/>
          <w:color w:val="auto"/>
        </w:rPr>
      </w:pPr>
    </w:p>
    <w:p>
      <w:pPr>
        <w:spacing w:after="0" w:line="22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20"/>
          </w:cols>
          <w:pgMar w:left="320" w:top="904" w:right="459" w:bottom="1440" w:gutter="0" w:footer="0" w:header="0"/>
          <w:type w:val="continuous"/>
        </w:sectPr>
      </w:pPr>
    </w:p>
    <w:bookmarkStart w:id="44" w:name="page45"/>
    <w:bookmarkEnd w:id="44"/>
    <w:p>
      <w:pPr>
        <w:ind w:left="3520"/>
        <w:spacing w:after="0"/>
        <w:rPr>
          <w:sz w:val="20"/>
          <w:szCs w:val="20"/>
          <w:color w:val="auto"/>
        </w:rPr>
      </w:pPr>
      <w:r>
        <w:rPr>
          <w:rFonts w:ascii="Times New Roman" w:cs="Times New Roman" w:eastAsia="Times New Roman" w:hAnsi="Times New Roman"/>
          <w:sz w:val="18"/>
          <w:szCs w:val="18"/>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Qorvo,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Opinion on Internal Control Over Financial Reporting</w:t>
      </w:r>
    </w:p>
    <w:p>
      <w:pPr>
        <w:spacing w:after="0" w:line="22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have audited Qorvo, Inc. and subsidiaries’ internal control over financial reporting as of March 28, 2026, based on criteria established in Internal Control—Integrated Framework issued by the Committee of Sponsoring Organizations of the Treadway Commission (2013 framework) (the COSO criteria). In our opinion, Qorvo, Inc. and subsidiaries (the Company) maintained, in all material respects, effective internal control over financial reporting as of March 28, 2026, based on the COSO criteria.</w:t>
      </w:r>
    </w:p>
    <w:p>
      <w:pPr>
        <w:spacing w:after="0" w:line="18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March 28, 2026 and March 29, 2025, the related consolidated statements of operations, comprehensive income (loss), stockholders’ equity and cash flows for each of the three years in the period ended March 28, 2026, and the related notes and our report dated May 8, 2026 expressed an unqualified opinion thereon.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Basis for Opinion</w:t>
      </w:r>
    </w:p>
    <w:p>
      <w:pPr>
        <w:spacing w:after="0" w:line="22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assessment of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3"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62"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Definition and Limitations of Internal Control Over Financial Reporting</w:t>
      </w:r>
    </w:p>
    <w:p>
      <w:pPr>
        <w:spacing w:after="0" w:line="22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Charlotte, North Carolina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8, 2026</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FINANCIAL INFORMATION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descriptions are provided for general information, do not purport to be complete, and are qualified in their entirety by reference to the full text of the Agreement and Plan of Merger (the “Merger Agreement”), by and among Skyworks Solutions, Inc., a Delaware corporation (“Skyworks”), Qorvo, Inc., a Delaware corporation (“Qorvo”), Comet Acquisition Corp., a Delaware corporation and a wholly owned subsidiary of Skyworks (“Merger Sub I”), and Comet Acquisition II, LLC, a Delaware limited liability company and a wholly owned subsidiary of Skyworks (“Merger Sub II”).</w:t>
      </w:r>
    </w:p>
    <w:p>
      <w:pPr>
        <w:spacing w:after="0" w:line="17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The Mergers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 October 27, 2025, Skyworks, Qorvo, Merger Sub I and Merger Sub II entered into the Merger Agreement. Pursuant to the Merger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Agreement, and subject to the satisfaction or waiver of the conditions specified therein, (i) Merger Sub I will merge with and into Qorvo (the “First Merger”), with Qorvo surviving the First Merger as a wholly owned subsidiary of Skyworks (the “Surviving Corporation”), and (ii) immediately following the First Merger, and as the second step in a single integrated transaction with the First Merger, the Surviving Corporation will merge with and into Merger Sub II (the “Second Merger,” and together with the First Merger, the “Mergers”), with Merger Sub II continuing as the surviving entity in the Second Merger and a wholly owned subsidiary of Skyworks.</w:t>
      </w:r>
    </w:p>
    <w:p>
      <w:pPr>
        <w:spacing w:after="0" w:line="18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Pro Forma Financial Statements</w:t>
      </w:r>
      <w:r>
        <w:rPr>
          <w:rFonts w:ascii="Times New Roman" w:cs="Times New Roman" w:eastAsia="Times New Roman" w:hAnsi="Times New Roman"/>
          <w:sz w:val="18"/>
          <w:szCs w:val="18"/>
          <w:color w:val="auto"/>
        </w:rPr>
        <w:t>. The following Unaudited Pro Forma Condensed Combined Statements of Operations (the “Pro Forma Statements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Operations”) for the six months ended April 3, 2026 and twelve months ended October 3, 2025, combine the historical consolidated statements of operations of Skyworks and Qorvo, after giving effect to the Mergers and other adjustments (as described in the Notes to the Unaudited Pro Forma Condensed Combined Financial Statements) as if they occurred on September 28, 2024. The Unaudited Pro Forma Condensed Combined Balance Sheet (the “Pro Forma Balance Sheet” and together with the Pro Forma Statements of Operations, the “Pro Forma Financial Statements”) as of April 3, 2026, combines the historical condensed consolidated balance sheets of Skyworks and Qorvo, after giving effect to the Mergers and other adjustments as if they had occurred on April 3, 2026.</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Pro Forma Financial Statements were prepared for illustrative and informational purposes only, in accordance with Regulation S-X Article 11, to demonstrate the estimated effects of the Mergers and certain other related transactions and adjustments (collectively referred to as transaction accounting adjustments), such as (a) the alignment of Qorvo’s statements of operations and balance sheet amounts to Skyworks’ presentation, (b) adjustments based upon preliminary estimates of the fair value of assets to be acquired and liabilities to be assumed, (c) transaction and financing costs expected to be incurred by Skyworks, and (d) the associated income tax impacts of recognizing these adjustments. The Pro Forma Financial Statements were prepared using the acquisition method of accounting in accordance with United States generally accepted accounting principles, applied on a consistent basis (“GAAP”), with the expectation that Skyworks will be identified as the acquirer. The transaction accounting adjustments were prepared on the basis that such preliminary estimated adjustments will be incurred to achieve the Mergers, are pending finalization of various estimates, inputs and analyses, and do not include adjustments to reflect any potential costs that may be incurred in connection with actions required by regulatory or governmental authorities for regulatory approvals and clearances of the Mergers, including divestitures or concessions; anticipated benefits, including synergies, cost savings, innovation and operational efficiencies; or potential post-Mergers costs, such as restructuring and integration charges.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Pro Forma Financial Statements are based on various adjustments and assumptions and are not necessarily indicative of what the combined statements of operations or balance sheets would have actually been had the transaction accounting adjustments been consummated as of the dates indicated. Further, the Pro Forma Financial Statements do not purport to project the future financial position or results of operations of the Skyworks and its subsidiaries (including Qorvo and its subsidiaries, taken as a whole, after giving effect to the Mergers (the “Combined Company”)), which may differ materially and adversely from the Pro Forma Financial Statements.</w:t>
      </w:r>
    </w:p>
    <w:p>
      <w:pPr>
        <w:spacing w:after="0" w:line="3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6" w:name="page47"/>
    <w:bookmarkEnd w:id="46"/>
    <w:p>
      <w:pPr>
        <w:jc w:val="both"/>
        <w:spacing w:after="0" w:line="254" w:lineRule="auto"/>
        <w:rPr>
          <w:sz w:val="20"/>
          <w:szCs w:val="20"/>
          <w:color w:val="auto"/>
        </w:rPr>
      </w:pPr>
      <w:r>
        <w:rPr>
          <w:rFonts w:ascii="Times New Roman" w:cs="Times New Roman" w:eastAsia="Times New Roman" w:hAnsi="Times New Roman"/>
          <w:sz w:val="18"/>
          <w:szCs w:val="18"/>
          <w:color w:val="auto"/>
        </w:rPr>
        <w:t>The Pro Forma Financial Statements reflect transaction accounting adjustments that Skyworks believes are necessary to present fairly the Pro Forma Statements of Operations and Pro Forma Balance Sheet following the consummation of the Mergers as of and for the periods indicated. The transaction accounting adjustments are based on currently available information and assumptions that Skyworks believes are, under the circumstances and given the information available at this time, reasonable, directly attributable to the Mergers, and reflective of adjustments necessary to report the combined financial condition and results of operations as if Skyworks and Qorvo consummated the Mergers. The final acquisition accounting will be based upon the actual consideration and the fair value of the assets to be acquired and the liabilities to be assumed of the party that is determined to be the acquiree under GAAP as of the date of the consummation of the Mergers (the “Closing Date”). In addition, subsequent to the Closing Date, there will be further refinements of the acquisition accounting as additional information becomes available. Accordingly, the final acquisition accounting may differ materially from the Pro Forma Financial Statements reflected herein.</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Pro Forma Financial Statements should be read in conjunction with the accompanying notes. In addition, the Pro Forma Financial Statements were based on and should be read in conjunction with the following historical consolidated financial statements and accompanying notes:</w:t>
      </w:r>
    </w:p>
    <w:p>
      <w:pPr>
        <w:spacing w:after="0" w:line="162" w:lineRule="exact"/>
        <w:rPr>
          <w:sz w:val="20"/>
          <w:szCs w:val="20"/>
          <w:color w:val="auto"/>
        </w:rPr>
      </w:pPr>
    </w:p>
    <w:p>
      <w:pPr>
        <w:ind w:left="660" w:hanging="328"/>
        <w:spacing w:after="0" w:line="281" w:lineRule="auto"/>
        <w:tabs>
          <w:tab w:leader="none" w:pos="660" w:val="left"/>
        </w:tabs>
        <w:numPr>
          <w:ilvl w:val="0"/>
          <w:numId w:val="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Consolidated Financial Statements of Skyworks, as included in Skyworks’ Annual Report on Form 10-K for the fiscal year ended October 3, 2025;</w:t>
      </w:r>
    </w:p>
    <w:p>
      <w:pPr>
        <w:spacing w:after="0" w:line="162" w:lineRule="exact"/>
        <w:rPr>
          <w:rFonts w:ascii="Arial" w:cs="Arial" w:eastAsia="Arial" w:hAnsi="Arial"/>
          <w:sz w:val="18"/>
          <w:szCs w:val="18"/>
          <w:b w:val="1"/>
          <w:bCs w:val="1"/>
          <w:color w:val="auto"/>
        </w:rPr>
      </w:pPr>
    </w:p>
    <w:p>
      <w:pPr>
        <w:ind w:left="660" w:hanging="328"/>
        <w:spacing w:after="0" w:line="281" w:lineRule="auto"/>
        <w:tabs>
          <w:tab w:leader="none" w:pos="660" w:val="left"/>
        </w:tabs>
        <w:numPr>
          <w:ilvl w:val="0"/>
          <w:numId w:val="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Unaudited Interim Consolidated Financial Statements of Skyworks, as included in Skyworks’ Quarterly Report on Form 10-Q for the quarterly period ended April 3, 2026;</w:t>
      </w:r>
    </w:p>
    <w:p>
      <w:pPr>
        <w:spacing w:after="0" w:line="162" w:lineRule="exact"/>
        <w:rPr>
          <w:rFonts w:ascii="Arial" w:cs="Arial" w:eastAsia="Arial" w:hAnsi="Arial"/>
          <w:sz w:val="18"/>
          <w:szCs w:val="18"/>
          <w:b w:val="1"/>
          <w:bCs w:val="1"/>
          <w:color w:val="auto"/>
        </w:rPr>
      </w:pPr>
    </w:p>
    <w:p>
      <w:pPr>
        <w:ind w:left="660" w:hanging="328"/>
        <w:spacing w:after="0" w:line="281" w:lineRule="auto"/>
        <w:tabs>
          <w:tab w:leader="none" w:pos="660" w:val="left"/>
        </w:tabs>
        <w:numPr>
          <w:ilvl w:val="0"/>
          <w:numId w:val="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Consolidated Financial Statements of Qorvo for the fiscal years ended March 28, 2026 and March 29, 2025, as included in Qorvo’s Annual Report on Form 10-K for the fiscal year ended March 28, 2026 and March 29, 2025; and</w:t>
      </w:r>
    </w:p>
    <w:p>
      <w:pPr>
        <w:spacing w:after="0" w:line="162" w:lineRule="exact"/>
        <w:rPr>
          <w:rFonts w:ascii="Arial" w:cs="Arial" w:eastAsia="Arial" w:hAnsi="Arial"/>
          <w:sz w:val="18"/>
          <w:szCs w:val="18"/>
          <w:b w:val="1"/>
          <w:bCs w:val="1"/>
          <w:color w:val="auto"/>
        </w:rPr>
      </w:pPr>
    </w:p>
    <w:p>
      <w:pPr>
        <w:jc w:val="both"/>
        <w:ind w:left="660" w:hanging="328"/>
        <w:spacing w:after="0" w:line="265" w:lineRule="auto"/>
        <w:tabs>
          <w:tab w:leader="none" w:pos="660" w:val="left"/>
        </w:tabs>
        <w:numPr>
          <w:ilvl w:val="0"/>
          <w:numId w:val="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Unaudited Interim Condensed Consolidated Financial Statements of Qorvo for the quarterly periods ended September 27, 2025 and September 28, 2024, as included in Qorvo’s Quarterly Report on Form 10-Q for the quarterly period ended September 27, 2025 and September 28, 2024.</w:t>
      </w:r>
    </w:p>
    <w:p>
      <w:pPr>
        <w:spacing w:after="0" w:line="39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 except per share amounts)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5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4"/>
          </w:tcPr>
          <w:p>
            <w:pPr>
              <w:jc w:val="right"/>
              <w:ind w:right="728"/>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17"/>
        </w:trPr>
        <w:tc>
          <w:tcPr>
            <w:tcW w:w="3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gridSpan w:val="2"/>
          </w:tcPr>
          <w:p>
            <w:pPr>
              <w:jc w:val="center"/>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Skyworks</w:t>
            </w:r>
          </w:p>
        </w:tc>
        <w:tc>
          <w:tcPr>
            <w:tcW w:w="100" w:type="dxa"/>
            <w:vAlign w:val="bottom"/>
          </w:tcPr>
          <w:p>
            <w:pPr>
              <w:spacing w:after="0"/>
              <w:rPr>
                <w:sz w:val="10"/>
                <w:szCs w:val="10"/>
                <w:color w:val="auto"/>
              </w:rPr>
            </w:pPr>
          </w:p>
        </w:tc>
        <w:tc>
          <w:tcPr>
            <w:tcW w:w="11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Qorvo, Inc.</w:t>
            </w:r>
          </w:p>
        </w:tc>
        <w:tc>
          <w:tcPr>
            <w:tcW w:w="110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Reclassification</w:t>
            </w: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vMerge w:val="restart"/>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Merger</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Financing</w:t>
            </w: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580" w:type="dxa"/>
            <w:vAlign w:val="bottom"/>
          </w:tcPr>
          <w:p>
            <w:pPr>
              <w:spacing w:after="0"/>
              <w:rPr>
                <w:sz w:val="15"/>
                <w:szCs w:val="15"/>
                <w:color w:val="auto"/>
              </w:rPr>
            </w:pPr>
          </w:p>
        </w:tc>
        <w:tc>
          <w:tcPr>
            <w:tcW w:w="120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Solutions, Inc.</w:t>
            </w:r>
          </w:p>
        </w:tc>
        <w:tc>
          <w:tcPr>
            <w:tcW w:w="10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100" w:type="dxa"/>
            <w:vAlign w:val="bottom"/>
            <w:gridSpan w:val="3"/>
            <w:vMerge w:val="continue"/>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Combined 6[i]</w:t>
            </w:r>
          </w:p>
        </w:tc>
        <w:tc>
          <w:tcPr>
            <w:tcW w:w="0" w:type="dxa"/>
            <w:vAlign w:val="bottom"/>
          </w:tcPr>
          <w:p>
            <w:pPr>
              <w:spacing w:after="0"/>
              <w:rPr>
                <w:sz w:val="1"/>
                <w:szCs w:val="1"/>
                <w:color w:val="auto"/>
              </w:rPr>
            </w:pPr>
          </w:p>
        </w:tc>
      </w:tr>
      <w:tr>
        <w:trPr>
          <w:trHeight w:val="117"/>
        </w:trPr>
        <w:tc>
          <w:tcPr>
            <w:tcW w:w="35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right"/>
              <w:ind w:right="108"/>
              <w:spacing w:after="0" w:line="118" w:lineRule="exact"/>
              <w:rPr>
                <w:sz w:val="20"/>
                <w:szCs w:val="20"/>
                <w:color w:val="auto"/>
              </w:rPr>
            </w:pPr>
            <w:r>
              <w:rPr>
                <w:rFonts w:ascii="Times New Roman" w:cs="Times New Roman" w:eastAsia="Times New Roman" w:hAnsi="Times New Roman"/>
                <w:sz w:val="13"/>
                <w:szCs w:val="13"/>
                <w:b w:val="1"/>
                <w:bCs w:val="1"/>
                <w:color w:val="auto"/>
              </w:rPr>
              <w:t>Six Months</w:t>
            </w:r>
          </w:p>
        </w:tc>
        <w:tc>
          <w:tcPr>
            <w:tcW w:w="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center"/>
              <w:ind w:right="48"/>
              <w:spacing w:after="0" w:line="118" w:lineRule="exact"/>
              <w:rPr>
                <w:sz w:val="20"/>
                <w:szCs w:val="20"/>
                <w:color w:val="auto"/>
              </w:rPr>
            </w:pPr>
            <w:r>
              <w:rPr>
                <w:rFonts w:ascii="Times New Roman" w:cs="Times New Roman" w:eastAsia="Times New Roman" w:hAnsi="Times New Roman"/>
                <w:sz w:val="13"/>
                <w:szCs w:val="13"/>
                <w:b w:val="1"/>
                <w:bCs w:val="1"/>
                <w:color w:val="auto"/>
              </w:rPr>
              <w:t>Six Months</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tcPr>
          <w:p>
            <w:pPr>
              <w:jc w:val="center"/>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transaction</w:t>
            </w: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tcPr>
          <w:p>
            <w:pPr>
              <w:jc w:val="center"/>
              <w:ind w:right="159"/>
              <w:spacing w:after="0" w:line="118" w:lineRule="exact"/>
              <w:rPr>
                <w:sz w:val="20"/>
                <w:szCs w:val="20"/>
                <w:color w:val="auto"/>
              </w:rPr>
            </w:pPr>
            <w:r>
              <w:rPr>
                <w:rFonts w:ascii="Times New Roman" w:cs="Times New Roman" w:eastAsia="Times New Roman" w:hAnsi="Times New Roman"/>
                <w:sz w:val="13"/>
                <w:szCs w:val="13"/>
                <w:b w:val="1"/>
                <w:bCs w:val="1"/>
                <w:color w:val="auto"/>
              </w:rPr>
              <w:t>transaction</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tcPr>
          <w:p>
            <w:pPr>
              <w:jc w:val="center"/>
              <w:ind w:right="88"/>
              <w:spacing w:after="0" w:line="118" w:lineRule="exact"/>
              <w:rPr>
                <w:sz w:val="20"/>
                <w:szCs w:val="20"/>
                <w:color w:val="auto"/>
              </w:rPr>
            </w:pPr>
            <w:r>
              <w:rPr>
                <w:rFonts w:ascii="Times New Roman" w:cs="Times New Roman" w:eastAsia="Times New Roman" w:hAnsi="Times New Roman"/>
                <w:sz w:val="13"/>
                <w:szCs w:val="13"/>
                <w:b w:val="1"/>
                <w:bCs w:val="1"/>
                <w:color w:val="auto"/>
              </w:rPr>
              <w:t>transaction</w:t>
            </w:r>
          </w:p>
        </w:tc>
        <w:tc>
          <w:tcPr>
            <w:tcW w:w="2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right"/>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00" w:type="dxa"/>
            <w:vAlign w:val="bottom"/>
          </w:tcPr>
          <w:p>
            <w:pPr>
              <w:spacing w:after="0"/>
              <w:rPr>
                <w:sz w:val="12"/>
                <w:szCs w:val="12"/>
                <w:color w:val="auto"/>
              </w:rPr>
            </w:pPr>
          </w:p>
        </w:tc>
        <w:tc>
          <w:tcPr>
            <w:tcW w:w="11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00" w:type="dxa"/>
            <w:vAlign w:val="bottom"/>
          </w:tcPr>
          <w:p>
            <w:pPr>
              <w:spacing w:after="0"/>
              <w:rPr>
                <w:sz w:val="12"/>
                <w:szCs w:val="12"/>
                <w:color w:val="auto"/>
              </w:rPr>
            </w:pPr>
          </w:p>
        </w:tc>
        <w:tc>
          <w:tcPr>
            <w:tcW w:w="10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159"/>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108"/>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April 3, 2026</w:t>
            </w:r>
          </w:p>
        </w:tc>
        <w:tc>
          <w:tcPr>
            <w:tcW w:w="0" w:type="dxa"/>
            <w:vAlign w:val="bottom"/>
          </w:tcPr>
          <w:p>
            <w:pPr>
              <w:spacing w:after="0"/>
              <w:rPr>
                <w:sz w:val="1"/>
                <w:szCs w:val="1"/>
                <w:color w:val="auto"/>
              </w:rPr>
            </w:pPr>
          </w:p>
        </w:tc>
      </w:tr>
      <w:tr>
        <w:trPr>
          <w:trHeight w:val="173"/>
        </w:trPr>
        <w:tc>
          <w:tcPr>
            <w:tcW w:w="3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April 3, 2026</w:t>
            </w:r>
          </w:p>
        </w:tc>
        <w:tc>
          <w:tcPr>
            <w:tcW w:w="122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March 28, 2026</w:t>
            </w:r>
          </w:p>
        </w:tc>
        <w:tc>
          <w:tcPr>
            <w:tcW w:w="100" w:type="dxa"/>
            <w:vAlign w:val="bottom"/>
          </w:tcPr>
          <w:p>
            <w:pPr>
              <w:spacing w:after="0"/>
              <w:rPr>
                <w:sz w:val="15"/>
                <w:szCs w:val="15"/>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58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Net revenue</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1,979</w:t>
            </w:r>
          </w:p>
        </w:tc>
        <w:tc>
          <w:tcPr>
            <w:tcW w:w="2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1,801</w:t>
            </w: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3,780</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Cost of goods sold</w:t>
            </w:r>
          </w:p>
        </w:tc>
        <w:tc>
          <w:tcPr>
            <w:tcW w:w="80" w:type="dxa"/>
            <w:vAlign w:val="bottom"/>
          </w:tcPr>
          <w:p>
            <w:pPr>
              <w:spacing w:after="0"/>
              <w:rPr>
                <w:sz w:val="12"/>
                <w:szCs w:val="12"/>
                <w:color w:val="auto"/>
              </w:rPr>
            </w:pPr>
          </w:p>
        </w:tc>
        <w:tc>
          <w:tcPr>
            <w:tcW w:w="11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1,166</w:t>
            </w:r>
          </w:p>
        </w:tc>
        <w:tc>
          <w:tcPr>
            <w:tcW w:w="100" w:type="dxa"/>
            <w:vAlign w:val="bottom"/>
          </w:tcPr>
          <w:p>
            <w:pPr>
              <w:spacing w:after="0"/>
              <w:rPr>
                <w:sz w:val="12"/>
                <w:szCs w:val="12"/>
                <w:color w:val="auto"/>
              </w:rPr>
            </w:pPr>
          </w:p>
        </w:tc>
        <w:tc>
          <w:tcPr>
            <w:tcW w:w="11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942</w:t>
            </w:r>
          </w:p>
        </w:tc>
        <w:tc>
          <w:tcPr>
            <w:tcW w:w="10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4"/>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(37) 6[e]</w:t>
            </w:r>
          </w:p>
        </w:tc>
        <w:tc>
          <w:tcPr>
            <w:tcW w:w="980" w:type="dxa"/>
            <w:vAlign w:val="bottom"/>
            <w:gridSpan w:val="2"/>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2,202</w:t>
            </w:r>
          </w:p>
        </w:tc>
        <w:tc>
          <w:tcPr>
            <w:tcW w:w="0" w:type="dxa"/>
            <w:vAlign w:val="bottom"/>
          </w:tcPr>
          <w:p>
            <w:pPr>
              <w:spacing w:after="0"/>
              <w:rPr>
                <w:sz w:val="1"/>
                <w:szCs w:val="1"/>
                <w:color w:val="auto"/>
              </w:rPr>
            </w:pPr>
          </w:p>
        </w:tc>
      </w:tr>
      <w:tr>
        <w:trPr>
          <w:trHeight w:val="162"/>
        </w:trPr>
        <w:tc>
          <w:tcPr>
            <w:tcW w:w="3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4"/>
                <w:szCs w:val="14"/>
                <w:color w:val="auto"/>
              </w:rPr>
              <w:t>131</w:t>
            </w:r>
          </w:p>
        </w:tc>
        <w:tc>
          <w:tcPr>
            <w:tcW w:w="360" w:type="dxa"/>
            <w:vAlign w:val="bottom"/>
            <w:gridSpan w:val="2"/>
            <w:shd w:val="clear" w:color="auto" w:fill="CCEEFF"/>
          </w:tcPr>
          <w:p>
            <w:pPr>
              <w:jc w:val="center"/>
              <w:ind w:right="8"/>
              <w:spacing w:after="0"/>
              <w:rPr>
                <w:sz w:val="20"/>
                <w:szCs w:val="20"/>
                <w:color w:val="auto"/>
              </w:rPr>
            </w:pPr>
            <w:r>
              <w:rPr>
                <w:rFonts w:ascii="Times New Roman" w:cs="Times New Roman" w:eastAsia="Times New Roman" w:hAnsi="Times New Roman"/>
                <w:sz w:val="14"/>
                <w:szCs w:val="14"/>
                <w:color w:val="auto"/>
              </w:rPr>
              <w:t>6[e]</w:t>
            </w: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5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Gross profit</w:t>
            </w:r>
          </w:p>
        </w:tc>
        <w:tc>
          <w:tcPr>
            <w:tcW w:w="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813</w:t>
            </w: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859</w:t>
            </w: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(94)</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1,578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Operating expenses:</w:t>
            </w: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8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Research and development</w:t>
            </w:r>
          </w:p>
        </w:tc>
        <w:tc>
          <w:tcPr>
            <w:tcW w:w="80" w:type="dxa"/>
            <w:vAlign w:val="bottom"/>
          </w:tcPr>
          <w:p>
            <w:pPr>
              <w:spacing w:after="0"/>
              <w:rPr>
                <w:sz w:val="12"/>
                <w:szCs w:val="12"/>
                <w:color w:val="auto"/>
              </w:rPr>
            </w:pPr>
          </w:p>
        </w:tc>
        <w:tc>
          <w:tcPr>
            <w:tcW w:w="11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416</w:t>
            </w:r>
          </w:p>
        </w:tc>
        <w:tc>
          <w:tcPr>
            <w:tcW w:w="100" w:type="dxa"/>
            <w:vAlign w:val="bottom"/>
          </w:tcPr>
          <w:p>
            <w:pPr>
              <w:spacing w:after="0"/>
              <w:rPr>
                <w:sz w:val="12"/>
                <w:szCs w:val="12"/>
                <w:color w:val="auto"/>
              </w:rPr>
            </w:pPr>
          </w:p>
        </w:tc>
        <w:tc>
          <w:tcPr>
            <w:tcW w:w="11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348</w:t>
            </w:r>
          </w:p>
        </w:tc>
        <w:tc>
          <w:tcPr>
            <w:tcW w:w="10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39"/>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764</w:t>
            </w:r>
          </w:p>
        </w:tc>
        <w:tc>
          <w:tcPr>
            <w:tcW w:w="0" w:type="dxa"/>
            <w:vAlign w:val="bottom"/>
          </w:tcPr>
          <w:p>
            <w:pPr>
              <w:spacing w:after="0"/>
              <w:rPr>
                <w:sz w:val="1"/>
                <w:szCs w:val="1"/>
                <w:color w:val="auto"/>
              </w:rPr>
            </w:pPr>
          </w:p>
        </w:tc>
      </w:tr>
      <w:tr>
        <w:trPr>
          <w:trHeight w:val="126"/>
        </w:trPr>
        <w:tc>
          <w:tcPr>
            <w:tcW w:w="358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80" w:type="dxa"/>
            <w:vAlign w:val="bottom"/>
            <w:shd w:val="clear" w:color="auto" w:fill="CCEEFF"/>
          </w:tcPr>
          <w:p>
            <w:pPr>
              <w:spacing w:after="0"/>
              <w:rPr>
                <w:sz w:val="10"/>
                <w:szCs w:val="10"/>
                <w:color w:val="auto"/>
              </w:rPr>
            </w:pPr>
          </w:p>
        </w:tc>
        <w:tc>
          <w:tcPr>
            <w:tcW w:w="11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228</w:t>
            </w:r>
          </w:p>
        </w:tc>
        <w:tc>
          <w:tcPr>
            <w:tcW w:w="100" w:type="dxa"/>
            <w:vAlign w:val="bottom"/>
            <w:shd w:val="clear" w:color="auto" w:fill="CCEEFF"/>
          </w:tcPr>
          <w:p>
            <w:pPr>
              <w:spacing w:after="0"/>
              <w:rPr>
                <w:sz w:val="10"/>
                <w:szCs w:val="10"/>
                <w:color w:val="auto"/>
              </w:rPr>
            </w:pPr>
          </w:p>
        </w:tc>
        <w:tc>
          <w:tcPr>
            <w:tcW w:w="11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10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99</w:t>
            </w:r>
          </w:p>
        </w:tc>
        <w:tc>
          <w:tcPr>
            <w:tcW w:w="440" w:type="dxa"/>
            <w:vAlign w:val="bottom"/>
            <w:gridSpan w:val="2"/>
            <w:shd w:val="clear" w:color="auto" w:fill="CCEEFF"/>
          </w:tcPr>
          <w:p>
            <w:pPr>
              <w:jc w:val="center"/>
              <w:ind w:right="43"/>
              <w:spacing w:after="0" w:line="126" w:lineRule="exact"/>
              <w:rPr>
                <w:sz w:val="20"/>
                <w:szCs w:val="20"/>
                <w:color w:val="auto"/>
              </w:rPr>
            </w:pPr>
            <w:r>
              <w:rPr>
                <w:rFonts w:ascii="Times New Roman" w:cs="Times New Roman" w:eastAsia="Times New Roman" w:hAnsi="Times New Roman"/>
                <w:sz w:val="14"/>
                <w:szCs w:val="14"/>
                <w:color w:val="auto"/>
                <w:w w:val="97"/>
              </w:rPr>
              <w:t>6[a]</w:t>
            </w:r>
          </w:p>
        </w:tc>
        <w:tc>
          <w:tcPr>
            <w:tcW w:w="1340" w:type="dxa"/>
            <w:vAlign w:val="bottom"/>
            <w:gridSpan w:val="4"/>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 6[e]</w:t>
            </w:r>
          </w:p>
        </w:tc>
        <w:tc>
          <w:tcPr>
            <w:tcW w:w="980" w:type="dxa"/>
            <w:vAlign w:val="bottom"/>
            <w:gridSpan w:val="2"/>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390</w:t>
            </w:r>
          </w:p>
        </w:tc>
        <w:tc>
          <w:tcPr>
            <w:tcW w:w="0" w:type="dxa"/>
            <w:vAlign w:val="bottom"/>
          </w:tcPr>
          <w:p>
            <w:pPr>
              <w:spacing w:after="0"/>
              <w:rPr>
                <w:sz w:val="1"/>
                <w:szCs w:val="1"/>
                <w:color w:val="auto"/>
              </w:rPr>
            </w:pPr>
          </w:p>
        </w:tc>
      </w:tr>
      <w:tr>
        <w:trPr>
          <w:trHeight w:val="171"/>
        </w:trPr>
        <w:tc>
          <w:tcPr>
            <w:tcW w:w="35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4"/>
                <w:szCs w:val="14"/>
                <w:color w:val="auto"/>
              </w:rPr>
            </w:pPr>
          </w:p>
        </w:tc>
        <w:tc>
          <w:tcPr>
            <w:tcW w:w="1340" w:type="dxa"/>
            <w:vAlign w:val="bottom"/>
            <w:gridSpan w:val="4"/>
            <w:vMerge w:val="continue"/>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67</w:t>
            </w:r>
          </w:p>
        </w:tc>
        <w:tc>
          <w:tcPr>
            <w:tcW w:w="440" w:type="dxa"/>
            <w:vAlign w:val="bottom"/>
            <w:gridSpan w:val="2"/>
          </w:tcPr>
          <w:p>
            <w:pPr>
              <w:jc w:val="center"/>
              <w:ind w:right="43"/>
              <w:spacing w:after="0" w:line="126" w:lineRule="exact"/>
              <w:rPr>
                <w:sz w:val="20"/>
                <w:szCs w:val="20"/>
                <w:color w:val="auto"/>
              </w:rPr>
            </w:pPr>
            <w:r>
              <w:rPr>
                <w:rFonts w:ascii="Times New Roman" w:cs="Times New Roman" w:eastAsia="Times New Roman" w:hAnsi="Times New Roman"/>
                <w:sz w:val="14"/>
                <w:szCs w:val="14"/>
                <w:color w:val="auto"/>
                <w:w w:val="97"/>
              </w:rPr>
              <w:t>6[a]</w:t>
            </w: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3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58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Marketing and selling</w:t>
            </w:r>
          </w:p>
        </w:tc>
        <w:tc>
          <w:tcPr>
            <w:tcW w:w="80" w:type="dxa"/>
            <w:vAlign w:val="bottom"/>
            <w:shd w:val="clear" w:color="auto" w:fill="CCEEFF"/>
          </w:tcPr>
          <w:p>
            <w:pPr>
              <w:spacing w:after="0"/>
              <w:rPr>
                <w:sz w:val="10"/>
                <w:szCs w:val="10"/>
                <w:color w:val="auto"/>
              </w:rPr>
            </w:pPr>
          </w:p>
        </w:tc>
        <w:tc>
          <w:tcPr>
            <w:tcW w:w="11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11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99</w:t>
            </w:r>
          </w:p>
        </w:tc>
        <w:tc>
          <w:tcPr>
            <w:tcW w:w="100" w:type="dxa"/>
            <w:vAlign w:val="bottom"/>
            <w:shd w:val="clear" w:color="auto" w:fill="CCEEFF"/>
          </w:tcPr>
          <w:p>
            <w:pPr>
              <w:spacing w:after="0"/>
              <w:rPr>
                <w:sz w:val="10"/>
                <w:szCs w:val="10"/>
                <w:color w:val="auto"/>
              </w:rPr>
            </w:pPr>
          </w:p>
        </w:tc>
        <w:tc>
          <w:tcPr>
            <w:tcW w:w="10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(99)</w:t>
            </w:r>
          </w:p>
        </w:tc>
        <w:tc>
          <w:tcPr>
            <w:tcW w:w="440" w:type="dxa"/>
            <w:vAlign w:val="bottom"/>
            <w:gridSpan w:val="2"/>
            <w:shd w:val="clear" w:color="auto" w:fill="CCEEFF"/>
          </w:tcPr>
          <w:p>
            <w:pPr>
              <w:jc w:val="center"/>
              <w:ind w:right="43"/>
              <w:spacing w:after="0" w:line="126" w:lineRule="exact"/>
              <w:rPr>
                <w:sz w:val="20"/>
                <w:szCs w:val="20"/>
                <w:color w:val="auto"/>
              </w:rPr>
            </w:pPr>
            <w:r>
              <w:rPr>
                <w:rFonts w:ascii="Times New Roman" w:cs="Times New Roman" w:eastAsia="Times New Roman" w:hAnsi="Times New Roman"/>
                <w:sz w:val="14"/>
                <w:szCs w:val="14"/>
                <w:color w:val="auto"/>
                <w:w w:val="97"/>
              </w:rPr>
              <w:t>6[a]</w:t>
            </w:r>
          </w:p>
        </w:tc>
        <w:tc>
          <w:tcPr>
            <w:tcW w:w="980" w:type="dxa"/>
            <w:vAlign w:val="bottom"/>
            <w:gridSpan w:val="2"/>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80" w:type="dxa"/>
            <w:vAlign w:val="bottom"/>
            <w:gridSpan w:val="2"/>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5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580" w:type="dxa"/>
            <w:vAlign w:val="bottom"/>
            <w:vMerge w:val="restart"/>
          </w:tcPr>
          <w:p>
            <w:pPr>
              <w:ind w:left="18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80" w:type="dxa"/>
            <w:vAlign w:val="bottom"/>
          </w:tcPr>
          <w:p>
            <w:pPr>
              <w:spacing w:after="0"/>
              <w:rPr>
                <w:sz w:val="10"/>
                <w:szCs w:val="10"/>
                <w:color w:val="auto"/>
              </w:rPr>
            </w:pPr>
          </w:p>
        </w:tc>
        <w:tc>
          <w:tcPr>
            <w:tcW w:w="11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1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67</w:t>
            </w:r>
          </w:p>
        </w:tc>
        <w:tc>
          <w:tcPr>
            <w:tcW w:w="100" w:type="dxa"/>
            <w:vAlign w:val="bottom"/>
          </w:tcPr>
          <w:p>
            <w:pPr>
              <w:spacing w:after="0"/>
              <w:rPr>
                <w:sz w:val="10"/>
                <w:szCs w:val="10"/>
                <w:color w:val="auto"/>
              </w:rPr>
            </w:pPr>
          </w:p>
        </w:tc>
        <w:tc>
          <w:tcPr>
            <w:tcW w:w="10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(67)</w:t>
            </w:r>
          </w:p>
        </w:tc>
        <w:tc>
          <w:tcPr>
            <w:tcW w:w="440" w:type="dxa"/>
            <w:vAlign w:val="bottom"/>
            <w:gridSpan w:val="2"/>
          </w:tcPr>
          <w:p>
            <w:pPr>
              <w:jc w:val="center"/>
              <w:ind w:right="43"/>
              <w:spacing w:after="0" w:line="126" w:lineRule="exact"/>
              <w:rPr>
                <w:sz w:val="20"/>
                <w:szCs w:val="20"/>
                <w:color w:val="auto"/>
              </w:rPr>
            </w:pPr>
            <w:r>
              <w:rPr>
                <w:rFonts w:ascii="Times New Roman" w:cs="Times New Roman" w:eastAsia="Times New Roman" w:hAnsi="Times New Roman"/>
                <w:sz w:val="14"/>
                <w:szCs w:val="14"/>
                <w:color w:val="auto"/>
                <w:w w:val="97"/>
              </w:rPr>
              <w:t>6[a]</w:t>
            </w:r>
          </w:p>
        </w:tc>
        <w:tc>
          <w:tcPr>
            <w:tcW w:w="980" w:type="dxa"/>
            <w:vAlign w:val="bottom"/>
            <w:gridSpan w:val="2"/>
            <w:vMerge w:val="restart"/>
          </w:tcPr>
          <w:p>
            <w:pPr>
              <w:jc w:val="right"/>
              <w:ind w:right="39"/>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5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3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58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Amortization of intangibles</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9"/>
              <w:spacing w:after="0" w:line="149" w:lineRule="exact"/>
              <w:rPr>
                <w:sz w:val="20"/>
                <w:szCs w:val="20"/>
                <w:color w:val="auto"/>
              </w:rPr>
            </w:pPr>
            <w:r>
              <w:rPr>
                <w:rFonts w:ascii="Times New Roman" w:cs="Times New Roman" w:eastAsia="Times New Roman" w:hAnsi="Times New Roman"/>
                <w:sz w:val="14"/>
                <w:szCs w:val="14"/>
                <w:color w:val="auto"/>
              </w:rPr>
              <w:t>78</w:t>
            </w:r>
          </w:p>
        </w:tc>
        <w:tc>
          <w:tcPr>
            <w:tcW w:w="360" w:type="dxa"/>
            <w:vAlign w:val="bottom"/>
            <w:gridSpan w:val="2"/>
            <w:shd w:val="clear" w:color="auto" w:fill="CCEEFF"/>
          </w:tcPr>
          <w:p>
            <w:pPr>
              <w:jc w:val="center"/>
              <w:ind w:right="8"/>
              <w:spacing w:after="0" w:line="149" w:lineRule="exact"/>
              <w:rPr>
                <w:sz w:val="20"/>
                <w:szCs w:val="20"/>
                <w:color w:val="auto"/>
              </w:rPr>
            </w:pPr>
            <w:r>
              <w:rPr>
                <w:rFonts w:ascii="Times New Roman" w:cs="Times New Roman" w:eastAsia="Times New Roman" w:hAnsi="Times New Roman"/>
                <w:sz w:val="14"/>
                <w:szCs w:val="14"/>
                <w:color w:val="auto"/>
              </w:rPr>
              <w:t>6[e]</w:t>
            </w:r>
          </w:p>
        </w:tc>
        <w:tc>
          <w:tcPr>
            <w:tcW w:w="980" w:type="dxa"/>
            <w:vAlign w:val="bottom"/>
            <w:gridSpan w:val="2"/>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78</w:t>
            </w:r>
          </w:p>
        </w:tc>
        <w:tc>
          <w:tcPr>
            <w:tcW w:w="0" w:type="dxa"/>
            <w:vAlign w:val="bottom"/>
          </w:tcPr>
          <w:p>
            <w:pPr>
              <w:spacing w:after="0"/>
              <w:rPr>
                <w:sz w:val="1"/>
                <w:szCs w:val="1"/>
                <w:color w:val="auto"/>
              </w:rPr>
            </w:pPr>
          </w:p>
        </w:tc>
      </w:tr>
      <w:tr>
        <w:trPr>
          <w:trHeight w:val="126"/>
        </w:trPr>
        <w:tc>
          <w:tcPr>
            <w:tcW w:w="3580" w:type="dxa"/>
            <w:vAlign w:val="bottom"/>
            <w:vMerge w:val="restart"/>
          </w:tcPr>
          <w:p>
            <w:pPr>
              <w:ind w:left="180"/>
              <w:spacing w:after="0"/>
              <w:rPr>
                <w:sz w:val="20"/>
                <w:szCs w:val="20"/>
                <w:color w:val="auto"/>
              </w:rPr>
            </w:pPr>
            <w:r>
              <w:rPr>
                <w:rFonts w:ascii="Times New Roman" w:cs="Times New Roman" w:eastAsia="Times New Roman" w:hAnsi="Times New Roman"/>
                <w:sz w:val="14"/>
                <w:szCs w:val="14"/>
                <w:color w:val="auto"/>
              </w:rPr>
              <w:t>Restructuring and other charges</w:t>
            </w:r>
          </w:p>
        </w:tc>
        <w:tc>
          <w:tcPr>
            <w:tcW w:w="80" w:type="dxa"/>
            <w:vAlign w:val="bottom"/>
          </w:tcPr>
          <w:p>
            <w:pPr>
              <w:spacing w:after="0"/>
              <w:rPr>
                <w:sz w:val="10"/>
                <w:szCs w:val="10"/>
                <w:color w:val="auto"/>
              </w:rPr>
            </w:pPr>
          </w:p>
        </w:tc>
        <w:tc>
          <w:tcPr>
            <w:tcW w:w="11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10"/>
                <w:szCs w:val="10"/>
                <w:color w:val="auto"/>
              </w:rPr>
            </w:pPr>
          </w:p>
        </w:tc>
        <w:tc>
          <w:tcPr>
            <w:tcW w:w="11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0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39</w:t>
            </w:r>
          </w:p>
        </w:tc>
        <w:tc>
          <w:tcPr>
            <w:tcW w:w="440" w:type="dxa"/>
            <w:vAlign w:val="bottom"/>
            <w:gridSpan w:val="2"/>
          </w:tcPr>
          <w:p>
            <w:pPr>
              <w:jc w:val="center"/>
              <w:ind w:right="43"/>
              <w:spacing w:after="0" w:line="126" w:lineRule="exact"/>
              <w:rPr>
                <w:sz w:val="20"/>
                <w:szCs w:val="20"/>
                <w:color w:val="auto"/>
              </w:rPr>
            </w:pPr>
            <w:r>
              <w:rPr>
                <w:rFonts w:ascii="Times New Roman" w:cs="Times New Roman" w:eastAsia="Times New Roman" w:hAnsi="Times New Roman"/>
                <w:sz w:val="14"/>
                <w:szCs w:val="14"/>
                <w:color w:val="auto"/>
                <w:w w:val="97"/>
              </w:rPr>
              <w:t>6[a]</w:t>
            </w:r>
          </w:p>
        </w:tc>
        <w:tc>
          <w:tcPr>
            <w:tcW w:w="980" w:type="dxa"/>
            <w:vAlign w:val="bottom"/>
            <w:gridSpan w:val="2"/>
            <w:vMerge w:val="restart"/>
          </w:tcPr>
          <w:p>
            <w:pPr>
              <w:jc w:val="right"/>
              <w:ind w:right="39"/>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62</w:t>
            </w:r>
          </w:p>
        </w:tc>
        <w:tc>
          <w:tcPr>
            <w:tcW w:w="0" w:type="dxa"/>
            <w:vAlign w:val="bottom"/>
          </w:tcPr>
          <w:p>
            <w:pPr>
              <w:spacing w:after="0"/>
              <w:rPr>
                <w:sz w:val="1"/>
                <w:szCs w:val="1"/>
                <w:color w:val="auto"/>
              </w:rPr>
            </w:pPr>
          </w:p>
        </w:tc>
      </w:tr>
      <w:tr>
        <w:trPr>
          <w:trHeight w:val="171"/>
        </w:trPr>
        <w:tc>
          <w:tcPr>
            <w:tcW w:w="35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3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58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Goodwill and intangible asset impairment</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82</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40" w:type="dxa"/>
            <w:vAlign w:val="bottom"/>
            <w:gridSpan w:val="4"/>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(37) 6[h]</w:t>
            </w:r>
          </w:p>
        </w:tc>
        <w:tc>
          <w:tcPr>
            <w:tcW w:w="980" w:type="dxa"/>
            <w:vAlign w:val="bottom"/>
            <w:gridSpan w:val="2"/>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45</w:t>
            </w:r>
          </w:p>
        </w:tc>
        <w:tc>
          <w:tcPr>
            <w:tcW w:w="0" w:type="dxa"/>
            <w:vAlign w:val="bottom"/>
          </w:tcPr>
          <w:p>
            <w:pPr>
              <w:spacing w:after="0"/>
              <w:rPr>
                <w:sz w:val="1"/>
                <w:szCs w:val="1"/>
                <w:color w:val="auto"/>
              </w:rPr>
            </w:pPr>
          </w:p>
        </w:tc>
      </w:tr>
      <w:tr>
        <w:trPr>
          <w:trHeight w:val="126"/>
        </w:trPr>
        <w:tc>
          <w:tcPr>
            <w:tcW w:w="3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gridSpan w:val="2"/>
          </w:tcPr>
          <w:p>
            <w:pPr>
              <w:jc w:val="center"/>
              <w:ind w:right="43"/>
              <w:spacing w:after="0" w:line="126" w:lineRule="exact"/>
              <w:rPr>
                <w:sz w:val="20"/>
                <w:szCs w:val="20"/>
                <w:color w:val="auto"/>
              </w:rPr>
            </w:pPr>
            <w:r>
              <w:rPr>
                <w:rFonts w:ascii="Times New Roman" w:cs="Times New Roman" w:eastAsia="Times New Roman" w:hAnsi="Times New Roman"/>
                <w:sz w:val="14"/>
                <w:szCs w:val="14"/>
                <w:color w:val="auto"/>
                <w:w w:val="97"/>
              </w:rPr>
              <w:t>6[a]</w:t>
            </w: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35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 operating expense</w:t>
            </w:r>
          </w:p>
        </w:tc>
        <w:tc>
          <w:tcPr>
            <w:tcW w:w="80" w:type="dxa"/>
            <w:vAlign w:val="bottom"/>
          </w:tcPr>
          <w:p>
            <w:pPr>
              <w:spacing w:after="0"/>
              <w:rPr>
                <w:sz w:val="16"/>
                <w:szCs w:val="16"/>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tcPr>
          <w:p>
            <w:pPr>
              <w:spacing w:after="0"/>
              <w:rPr>
                <w:sz w:val="16"/>
                <w:szCs w:val="16"/>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(39)</w:t>
            </w:r>
          </w:p>
        </w:tc>
        <w:tc>
          <w:tcPr>
            <w:tcW w:w="3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980" w:type="dxa"/>
            <w:vAlign w:val="bottom"/>
            <w:gridSpan w:val="2"/>
          </w:tcPr>
          <w:p>
            <w:pPr>
              <w:jc w:val="right"/>
              <w:ind w:right="39"/>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3580" w:type="dxa"/>
            <w:vAlign w:val="bottom"/>
            <w:tcBorders>
              <w:top w:val="single" w:sz="8" w:color="CCEEFF"/>
            </w:tcBorders>
            <w:shd w:val="clear" w:color="auto" w:fill="CCEEFF"/>
          </w:tcPr>
          <w:p>
            <w:pPr>
              <w:ind w:left="340"/>
              <w:spacing w:after="0" w:line="142" w:lineRule="exact"/>
              <w:rPr>
                <w:sz w:val="20"/>
                <w:szCs w:val="20"/>
                <w:color w:val="auto"/>
              </w:rPr>
            </w:pPr>
            <w:r>
              <w:rPr>
                <w:rFonts w:ascii="Times New Roman" w:cs="Times New Roman" w:eastAsia="Times New Roman" w:hAnsi="Times New Roman"/>
                <w:sz w:val="14"/>
                <w:szCs w:val="14"/>
                <w:color w:val="auto"/>
              </w:rPr>
              <w:t>Total operating expenses</w:t>
            </w: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9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667</w:t>
            </w:r>
          </w:p>
        </w:tc>
        <w:tc>
          <w:tcPr>
            <w:tcW w:w="2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635</w:t>
            </w: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37</w:t>
            </w:r>
          </w:p>
        </w:tc>
        <w:tc>
          <w:tcPr>
            <w:tcW w:w="8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9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1,339</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5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Operating income</w:t>
            </w:r>
          </w:p>
        </w:tc>
        <w:tc>
          <w:tcPr>
            <w:tcW w:w="80" w:type="dxa"/>
            <w:vAlign w:val="bottom"/>
          </w:tcPr>
          <w:p>
            <w:pPr>
              <w:spacing w:after="0"/>
              <w:rPr>
                <w:sz w:val="12"/>
                <w:szCs w:val="12"/>
                <w:color w:val="auto"/>
              </w:rPr>
            </w:pPr>
          </w:p>
        </w:tc>
        <w:tc>
          <w:tcPr>
            <w:tcW w:w="9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146</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224</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(131)</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239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8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Interest expense</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(14)</w:t>
            </w: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(36)</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9"/>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40" w:type="dxa"/>
            <w:vAlign w:val="bottom"/>
            <w:gridSpan w:val="4"/>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(73) 6[d]</w:t>
            </w:r>
          </w:p>
        </w:tc>
        <w:tc>
          <w:tcPr>
            <w:tcW w:w="10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(123)</w:t>
            </w:r>
          </w:p>
        </w:tc>
        <w:tc>
          <w:tcPr>
            <w:tcW w:w="0" w:type="dxa"/>
            <w:vAlign w:val="bottom"/>
          </w:tcPr>
          <w:p>
            <w:pPr>
              <w:spacing w:after="0"/>
              <w:rPr>
                <w:sz w:val="1"/>
                <w:szCs w:val="1"/>
                <w:color w:val="auto"/>
              </w:rPr>
            </w:pPr>
          </w:p>
        </w:tc>
      </w:tr>
      <w:tr>
        <w:trPr>
          <w:trHeight w:val="162"/>
        </w:trPr>
        <w:tc>
          <w:tcPr>
            <w:tcW w:w="35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 income, net</w:t>
            </w:r>
          </w:p>
        </w:tc>
        <w:tc>
          <w:tcPr>
            <w:tcW w:w="80" w:type="dxa"/>
            <w:vAlign w:val="bottom"/>
          </w:tcPr>
          <w:p>
            <w:pPr>
              <w:spacing w:after="0"/>
              <w:rPr>
                <w:sz w:val="14"/>
                <w:szCs w:val="14"/>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14"/>
                <w:szCs w:val="14"/>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right"/>
              <w:ind w:right="39"/>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47</w:t>
            </w:r>
          </w:p>
        </w:tc>
        <w:tc>
          <w:tcPr>
            <w:tcW w:w="0" w:type="dxa"/>
            <w:vAlign w:val="bottom"/>
          </w:tcPr>
          <w:p>
            <w:pPr>
              <w:spacing w:after="0"/>
              <w:rPr>
                <w:sz w:val="1"/>
                <w:szCs w:val="1"/>
                <w:color w:val="auto"/>
              </w:rPr>
            </w:pPr>
          </w:p>
        </w:tc>
      </w:tr>
      <w:tr>
        <w:trPr>
          <w:trHeight w:val="142"/>
        </w:trPr>
        <w:tc>
          <w:tcPr>
            <w:tcW w:w="358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Income (loss) before income taxes</w:t>
            </w:r>
          </w:p>
        </w:tc>
        <w:tc>
          <w:tcPr>
            <w:tcW w:w="8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155</w:t>
            </w:r>
          </w:p>
        </w:tc>
        <w:tc>
          <w:tcPr>
            <w:tcW w:w="2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212</w:t>
            </w: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(131)</w:t>
            </w:r>
          </w:p>
        </w:tc>
        <w:tc>
          <w:tcPr>
            <w:tcW w:w="8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(73)</w:t>
            </w:r>
          </w:p>
        </w:tc>
        <w:tc>
          <w:tcPr>
            <w:tcW w:w="8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163</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580" w:type="dxa"/>
            <w:vAlign w:val="bottom"/>
          </w:tcPr>
          <w:p>
            <w:pPr>
              <w:spacing w:after="0"/>
              <w:rPr>
                <w:sz w:val="20"/>
                <w:szCs w:val="20"/>
                <w:color w:val="auto"/>
              </w:rPr>
            </w:pPr>
            <w:r>
              <w:rPr>
                <w:rFonts w:ascii="Times New Roman" w:cs="Times New Roman" w:eastAsia="Times New Roman" w:hAnsi="Times New Roman"/>
                <w:sz w:val="14"/>
                <w:szCs w:val="14"/>
                <w:color w:val="auto"/>
              </w:rPr>
              <w:t>Provision (benefit) for income taxes</w:t>
            </w:r>
          </w:p>
        </w:tc>
        <w:tc>
          <w:tcPr>
            <w:tcW w:w="80" w:type="dxa"/>
            <w:vAlign w:val="bottom"/>
          </w:tcPr>
          <w:p>
            <w:pPr>
              <w:spacing w:after="0"/>
              <w:rPr>
                <w:sz w:val="14"/>
                <w:szCs w:val="14"/>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tcPr>
          <w:p>
            <w:pPr>
              <w:spacing w:after="0"/>
              <w:rPr>
                <w:sz w:val="14"/>
                <w:szCs w:val="14"/>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360" w:type="dxa"/>
            <w:vAlign w:val="bottom"/>
            <w:gridSpan w:val="2"/>
          </w:tcPr>
          <w:p>
            <w:pPr>
              <w:jc w:val="center"/>
              <w:ind w:right="8"/>
              <w:spacing w:after="0"/>
              <w:rPr>
                <w:sz w:val="20"/>
                <w:szCs w:val="20"/>
                <w:color w:val="auto"/>
              </w:rPr>
            </w:pPr>
            <w:r>
              <w:rPr>
                <w:rFonts w:ascii="Times New Roman" w:cs="Times New Roman" w:eastAsia="Times New Roman" w:hAnsi="Times New Roman"/>
                <w:sz w:val="14"/>
                <w:szCs w:val="14"/>
                <w:color w:val="auto"/>
                <w:w w:val="95"/>
              </w:rPr>
              <w:t>6[f]</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6[f]</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55"/>
        </w:trPr>
        <w:tc>
          <w:tcPr>
            <w:tcW w:w="3580" w:type="dxa"/>
            <w:vAlign w:val="bottom"/>
            <w:tcBorders>
              <w:top w:val="single" w:sz="8" w:color="CCEEFF"/>
              <w:bottom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Net income (loss)</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115</w:t>
            </w: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194</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34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(103</w:t>
            </w:r>
          </w:p>
        </w:tc>
        <w:tc>
          <w:tcPr>
            <w:tcW w:w="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26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(58</w:t>
            </w:r>
          </w:p>
        </w:tc>
        <w:tc>
          <w:tcPr>
            <w:tcW w:w="80" w:type="dxa"/>
            <w:vAlign w:val="bottom"/>
            <w:tcBorders>
              <w:top w:val="single" w:sz="8" w:color="CCEEFF"/>
              <w:bottom w:val="single" w:sz="8" w:color="CCEEFF"/>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w w:val="84"/>
              </w:rPr>
              <w:t>)</w:t>
            </w:r>
          </w:p>
        </w:tc>
        <w:tc>
          <w:tcPr>
            <w:tcW w:w="28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148</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5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Earnings (loss) per share:</w:t>
            </w: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5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58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Basic</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0.77</w:t>
            </w: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0.63</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4"/>
                <w:szCs w:val="14"/>
                <w:color w:val="auto"/>
              </w:rPr>
              <w:t>Diluted</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580" w:type="dxa"/>
            <w:vAlign w:val="bottom"/>
            <w:tcBorders>
              <w:bottom w:val="single" w:sz="8" w:color="CCEEFF"/>
            </w:tcBorders>
            <w:vMerge w:val="continue"/>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0.76</w:t>
            </w:r>
          </w:p>
        </w:tc>
        <w:tc>
          <w:tcPr>
            <w:tcW w:w="200" w:type="dxa"/>
            <w:vAlign w:val="bottom"/>
            <w:tcBorders>
              <w:bottom w:val="single" w:sz="8" w:color="CCEEFF"/>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90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9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9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9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vMerge w:val="continue"/>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0.63</w:t>
            </w:r>
          </w:p>
        </w:tc>
        <w:tc>
          <w:tcPr>
            <w:tcW w:w="100" w:type="dxa"/>
            <w:vAlign w:val="bottom"/>
            <w:tcBorders>
              <w:bottom w:val="single" w:sz="8" w:color="CCEE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58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rPr>
              <w:t>Weighted average shares:</w:t>
            </w: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58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Basic</w:t>
            </w:r>
          </w:p>
        </w:tc>
        <w:tc>
          <w:tcPr>
            <w:tcW w:w="80" w:type="dxa"/>
            <w:vAlign w:val="bottom"/>
          </w:tcPr>
          <w:p>
            <w:pPr>
              <w:spacing w:after="0"/>
              <w:rPr>
                <w:sz w:val="12"/>
                <w:szCs w:val="12"/>
                <w:color w:val="auto"/>
              </w:rPr>
            </w:pPr>
          </w:p>
        </w:tc>
        <w:tc>
          <w:tcPr>
            <w:tcW w:w="11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150</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848</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234</w:t>
            </w:r>
          </w:p>
        </w:tc>
        <w:tc>
          <w:tcPr>
            <w:tcW w:w="0" w:type="dxa"/>
            <w:vAlign w:val="bottom"/>
          </w:tcPr>
          <w:p>
            <w:pPr>
              <w:spacing w:after="0"/>
              <w:rPr>
                <w:sz w:val="1"/>
                <w:szCs w:val="1"/>
                <w:color w:val="auto"/>
              </w:rPr>
            </w:pPr>
          </w:p>
        </w:tc>
      </w:tr>
      <w:tr>
        <w:trPr>
          <w:trHeight w:val="148"/>
        </w:trPr>
        <w:tc>
          <w:tcPr>
            <w:tcW w:w="358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Diluted</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151</w:t>
            </w: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848</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235</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Pro Forma Condensed Combined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 except per share amounts)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9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5"/>
          </w:tcPr>
          <w:p>
            <w:pPr>
              <w:jc w:val="right"/>
              <w:ind w:right="848"/>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vMerge w:val="restart"/>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17"/>
        </w:trPr>
        <w:tc>
          <w:tcPr>
            <w:tcW w:w="29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gridSpan w:val="2"/>
          </w:tcPr>
          <w:p>
            <w:pPr>
              <w:jc w:val="right"/>
              <w:ind w:right="340"/>
              <w:spacing w:after="0" w:line="118" w:lineRule="exact"/>
              <w:rPr>
                <w:sz w:val="20"/>
                <w:szCs w:val="20"/>
                <w:color w:val="auto"/>
              </w:rPr>
            </w:pPr>
            <w:r>
              <w:rPr>
                <w:rFonts w:ascii="Times New Roman" w:cs="Times New Roman" w:eastAsia="Times New Roman" w:hAnsi="Times New Roman"/>
                <w:sz w:val="13"/>
                <w:szCs w:val="13"/>
                <w:b w:val="1"/>
                <w:bCs w:val="1"/>
                <w:color w:val="auto"/>
              </w:rPr>
              <w:t>Skyworks</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Qorvo, Inc.</w:t>
            </w:r>
          </w:p>
        </w:tc>
        <w:tc>
          <w:tcPr>
            <w:tcW w:w="80" w:type="dxa"/>
            <w:vAlign w:val="bottom"/>
          </w:tcPr>
          <w:p>
            <w:pPr>
              <w:spacing w:after="0"/>
              <w:rPr>
                <w:sz w:val="10"/>
                <w:szCs w:val="10"/>
                <w:color w:val="auto"/>
              </w:rPr>
            </w:pPr>
          </w:p>
        </w:tc>
        <w:tc>
          <w:tcPr>
            <w:tcW w:w="11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Reclassification</w:t>
            </w: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vMerge w:val="restart"/>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Merger</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gridSpan w:val="2"/>
            <w:vMerge w:val="restart"/>
          </w:tcPr>
          <w:p>
            <w:pPr>
              <w:jc w:val="center"/>
              <w:ind w:right="459"/>
              <w:spacing w:after="0"/>
              <w:rPr>
                <w:sz w:val="20"/>
                <w:szCs w:val="20"/>
                <w:color w:val="auto"/>
              </w:rPr>
            </w:pPr>
            <w:r>
              <w:rPr>
                <w:rFonts w:ascii="Times New Roman" w:cs="Times New Roman" w:eastAsia="Times New Roman" w:hAnsi="Times New Roman"/>
                <w:sz w:val="14"/>
                <w:szCs w:val="14"/>
                <w:b w:val="1"/>
                <w:bCs w:val="1"/>
                <w:color w:val="auto"/>
              </w:rPr>
              <w:t>Financing</w:t>
            </w:r>
          </w:p>
        </w:tc>
        <w:tc>
          <w:tcPr>
            <w:tcW w:w="12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9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4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Solutions, Inc.</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gridSpan w:val="3"/>
            <w:vMerge w:val="continue"/>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11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Combined 6[i]</w:t>
            </w:r>
          </w:p>
        </w:tc>
        <w:tc>
          <w:tcPr>
            <w:tcW w:w="0" w:type="dxa"/>
            <w:vAlign w:val="bottom"/>
          </w:tcPr>
          <w:p>
            <w:pPr>
              <w:spacing w:after="0"/>
              <w:rPr>
                <w:sz w:val="1"/>
                <w:szCs w:val="1"/>
                <w:color w:val="auto"/>
              </w:rPr>
            </w:pPr>
          </w:p>
        </w:tc>
      </w:tr>
      <w:tr>
        <w:trPr>
          <w:trHeight w:val="117"/>
        </w:trPr>
        <w:tc>
          <w:tcPr>
            <w:tcW w:w="29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0" w:type="dxa"/>
            <w:vAlign w:val="bottom"/>
            <w:tcBorders>
              <w:top w:val="single" w:sz="8" w:color="auto"/>
            </w:tcBorders>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Twelve Months</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jc w:val="center"/>
              <w:ind w:right="68"/>
              <w:spacing w:after="0" w:line="118" w:lineRule="exact"/>
              <w:rPr>
                <w:sz w:val="20"/>
                <w:szCs w:val="20"/>
                <w:color w:val="auto"/>
              </w:rPr>
            </w:pPr>
            <w:r>
              <w:rPr>
                <w:rFonts w:ascii="Times New Roman" w:cs="Times New Roman" w:eastAsia="Times New Roman" w:hAnsi="Times New Roman"/>
                <w:sz w:val="13"/>
                <w:szCs w:val="13"/>
                <w:b w:val="1"/>
                <w:bCs w:val="1"/>
                <w:color w:val="auto"/>
              </w:rPr>
              <w:t>Twelve Months</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tcPr>
          <w:p>
            <w:pPr>
              <w:jc w:val="center"/>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transaction</w:t>
            </w: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tcPr>
          <w:p>
            <w:pPr>
              <w:jc w:val="center"/>
              <w:ind w:right="128"/>
              <w:spacing w:after="0" w:line="118" w:lineRule="exact"/>
              <w:rPr>
                <w:sz w:val="20"/>
                <w:szCs w:val="20"/>
                <w:color w:val="auto"/>
              </w:rPr>
            </w:pPr>
            <w:r>
              <w:rPr>
                <w:rFonts w:ascii="Times New Roman" w:cs="Times New Roman" w:eastAsia="Times New Roman" w:hAnsi="Times New Roman"/>
                <w:sz w:val="13"/>
                <w:szCs w:val="13"/>
                <w:b w:val="1"/>
                <w:bCs w:val="1"/>
                <w:color w:val="auto"/>
              </w:rPr>
              <w:t>transaction</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gridSpan w:val="2"/>
          </w:tcPr>
          <w:p>
            <w:pPr>
              <w:jc w:val="center"/>
              <w:ind w:right="459"/>
              <w:spacing w:after="0" w:line="118" w:lineRule="exact"/>
              <w:rPr>
                <w:sz w:val="20"/>
                <w:szCs w:val="20"/>
                <w:color w:val="auto"/>
              </w:rPr>
            </w:pPr>
            <w:r>
              <w:rPr>
                <w:rFonts w:ascii="Times New Roman" w:cs="Times New Roman" w:eastAsia="Times New Roman" w:hAnsi="Times New Roman"/>
                <w:sz w:val="13"/>
                <w:szCs w:val="13"/>
                <w:b w:val="1"/>
                <w:bCs w:val="1"/>
                <w:color w:val="auto"/>
              </w:rPr>
              <w:t>transaction</w:t>
            </w:r>
          </w:p>
        </w:tc>
        <w:tc>
          <w:tcPr>
            <w:tcW w:w="1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9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right"/>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128"/>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459"/>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11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October 3, 2025</w:t>
            </w:r>
          </w:p>
        </w:tc>
        <w:tc>
          <w:tcPr>
            <w:tcW w:w="0" w:type="dxa"/>
            <w:vAlign w:val="bottom"/>
          </w:tcPr>
          <w:p>
            <w:pPr>
              <w:spacing w:after="0"/>
              <w:rPr>
                <w:sz w:val="1"/>
                <w:szCs w:val="1"/>
                <w:color w:val="auto"/>
              </w:rPr>
            </w:pPr>
          </w:p>
        </w:tc>
      </w:tr>
      <w:tr>
        <w:trPr>
          <w:trHeight w:val="173"/>
        </w:trPr>
        <w:tc>
          <w:tcPr>
            <w:tcW w:w="29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October 3, 2025</w:t>
            </w:r>
          </w:p>
        </w:tc>
        <w:tc>
          <w:tcPr>
            <w:tcW w:w="80" w:type="dxa"/>
            <w:vAlign w:val="bottom"/>
          </w:tcPr>
          <w:p>
            <w:pPr>
              <w:spacing w:after="0"/>
              <w:rPr>
                <w:sz w:val="15"/>
                <w:szCs w:val="15"/>
                <w:color w:val="auto"/>
              </w:rPr>
            </w:pPr>
          </w:p>
        </w:tc>
        <w:tc>
          <w:tcPr>
            <w:tcW w:w="134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tcPr>
          <w:p>
            <w:pPr>
              <w:jc w:val="center"/>
              <w:ind w:right="459"/>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10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96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Net revenue</w:t>
            </w:r>
          </w:p>
        </w:tc>
        <w:tc>
          <w:tcPr>
            <w:tcW w:w="3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4,087</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3,663</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CEEFF"/>
          </w:tcPr>
          <w:p>
            <w:pPr>
              <w:ind w:left="760"/>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7,750</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Cost of goods sold</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2,405</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2,076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4"/>
          </w:tcPr>
          <w:p>
            <w:pPr>
              <w:jc w:val="right"/>
              <w:ind w:right="43"/>
              <w:spacing w:after="0" w:line="149" w:lineRule="exact"/>
              <w:rPr>
                <w:sz w:val="20"/>
                <w:szCs w:val="20"/>
                <w:color w:val="auto"/>
              </w:rPr>
            </w:pPr>
            <w:r>
              <w:rPr>
                <w:rFonts w:ascii="Times New Roman" w:cs="Times New Roman" w:eastAsia="Times New Roman" w:hAnsi="Times New Roman"/>
                <w:sz w:val="14"/>
                <w:szCs w:val="14"/>
                <w:color w:val="auto"/>
              </w:rPr>
              <w:t>(83) 6[e]</w:t>
            </w:r>
          </w:p>
        </w:tc>
        <w:tc>
          <w:tcPr>
            <w:tcW w:w="1280" w:type="dxa"/>
            <w:vAlign w:val="bottom"/>
            <w:gridSpan w:val="2"/>
          </w:tcPr>
          <w:p>
            <w:pPr>
              <w:jc w:val="right"/>
              <w:ind w:right="35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80" w:type="dxa"/>
            <w:vAlign w:val="bottom"/>
            <w:gridSpan w:val="2"/>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4,916</w:t>
            </w:r>
          </w:p>
        </w:tc>
        <w:tc>
          <w:tcPr>
            <w:tcW w:w="0" w:type="dxa"/>
            <w:vAlign w:val="bottom"/>
          </w:tcPr>
          <w:p>
            <w:pPr>
              <w:spacing w:after="0"/>
              <w:rPr>
                <w:sz w:val="1"/>
                <w:szCs w:val="1"/>
                <w:color w:val="auto"/>
              </w:rPr>
            </w:pPr>
          </w:p>
        </w:tc>
      </w:tr>
      <w:tr>
        <w:trPr>
          <w:trHeight w:val="148"/>
        </w:trPr>
        <w:tc>
          <w:tcPr>
            <w:tcW w:w="29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262</w:t>
            </w:r>
          </w:p>
        </w:tc>
        <w:tc>
          <w:tcPr>
            <w:tcW w:w="360" w:type="dxa"/>
            <w:vAlign w:val="bottom"/>
            <w:gridSpan w:val="2"/>
            <w:shd w:val="clear" w:color="auto" w:fill="CCEEFF"/>
          </w:tcPr>
          <w:p>
            <w:pPr>
              <w:jc w:val="center"/>
              <w:ind w:right="23"/>
              <w:spacing w:after="0" w:line="149" w:lineRule="exact"/>
              <w:rPr>
                <w:sz w:val="20"/>
                <w:szCs w:val="20"/>
                <w:color w:val="auto"/>
              </w:rPr>
            </w:pPr>
            <w:r>
              <w:rPr>
                <w:rFonts w:ascii="Times New Roman" w:cs="Times New Roman" w:eastAsia="Times New Roman" w:hAnsi="Times New Roman"/>
                <w:sz w:val="14"/>
                <w:szCs w:val="14"/>
                <w:color w:val="auto"/>
              </w:rPr>
              <w:t>6[e]</w:t>
            </w:r>
          </w:p>
        </w:tc>
        <w:tc>
          <w:tcPr>
            <w:tcW w:w="8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256</w:t>
            </w:r>
          </w:p>
        </w:tc>
        <w:tc>
          <w:tcPr>
            <w:tcW w:w="360" w:type="dxa"/>
            <w:vAlign w:val="bottom"/>
            <w:gridSpan w:val="2"/>
          </w:tcPr>
          <w:p>
            <w:pPr>
              <w:jc w:val="center"/>
              <w:ind w:right="23"/>
              <w:spacing w:after="0" w:line="149" w:lineRule="exact"/>
              <w:rPr>
                <w:sz w:val="20"/>
                <w:szCs w:val="20"/>
                <w:color w:val="auto"/>
              </w:rPr>
            </w:pPr>
            <w:r>
              <w:rPr>
                <w:rFonts w:ascii="Times New Roman" w:cs="Times New Roman" w:eastAsia="Times New Roman" w:hAnsi="Times New Roman"/>
                <w:sz w:val="14"/>
                <w:szCs w:val="14"/>
                <w:color w:val="auto"/>
              </w:rPr>
              <w:t>6[g]</w:t>
            </w:r>
          </w:p>
        </w:tc>
        <w:tc>
          <w:tcPr>
            <w:tcW w:w="8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6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Gross profit</w:t>
            </w:r>
          </w:p>
        </w:tc>
        <w:tc>
          <w:tcPr>
            <w:tcW w:w="3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1,682</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1,587</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ind w:left="760"/>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(435)</w:t>
            </w:r>
          </w:p>
        </w:tc>
        <w:tc>
          <w:tcPr>
            <w:tcW w:w="10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2,834</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Operating expenses:</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6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Research and development</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785</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737</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35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1,522</w:t>
            </w:r>
          </w:p>
        </w:tc>
        <w:tc>
          <w:tcPr>
            <w:tcW w:w="0" w:type="dxa"/>
            <w:vAlign w:val="bottom"/>
          </w:tcPr>
          <w:p>
            <w:pPr>
              <w:spacing w:after="0"/>
              <w:rPr>
                <w:sz w:val="1"/>
                <w:szCs w:val="1"/>
                <w:color w:val="auto"/>
              </w:rPr>
            </w:pPr>
          </w:p>
        </w:tc>
      </w:tr>
      <w:tr>
        <w:trPr>
          <w:trHeight w:val="126"/>
        </w:trPr>
        <w:tc>
          <w:tcPr>
            <w:tcW w:w="2960" w:type="dxa"/>
            <w:vAlign w:val="bottom"/>
            <w:vMerge w:val="restart"/>
          </w:tcPr>
          <w:p>
            <w:pPr>
              <w:ind w:left="18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372</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229</w:t>
            </w:r>
          </w:p>
        </w:tc>
        <w:tc>
          <w:tcPr>
            <w:tcW w:w="440" w:type="dxa"/>
            <w:vAlign w:val="bottom"/>
            <w:gridSpan w:val="2"/>
          </w:tcPr>
          <w:p>
            <w:pPr>
              <w:jc w:val="center"/>
              <w:ind w:right="8"/>
              <w:spacing w:after="0" w:line="126" w:lineRule="exact"/>
              <w:rPr>
                <w:sz w:val="20"/>
                <w:szCs w:val="20"/>
                <w:color w:val="auto"/>
              </w:rPr>
            </w:pPr>
            <w:r>
              <w:rPr>
                <w:rFonts w:ascii="Times New Roman" w:cs="Times New Roman" w:eastAsia="Times New Roman" w:hAnsi="Times New Roman"/>
                <w:sz w:val="14"/>
                <w:szCs w:val="14"/>
                <w:color w:val="auto"/>
              </w:rPr>
              <w:t>6[a]</w:t>
            </w:r>
          </w:p>
        </w:tc>
        <w:tc>
          <w:tcPr>
            <w:tcW w:w="980" w:type="dxa"/>
            <w:vAlign w:val="bottom"/>
            <w:gridSpan w:val="2"/>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157</w:t>
            </w:r>
          </w:p>
        </w:tc>
        <w:tc>
          <w:tcPr>
            <w:tcW w:w="360" w:type="dxa"/>
            <w:vAlign w:val="bottom"/>
            <w:gridSpan w:val="2"/>
            <w:vMerge w:val="restart"/>
          </w:tcPr>
          <w:p>
            <w:pPr>
              <w:jc w:val="center"/>
              <w:ind w:right="23"/>
              <w:spacing w:after="0"/>
              <w:rPr>
                <w:sz w:val="20"/>
                <w:szCs w:val="20"/>
                <w:color w:val="auto"/>
              </w:rPr>
            </w:pPr>
            <w:r>
              <w:rPr>
                <w:rFonts w:ascii="Times New Roman" w:cs="Times New Roman" w:eastAsia="Times New Roman" w:hAnsi="Times New Roman"/>
                <w:sz w:val="14"/>
                <w:szCs w:val="14"/>
                <w:color w:val="auto"/>
              </w:rPr>
              <w:t>6[c]</w:t>
            </w:r>
          </w:p>
        </w:tc>
        <w:tc>
          <w:tcPr>
            <w:tcW w:w="1280" w:type="dxa"/>
            <w:vAlign w:val="bottom"/>
            <w:gridSpan w:val="2"/>
            <w:vMerge w:val="restart"/>
          </w:tcPr>
          <w:p>
            <w:pPr>
              <w:jc w:val="right"/>
              <w:ind w:right="35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980" w:type="dxa"/>
            <w:vAlign w:val="bottom"/>
            <w:gridSpan w:val="2"/>
            <w:vMerge w:val="restart"/>
          </w:tcPr>
          <w:p>
            <w:pPr>
              <w:jc w:val="right"/>
              <w:ind w:right="59"/>
              <w:spacing w:after="0"/>
              <w:rPr>
                <w:sz w:val="20"/>
                <w:szCs w:val="20"/>
                <w:color w:val="auto"/>
              </w:rPr>
            </w:pPr>
            <w:r>
              <w:rPr>
                <w:rFonts w:ascii="Times New Roman" w:cs="Times New Roman" w:eastAsia="Times New Roman" w:hAnsi="Times New Roman"/>
                <w:sz w:val="14"/>
                <w:szCs w:val="14"/>
                <w:color w:val="auto"/>
              </w:rPr>
              <w:t>965</w:t>
            </w:r>
          </w:p>
        </w:tc>
        <w:tc>
          <w:tcPr>
            <w:tcW w:w="0" w:type="dxa"/>
            <w:vAlign w:val="bottom"/>
          </w:tcPr>
          <w:p>
            <w:pPr>
              <w:spacing w:after="0"/>
              <w:rPr>
                <w:sz w:val="1"/>
                <w:szCs w:val="1"/>
                <w:color w:val="auto"/>
              </w:rPr>
            </w:pPr>
          </w:p>
        </w:tc>
      </w:tr>
      <w:tr>
        <w:trPr>
          <w:trHeight w:val="171"/>
        </w:trPr>
        <w:tc>
          <w:tcPr>
            <w:tcW w:w="29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3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w:t>
            </w:r>
          </w:p>
        </w:tc>
        <w:tc>
          <w:tcPr>
            <w:tcW w:w="10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360" w:type="dxa"/>
            <w:vAlign w:val="bottom"/>
            <w:gridSpan w:val="2"/>
            <w:vMerge w:val="continue"/>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9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167</w:t>
            </w:r>
          </w:p>
        </w:tc>
        <w:tc>
          <w:tcPr>
            <w:tcW w:w="440" w:type="dxa"/>
            <w:vAlign w:val="bottom"/>
            <w:gridSpan w:val="2"/>
            <w:shd w:val="clear" w:color="auto" w:fill="CCEEFF"/>
          </w:tcPr>
          <w:p>
            <w:pPr>
              <w:jc w:val="center"/>
              <w:ind w:right="8"/>
              <w:spacing w:after="0" w:line="126" w:lineRule="exact"/>
              <w:rPr>
                <w:sz w:val="20"/>
                <w:szCs w:val="20"/>
                <w:color w:val="auto"/>
              </w:rPr>
            </w:pPr>
            <w:r>
              <w:rPr>
                <w:rFonts w:ascii="Times New Roman" w:cs="Times New Roman" w:eastAsia="Times New Roman" w:hAnsi="Times New Roman"/>
                <w:sz w:val="14"/>
                <w:szCs w:val="14"/>
                <w:color w:val="auto"/>
              </w:rPr>
              <w:t>6[a]</w:t>
            </w:r>
          </w:p>
        </w:tc>
        <w:tc>
          <w:tcPr>
            <w:tcW w:w="980" w:type="dxa"/>
            <w:vAlign w:val="bottom"/>
            <w:gridSpan w:val="2"/>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50</w:t>
            </w:r>
          </w:p>
        </w:tc>
        <w:tc>
          <w:tcPr>
            <w:tcW w:w="360" w:type="dxa"/>
            <w:vAlign w:val="bottom"/>
            <w:gridSpan w:val="2"/>
            <w:vMerge w:val="restart"/>
            <w:shd w:val="clear" w:color="auto" w:fill="CCEEFF"/>
          </w:tcPr>
          <w:p>
            <w:pPr>
              <w:jc w:val="center"/>
              <w:ind w:right="23"/>
              <w:spacing w:after="0"/>
              <w:rPr>
                <w:sz w:val="20"/>
                <w:szCs w:val="20"/>
                <w:color w:val="auto"/>
              </w:rPr>
            </w:pPr>
            <w:r>
              <w:rPr>
                <w:rFonts w:ascii="Times New Roman" w:cs="Times New Roman" w:eastAsia="Times New Roman" w:hAnsi="Times New Roman"/>
                <w:sz w:val="14"/>
                <w:szCs w:val="14"/>
                <w:color w:val="auto"/>
              </w:rPr>
              <w:t>6[b]</w:t>
            </w:r>
          </w:p>
        </w:tc>
        <w:tc>
          <w:tcPr>
            <w:tcW w:w="8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9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[2]</w:t>
            </w:r>
          </w:p>
        </w:tc>
        <w:tc>
          <w:tcPr>
            <w:tcW w:w="10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360" w:type="dxa"/>
            <w:vAlign w:val="bottom"/>
            <w:gridSpan w:val="2"/>
            <w:vMerge w:val="continue"/>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9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360" w:type="dxa"/>
            <w:vAlign w:val="bottom"/>
            <w:gridSpan w:val="2"/>
          </w:tcPr>
          <w:p>
            <w:pPr>
              <w:jc w:val="center"/>
              <w:ind w:right="23"/>
              <w:spacing w:after="0" w:line="149" w:lineRule="exact"/>
              <w:rPr>
                <w:sz w:val="20"/>
                <w:szCs w:val="20"/>
                <w:color w:val="auto"/>
              </w:rPr>
            </w:pPr>
            <w:r>
              <w:rPr>
                <w:rFonts w:ascii="Times New Roman" w:cs="Times New Roman" w:eastAsia="Times New Roman" w:hAnsi="Times New Roman"/>
                <w:sz w:val="14"/>
                <w:szCs w:val="14"/>
                <w:color w:val="auto"/>
              </w:rPr>
              <w:t>6[e]</w:t>
            </w:r>
          </w:p>
        </w:tc>
        <w:tc>
          <w:tcPr>
            <w:tcW w:w="8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96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Marketing and selling</w:t>
            </w:r>
          </w:p>
        </w:tc>
        <w:tc>
          <w:tcPr>
            <w:tcW w:w="3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229</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(229)</w:t>
            </w:r>
          </w:p>
        </w:tc>
        <w:tc>
          <w:tcPr>
            <w:tcW w:w="440" w:type="dxa"/>
            <w:vAlign w:val="bottom"/>
            <w:gridSpan w:val="2"/>
            <w:shd w:val="clear" w:color="auto" w:fill="CCEEFF"/>
          </w:tcPr>
          <w:p>
            <w:pPr>
              <w:jc w:val="center"/>
              <w:ind w:right="8"/>
              <w:spacing w:after="0" w:line="126" w:lineRule="exact"/>
              <w:rPr>
                <w:sz w:val="20"/>
                <w:szCs w:val="20"/>
                <w:color w:val="auto"/>
              </w:rPr>
            </w:pPr>
            <w:r>
              <w:rPr>
                <w:rFonts w:ascii="Times New Roman" w:cs="Times New Roman" w:eastAsia="Times New Roman" w:hAnsi="Times New Roman"/>
                <w:sz w:val="14"/>
                <w:szCs w:val="14"/>
                <w:color w:val="auto"/>
              </w:rPr>
              <w:t>6[a]</w:t>
            </w:r>
          </w:p>
        </w:tc>
        <w:tc>
          <w:tcPr>
            <w:tcW w:w="980" w:type="dxa"/>
            <w:vAlign w:val="bottom"/>
            <w:gridSpan w:val="2"/>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80" w:type="dxa"/>
            <w:vAlign w:val="bottom"/>
            <w:gridSpan w:val="2"/>
            <w:vMerge w:val="restart"/>
            <w:shd w:val="clear" w:color="auto" w:fill="CCEEFF"/>
          </w:tcPr>
          <w:p>
            <w:pPr>
              <w:jc w:val="right"/>
              <w:ind w:right="35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980" w:type="dxa"/>
            <w:vAlign w:val="bottom"/>
            <w:gridSpan w:val="2"/>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960" w:type="dxa"/>
            <w:vAlign w:val="bottom"/>
            <w:vMerge w:val="continue"/>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[1]</w:t>
            </w:r>
          </w:p>
        </w:tc>
        <w:tc>
          <w:tcPr>
            <w:tcW w:w="10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8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960" w:type="dxa"/>
            <w:vAlign w:val="bottom"/>
            <w:vMerge w:val="restart"/>
          </w:tcPr>
          <w:p>
            <w:pPr>
              <w:ind w:left="18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167</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(167)</w:t>
            </w:r>
          </w:p>
        </w:tc>
        <w:tc>
          <w:tcPr>
            <w:tcW w:w="440" w:type="dxa"/>
            <w:vAlign w:val="bottom"/>
            <w:gridSpan w:val="2"/>
          </w:tcPr>
          <w:p>
            <w:pPr>
              <w:jc w:val="center"/>
              <w:ind w:right="8"/>
              <w:spacing w:after="0" w:line="126" w:lineRule="exact"/>
              <w:rPr>
                <w:sz w:val="20"/>
                <w:szCs w:val="20"/>
                <w:color w:val="auto"/>
              </w:rPr>
            </w:pPr>
            <w:r>
              <w:rPr>
                <w:rFonts w:ascii="Times New Roman" w:cs="Times New Roman" w:eastAsia="Times New Roman" w:hAnsi="Times New Roman"/>
                <w:sz w:val="14"/>
                <w:szCs w:val="14"/>
                <w:color w:val="auto"/>
              </w:rPr>
              <w:t>6[a]</w:t>
            </w:r>
          </w:p>
        </w:tc>
        <w:tc>
          <w:tcPr>
            <w:tcW w:w="980" w:type="dxa"/>
            <w:vAlign w:val="bottom"/>
            <w:gridSpan w:val="2"/>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gridSpan w:val="2"/>
            <w:vMerge w:val="restart"/>
          </w:tcPr>
          <w:p>
            <w:pPr>
              <w:jc w:val="right"/>
              <w:ind w:right="35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980" w:type="dxa"/>
            <w:vAlign w:val="bottom"/>
            <w:gridSpan w:val="2"/>
            <w:vMerge w:val="restart"/>
          </w:tcPr>
          <w:p>
            <w:pPr>
              <w:jc w:val="right"/>
              <w:ind w:right="5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9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3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[2]</w:t>
            </w:r>
          </w:p>
        </w:tc>
        <w:tc>
          <w:tcPr>
            <w:tcW w:w="10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96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Amortization of intangibles</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155</w:t>
            </w:r>
          </w:p>
        </w:tc>
        <w:tc>
          <w:tcPr>
            <w:tcW w:w="360" w:type="dxa"/>
            <w:vAlign w:val="bottom"/>
            <w:gridSpan w:val="2"/>
            <w:shd w:val="clear" w:color="auto" w:fill="CCEEFF"/>
          </w:tcPr>
          <w:p>
            <w:pPr>
              <w:jc w:val="center"/>
              <w:ind w:right="23"/>
              <w:spacing w:after="0" w:line="149" w:lineRule="exact"/>
              <w:rPr>
                <w:sz w:val="20"/>
                <w:szCs w:val="20"/>
                <w:color w:val="auto"/>
              </w:rPr>
            </w:pPr>
            <w:r>
              <w:rPr>
                <w:rFonts w:ascii="Times New Roman" w:cs="Times New Roman" w:eastAsia="Times New Roman" w:hAnsi="Times New Roman"/>
                <w:sz w:val="14"/>
                <w:szCs w:val="14"/>
                <w:color w:val="auto"/>
              </w:rPr>
              <w:t>6[e]</w:t>
            </w:r>
          </w:p>
        </w:tc>
        <w:tc>
          <w:tcPr>
            <w:tcW w:w="1280" w:type="dxa"/>
            <w:vAlign w:val="bottom"/>
            <w:gridSpan w:val="2"/>
            <w:shd w:val="clear" w:color="auto" w:fill="CCEEFF"/>
          </w:tcPr>
          <w:p>
            <w:pPr>
              <w:jc w:val="right"/>
              <w:ind w:right="35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156</w:t>
            </w:r>
          </w:p>
        </w:tc>
        <w:tc>
          <w:tcPr>
            <w:tcW w:w="0" w:type="dxa"/>
            <w:vAlign w:val="bottom"/>
          </w:tcPr>
          <w:p>
            <w:pPr>
              <w:spacing w:after="0"/>
              <w:rPr>
                <w:sz w:val="1"/>
                <w:szCs w:val="1"/>
                <w:color w:val="auto"/>
              </w:rPr>
            </w:pPr>
          </w:p>
        </w:tc>
      </w:tr>
      <w:tr>
        <w:trPr>
          <w:trHeight w:val="126"/>
        </w:trPr>
        <w:tc>
          <w:tcPr>
            <w:tcW w:w="2960" w:type="dxa"/>
            <w:vAlign w:val="bottom"/>
            <w:vMerge w:val="restart"/>
          </w:tcPr>
          <w:p>
            <w:pPr>
              <w:ind w:left="180"/>
              <w:spacing w:after="0"/>
              <w:rPr>
                <w:sz w:val="20"/>
                <w:szCs w:val="20"/>
                <w:color w:val="auto"/>
              </w:rPr>
            </w:pPr>
            <w:r>
              <w:rPr>
                <w:rFonts w:ascii="Times New Roman" w:cs="Times New Roman" w:eastAsia="Times New Roman" w:hAnsi="Times New Roman"/>
                <w:sz w:val="14"/>
                <w:szCs w:val="14"/>
                <w:color w:val="auto"/>
              </w:rPr>
              <w:t>Restructuring and other charges</w:t>
            </w: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105</w:t>
            </w:r>
          </w:p>
        </w:tc>
        <w:tc>
          <w:tcPr>
            <w:tcW w:w="440" w:type="dxa"/>
            <w:vAlign w:val="bottom"/>
            <w:gridSpan w:val="2"/>
          </w:tcPr>
          <w:p>
            <w:pPr>
              <w:jc w:val="center"/>
              <w:ind w:right="8"/>
              <w:spacing w:after="0" w:line="126" w:lineRule="exact"/>
              <w:rPr>
                <w:sz w:val="20"/>
                <w:szCs w:val="20"/>
                <w:color w:val="auto"/>
              </w:rPr>
            </w:pPr>
            <w:r>
              <w:rPr>
                <w:rFonts w:ascii="Times New Roman" w:cs="Times New Roman" w:eastAsia="Times New Roman" w:hAnsi="Times New Roman"/>
                <w:sz w:val="14"/>
                <w:szCs w:val="14"/>
                <w:color w:val="auto"/>
              </w:rPr>
              <w:t>6[a]</w:t>
            </w:r>
          </w:p>
        </w:tc>
        <w:tc>
          <w:tcPr>
            <w:tcW w:w="980" w:type="dxa"/>
            <w:vAlign w:val="bottom"/>
            <w:gridSpan w:val="2"/>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gridSpan w:val="2"/>
            <w:vMerge w:val="restart"/>
          </w:tcPr>
          <w:p>
            <w:pPr>
              <w:jc w:val="right"/>
              <w:ind w:right="35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980" w:type="dxa"/>
            <w:vAlign w:val="bottom"/>
            <w:gridSpan w:val="2"/>
            <w:vMerge w:val="restart"/>
          </w:tcPr>
          <w:p>
            <w:pPr>
              <w:jc w:val="right"/>
              <w:ind w:right="59"/>
              <w:spacing w:after="0"/>
              <w:rPr>
                <w:sz w:val="20"/>
                <w:szCs w:val="20"/>
                <w:color w:val="auto"/>
              </w:rPr>
            </w:pPr>
            <w:r>
              <w:rPr>
                <w:rFonts w:ascii="Times New Roman" w:cs="Times New Roman" w:eastAsia="Times New Roman" w:hAnsi="Times New Roman"/>
                <w:sz w:val="14"/>
                <w:szCs w:val="14"/>
                <w:color w:val="auto"/>
              </w:rPr>
              <w:t>129</w:t>
            </w:r>
          </w:p>
        </w:tc>
        <w:tc>
          <w:tcPr>
            <w:tcW w:w="0" w:type="dxa"/>
            <w:vAlign w:val="bottom"/>
          </w:tcPr>
          <w:p>
            <w:pPr>
              <w:spacing w:after="0"/>
              <w:rPr>
                <w:sz w:val="1"/>
                <w:szCs w:val="1"/>
                <w:color w:val="auto"/>
              </w:rPr>
            </w:pPr>
          </w:p>
        </w:tc>
      </w:tr>
      <w:tr>
        <w:trPr>
          <w:trHeight w:val="171"/>
        </w:trPr>
        <w:tc>
          <w:tcPr>
            <w:tcW w:w="29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3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[3]</w:t>
            </w:r>
          </w:p>
        </w:tc>
        <w:tc>
          <w:tcPr>
            <w:tcW w:w="10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96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Goodwill and intangible asset impairment</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80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40" w:type="dxa"/>
            <w:vAlign w:val="bottom"/>
            <w:gridSpan w:val="4"/>
            <w:shd w:val="clear" w:color="auto" w:fill="CCEEFF"/>
          </w:tcPr>
          <w:p>
            <w:pPr>
              <w:jc w:val="right"/>
              <w:ind w:right="43"/>
              <w:spacing w:after="0" w:line="149" w:lineRule="exact"/>
              <w:rPr>
                <w:sz w:val="20"/>
                <w:szCs w:val="20"/>
                <w:color w:val="auto"/>
              </w:rPr>
            </w:pPr>
            <w:r>
              <w:rPr>
                <w:rFonts w:ascii="Times New Roman" w:cs="Times New Roman" w:eastAsia="Times New Roman" w:hAnsi="Times New Roman"/>
                <w:sz w:val="14"/>
                <w:szCs w:val="14"/>
                <w:color w:val="auto"/>
              </w:rPr>
              <w:t>(48) 6[h]</w:t>
            </w:r>
          </w:p>
        </w:tc>
        <w:tc>
          <w:tcPr>
            <w:tcW w:w="1280" w:type="dxa"/>
            <w:vAlign w:val="bottom"/>
            <w:gridSpan w:val="2"/>
            <w:shd w:val="clear" w:color="auto" w:fill="CCEEFF"/>
          </w:tcPr>
          <w:p>
            <w:pPr>
              <w:jc w:val="right"/>
              <w:ind w:right="35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126"/>
        </w:trPr>
        <w:tc>
          <w:tcPr>
            <w:tcW w:w="2960" w:type="dxa"/>
            <w:vAlign w:val="bottom"/>
            <w:vMerge w:val="restart"/>
          </w:tcPr>
          <w:p>
            <w:pPr>
              <w:ind w:left="180"/>
              <w:spacing w:after="0"/>
              <w:rPr>
                <w:sz w:val="20"/>
                <w:szCs w:val="20"/>
                <w:color w:val="auto"/>
              </w:rPr>
            </w:pPr>
            <w:r>
              <w:rPr>
                <w:rFonts w:ascii="Times New Roman" w:cs="Times New Roman" w:eastAsia="Times New Roman" w:hAnsi="Times New Roman"/>
                <w:sz w:val="14"/>
                <w:szCs w:val="14"/>
                <w:color w:val="auto"/>
              </w:rPr>
              <w:t>Other operating expense</w:t>
            </w: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105</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(105)</w:t>
            </w:r>
          </w:p>
        </w:tc>
        <w:tc>
          <w:tcPr>
            <w:tcW w:w="440" w:type="dxa"/>
            <w:vAlign w:val="bottom"/>
            <w:gridSpan w:val="2"/>
          </w:tcPr>
          <w:p>
            <w:pPr>
              <w:jc w:val="center"/>
              <w:ind w:right="8"/>
              <w:spacing w:after="0" w:line="126" w:lineRule="exact"/>
              <w:rPr>
                <w:sz w:val="20"/>
                <w:szCs w:val="20"/>
                <w:color w:val="auto"/>
              </w:rPr>
            </w:pPr>
            <w:r>
              <w:rPr>
                <w:rFonts w:ascii="Times New Roman" w:cs="Times New Roman" w:eastAsia="Times New Roman" w:hAnsi="Times New Roman"/>
                <w:sz w:val="14"/>
                <w:szCs w:val="14"/>
                <w:color w:val="auto"/>
              </w:rPr>
              <w:t>6[a]</w:t>
            </w:r>
          </w:p>
        </w:tc>
        <w:tc>
          <w:tcPr>
            <w:tcW w:w="980" w:type="dxa"/>
            <w:vAlign w:val="bottom"/>
            <w:gridSpan w:val="2"/>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gridSpan w:val="2"/>
            <w:vMerge w:val="restart"/>
          </w:tcPr>
          <w:p>
            <w:pPr>
              <w:jc w:val="right"/>
              <w:ind w:right="35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980" w:type="dxa"/>
            <w:vAlign w:val="bottom"/>
            <w:gridSpan w:val="2"/>
            <w:vMerge w:val="restart"/>
          </w:tcPr>
          <w:p>
            <w:pPr>
              <w:jc w:val="right"/>
              <w:ind w:right="5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9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3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[3]</w:t>
            </w:r>
          </w:p>
        </w:tc>
        <w:tc>
          <w:tcPr>
            <w:tcW w:w="10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960" w:type="dxa"/>
            <w:vAlign w:val="bottom"/>
            <w:tcBorders>
              <w:top w:val="single" w:sz="8" w:color="CCEEFF"/>
            </w:tcBorders>
            <w:shd w:val="clear" w:color="auto" w:fill="CCEEFF"/>
          </w:tcPr>
          <w:p>
            <w:pPr>
              <w:ind w:left="340"/>
              <w:spacing w:after="0" w:line="142" w:lineRule="exact"/>
              <w:rPr>
                <w:sz w:val="20"/>
                <w:szCs w:val="20"/>
                <w:color w:val="auto"/>
              </w:rPr>
            </w:pPr>
            <w:r>
              <w:rPr>
                <w:rFonts w:ascii="Times New Roman" w:cs="Times New Roman" w:eastAsia="Times New Roman" w:hAnsi="Times New Roman"/>
                <w:sz w:val="14"/>
                <w:szCs w:val="14"/>
                <w:color w:val="auto"/>
              </w:rPr>
              <w:t>Total operating expenses</w:t>
            </w:r>
          </w:p>
        </w:tc>
        <w:tc>
          <w:tcPr>
            <w:tcW w:w="3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8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1,182</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1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1,318</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900" w:type="dxa"/>
            <w:vAlign w:val="bottom"/>
            <w:tcBorders>
              <w:top w:val="single" w:sz="8" w:color="auto"/>
              <w:bottom w:val="single" w:sz="8" w:color="auto"/>
            </w:tcBorders>
            <w:shd w:val="clear" w:color="auto" w:fill="CCEEFF"/>
          </w:tcPr>
          <w:p>
            <w:pPr>
              <w:ind w:left="760"/>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8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304</w:t>
            </w:r>
          </w:p>
        </w:tc>
        <w:tc>
          <w:tcPr>
            <w:tcW w:w="10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8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8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2,804</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6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Operating income</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500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269</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ind w:left="760"/>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(739)</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6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Interest expense</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(27)</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(76)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(146) 6[d]</w:t>
            </w: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9"/>
              <w:spacing w:after="0" w:line="149" w:lineRule="exact"/>
              <w:rPr>
                <w:sz w:val="20"/>
                <w:szCs w:val="20"/>
                <w:color w:val="auto"/>
              </w:rPr>
            </w:pPr>
            <w:r>
              <w:rPr>
                <w:rFonts w:ascii="Times New Roman" w:cs="Times New Roman" w:eastAsia="Times New Roman" w:hAnsi="Times New Roman"/>
                <w:sz w:val="14"/>
                <w:szCs w:val="14"/>
                <w:color w:val="auto"/>
              </w:rPr>
              <w:t>(249)</w:t>
            </w:r>
          </w:p>
        </w:tc>
        <w:tc>
          <w:tcPr>
            <w:tcW w:w="0" w:type="dxa"/>
            <w:vAlign w:val="bottom"/>
          </w:tcPr>
          <w:p>
            <w:pPr>
              <w:spacing w:after="0"/>
              <w:rPr>
                <w:sz w:val="1"/>
                <w:szCs w:val="1"/>
                <w:color w:val="auto"/>
              </w:rPr>
            </w:pPr>
          </w:p>
        </w:tc>
      </w:tr>
      <w:tr>
        <w:trPr>
          <w:trHeight w:val="148"/>
        </w:trPr>
        <w:tc>
          <w:tcPr>
            <w:tcW w:w="29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Other income, net</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54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58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right"/>
              <w:ind w:right="35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80" w:type="dxa"/>
            <w:vAlign w:val="bottom"/>
            <w:gridSpan w:val="2"/>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112</w:t>
            </w:r>
          </w:p>
        </w:tc>
        <w:tc>
          <w:tcPr>
            <w:tcW w:w="0" w:type="dxa"/>
            <w:vAlign w:val="bottom"/>
          </w:tcPr>
          <w:p>
            <w:pPr>
              <w:spacing w:after="0"/>
              <w:rPr>
                <w:sz w:val="1"/>
                <w:szCs w:val="1"/>
                <w:color w:val="auto"/>
              </w:rPr>
            </w:pPr>
          </w:p>
        </w:tc>
      </w:tr>
      <w:tr>
        <w:trPr>
          <w:trHeight w:val="142"/>
        </w:trPr>
        <w:tc>
          <w:tcPr>
            <w:tcW w:w="296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Income (loss) before income taxes</w:t>
            </w:r>
          </w:p>
        </w:tc>
        <w:tc>
          <w:tcPr>
            <w:tcW w:w="3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527</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251</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ind w:left="760"/>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(739)</w:t>
            </w:r>
          </w:p>
        </w:tc>
        <w:tc>
          <w:tcPr>
            <w:tcW w:w="10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(146)</w:t>
            </w:r>
          </w:p>
        </w:tc>
        <w:tc>
          <w:tcPr>
            <w:tcW w:w="4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(107)</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Provision (benefit) for income taxes</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50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(105)</w:t>
            </w:r>
          </w:p>
        </w:tc>
        <w:tc>
          <w:tcPr>
            <w:tcW w:w="360" w:type="dxa"/>
            <w:vAlign w:val="bottom"/>
            <w:gridSpan w:val="2"/>
          </w:tcPr>
          <w:p>
            <w:pPr>
              <w:jc w:val="center"/>
              <w:ind w:right="43"/>
              <w:spacing w:after="0" w:line="149" w:lineRule="exact"/>
              <w:rPr>
                <w:sz w:val="20"/>
                <w:szCs w:val="20"/>
                <w:color w:val="auto"/>
              </w:rPr>
            </w:pPr>
            <w:r>
              <w:rPr>
                <w:rFonts w:ascii="Times New Roman" w:cs="Times New Roman" w:eastAsia="Times New Roman" w:hAnsi="Times New Roman"/>
                <w:sz w:val="14"/>
                <w:szCs w:val="14"/>
                <w:color w:val="auto"/>
              </w:rPr>
              <w:t>6[f]</w:t>
            </w:r>
          </w:p>
        </w:tc>
        <w:tc>
          <w:tcPr>
            <w:tcW w:w="1280" w:type="dxa"/>
            <w:vAlign w:val="bottom"/>
            <w:gridSpan w:val="2"/>
          </w:tcPr>
          <w:p>
            <w:pPr>
              <w:jc w:val="right"/>
              <w:ind w:right="19"/>
              <w:spacing w:after="0" w:line="149" w:lineRule="exact"/>
              <w:rPr>
                <w:sz w:val="20"/>
                <w:szCs w:val="20"/>
                <w:color w:val="auto"/>
              </w:rPr>
            </w:pPr>
            <w:r>
              <w:rPr>
                <w:rFonts w:ascii="Times New Roman" w:cs="Times New Roman" w:eastAsia="Times New Roman" w:hAnsi="Times New Roman"/>
                <w:sz w:val="14"/>
                <w:szCs w:val="14"/>
                <w:color w:val="auto"/>
              </w:rPr>
              <w:t>(31) 6[f]</w:t>
            </w:r>
          </w:p>
        </w:tc>
        <w:tc>
          <w:tcPr>
            <w:tcW w:w="120" w:type="dxa"/>
            <w:vAlign w:val="bottom"/>
          </w:tcPr>
          <w:p>
            <w:pPr>
              <w:spacing w:after="0"/>
              <w:rPr>
                <w:sz w:val="12"/>
                <w:szCs w:val="12"/>
                <w:color w:val="auto"/>
              </w:rPr>
            </w:pPr>
          </w:p>
        </w:tc>
        <w:tc>
          <w:tcPr>
            <w:tcW w:w="980" w:type="dxa"/>
            <w:vAlign w:val="bottom"/>
            <w:gridSpan w:val="2"/>
          </w:tcPr>
          <w:p>
            <w:pPr>
              <w:jc w:val="right"/>
              <w:ind w:right="19"/>
              <w:spacing w:after="0" w:line="149" w:lineRule="exact"/>
              <w:rPr>
                <w:sz w:val="20"/>
                <w:szCs w:val="20"/>
                <w:color w:val="auto"/>
              </w:rPr>
            </w:pPr>
            <w:r>
              <w:rPr>
                <w:rFonts w:ascii="Times New Roman" w:cs="Times New Roman" w:eastAsia="Times New Roman" w:hAnsi="Times New Roman"/>
                <w:sz w:val="14"/>
                <w:szCs w:val="14"/>
                <w:color w:val="auto"/>
              </w:rPr>
              <w:t>(53)</w:t>
            </w:r>
          </w:p>
        </w:tc>
        <w:tc>
          <w:tcPr>
            <w:tcW w:w="0" w:type="dxa"/>
            <w:vAlign w:val="bottom"/>
          </w:tcPr>
          <w:p>
            <w:pPr>
              <w:spacing w:after="0"/>
              <w:rPr>
                <w:sz w:val="1"/>
                <w:szCs w:val="1"/>
                <w:color w:val="auto"/>
              </w:rPr>
            </w:pPr>
          </w:p>
        </w:tc>
      </w:tr>
      <w:tr>
        <w:trPr>
          <w:trHeight w:val="155"/>
        </w:trPr>
        <w:tc>
          <w:tcPr>
            <w:tcW w:w="2960" w:type="dxa"/>
            <w:vAlign w:val="bottom"/>
            <w:tcBorders>
              <w:top w:val="single" w:sz="8" w:color="CCEEFF"/>
              <w:bottom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Net income (loss)</w:t>
            </w:r>
          </w:p>
        </w:tc>
        <w:tc>
          <w:tcPr>
            <w:tcW w:w="38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477</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218</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CEEFF"/>
          </w:tcPr>
          <w:p>
            <w:pPr>
              <w:ind w:left="760"/>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34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(634</w:t>
            </w:r>
          </w:p>
        </w:tc>
        <w:tc>
          <w:tcPr>
            <w:tcW w:w="100" w:type="dxa"/>
            <w:vAlign w:val="bottom"/>
            <w:tcBorders>
              <w:top w:val="single" w:sz="8" w:color="CCEEFF"/>
              <w:bottom w:val="single" w:sz="8" w:color="CCEEFF"/>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w w:val="84"/>
              </w:rPr>
              <w:t>)</w:t>
            </w:r>
          </w:p>
        </w:tc>
        <w:tc>
          <w:tcPr>
            <w:tcW w:w="26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(115</w:t>
            </w:r>
          </w:p>
        </w:tc>
        <w:tc>
          <w:tcPr>
            <w:tcW w:w="400" w:type="dxa"/>
            <w:vAlign w:val="bottom"/>
            <w:tcBorders>
              <w:top w:val="single" w:sz="8" w:color="CCEEFF"/>
              <w:bottom w:val="single" w:sz="8" w:color="CCEEFF"/>
            </w:tcBorders>
            <w:shd w:val="clear" w:color="auto" w:fill="CCEEFF"/>
          </w:tcPr>
          <w:p>
            <w:pPr>
              <w:jc w:val="right"/>
              <w:ind w:right="319"/>
              <w:spacing w:after="0"/>
              <w:rPr>
                <w:sz w:val="20"/>
                <w:szCs w:val="20"/>
                <w:color w:val="auto"/>
              </w:rPr>
            </w:pPr>
            <w:r>
              <w:rPr>
                <w:rFonts w:ascii="Times New Roman" w:cs="Times New Roman" w:eastAsia="Times New Roman" w:hAnsi="Times New Roman"/>
                <w:sz w:val="8"/>
                <w:szCs w:val="8"/>
                <w:color w:val="auto"/>
                <w:w w:val="73"/>
              </w:rPr>
              <w:t>)</w:t>
            </w:r>
          </w:p>
        </w:tc>
        <w:tc>
          <w:tcPr>
            <w:tcW w:w="12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(54</w:t>
            </w:r>
          </w:p>
        </w:tc>
        <w:tc>
          <w:tcPr>
            <w:tcW w:w="100" w:type="dxa"/>
            <w:vAlign w:val="bottom"/>
            <w:tcBorders>
              <w:top w:val="single" w:sz="8" w:color="CCEEFF"/>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0"/>
        </w:trPr>
        <w:tc>
          <w:tcPr>
            <w:tcW w:w="29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Earnings (loss) per share:</w:t>
            </w: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960" w:type="dxa"/>
            <w:vAlign w:val="bottom"/>
            <w:vMerge w:val="continue"/>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Basic</w:t>
            </w:r>
          </w:p>
        </w:tc>
        <w:tc>
          <w:tcPr>
            <w:tcW w:w="5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3.09</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19"/>
              <w:spacing w:after="0" w:line="176" w:lineRule="exact"/>
              <w:rPr>
                <w:sz w:val="20"/>
                <w:szCs w:val="20"/>
                <w:color w:val="auto"/>
              </w:rPr>
            </w:pPr>
            <w:r>
              <w:rPr>
                <w:rFonts w:ascii="Times New Roman" w:cs="Times New Roman" w:eastAsia="Times New Roman" w:hAnsi="Times New Roman"/>
                <w:sz w:val="12"/>
                <w:szCs w:val="12"/>
                <w:color w:val="auto"/>
              </w:rPr>
              <w:t>(0.22</w:t>
            </w:r>
            <w:r>
              <w:rPr>
                <w:rFonts w:ascii="Times New Roman" w:cs="Times New Roman" w:eastAsia="Times New Roman" w:hAnsi="Times New Roman"/>
                <w:sz w:val="20"/>
                <w:szCs w:val="20"/>
                <w:color w:val="auto"/>
                <w:vertAlign w:val="superscript"/>
              </w:rPr>
              <w:t>)</w:t>
            </w: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4"/>
                <w:szCs w:val="14"/>
                <w:color w:val="auto"/>
              </w:rPr>
              <w:t>Diluted</w:t>
            </w:r>
          </w:p>
        </w:tc>
        <w:tc>
          <w:tcPr>
            <w:tcW w:w="38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jc w:val="right"/>
              <w:ind w:right="19"/>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line="20" w:lineRule="exact"/>
              <w:rPr>
                <w:sz w:val="1"/>
                <w:szCs w:val="1"/>
                <w:color w:val="auto"/>
              </w:rPr>
            </w:pPr>
          </w:p>
        </w:tc>
      </w:tr>
      <w:tr>
        <w:trPr>
          <w:trHeight w:val="169"/>
        </w:trPr>
        <w:tc>
          <w:tcPr>
            <w:tcW w:w="2960" w:type="dxa"/>
            <w:vAlign w:val="bottom"/>
            <w:tcBorders>
              <w:bottom w:val="single" w:sz="8" w:color="CCEEFF"/>
            </w:tcBorders>
            <w:vMerge w:val="continue"/>
          </w:tcPr>
          <w:p>
            <w:pPr>
              <w:spacing w:after="0"/>
              <w:rPr>
                <w:sz w:val="14"/>
                <w:szCs w:val="14"/>
                <w:color w:val="auto"/>
              </w:rPr>
            </w:pPr>
          </w:p>
        </w:tc>
        <w:tc>
          <w:tcPr>
            <w:tcW w:w="380" w:type="dxa"/>
            <w:vAlign w:val="bottom"/>
            <w:tcBorders>
              <w:bottom w:val="single" w:sz="8" w:color="CCEEFF"/>
            </w:tcBorders>
            <w:vMerge w:val="continue"/>
          </w:tcPr>
          <w:p>
            <w:pPr>
              <w:spacing w:after="0"/>
              <w:rPr>
                <w:sz w:val="14"/>
                <w:szCs w:val="14"/>
                <w:color w:val="auto"/>
              </w:rPr>
            </w:pPr>
          </w:p>
        </w:tc>
        <w:tc>
          <w:tcPr>
            <w:tcW w:w="140" w:type="dxa"/>
            <w:vAlign w:val="bottom"/>
            <w:tcBorders>
              <w:bottom w:val="single" w:sz="8" w:color="auto"/>
            </w:tcBorders>
          </w:tcPr>
          <w:p>
            <w:pPr>
              <w:spacing w:after="0" w:line="12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3.08</w:t>
            </w:r>
          </w:p>
        </w:tc>
        <w:tc>
          <w:tcPr>
            <w:tcW w:w="140" w:type="dxa"/>
            <w:vAlign w:val="bottom"/>
            <w:tcBorders>
              <w:bottom w:val="single" w:sz="8" w:color="CCEEFF"/>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9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line="12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(0.22</w:t>
            </w:r>
          </w:p>
        </w:tc>
        <w:tc>
          <w:tcPr>
            <w:tcW w:w="100" w:type="dxa"/>
            <w:vAlign w:val="bottom"/>
            <w:tcBorders>
              <w:bottom w:val="single" w:sz="8" w:color="CCEE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96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rPr>
              <w:t>Weighted average shares:</w:t>
            </w: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9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Basic</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154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898</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243</w:t>
            </w:r>
          </w:p>
        </w:tc>
        <w:tc>
          <w:tcPr>
            <w:tcW w:w="0" w:type="dxa"/>
            <w:vAlign w:val="bottom"/>
          </w:tcPr>
          <w:p>
            <w:pPr>
              <w:spacing w:after="0"/>
              <w:rPr>
                <w:sz w:val="1"/>
                <w:szCs w:val="1"/>
                <w:color w:val="auto"/>
              </w:rPr>
            </w:pPr>
          </w:p>
        </w:tc>
      </w:tr>
      <w:tr>
        <w:trPr>
          <w:trHeight w:val="149"/>
        </w:trPr>
        <w:tc>
          <w:tcPr>
            <w:tcW w:w="296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Diluted</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155</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898</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244</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Pro Forma Condensed Combined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BALANCE SHEET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4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4"/>
          </w:tcPr>
          <w:p>
            <w:pPr>
              <w:jc w:val="right"/>
              <w:ind w:right="748"/>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17"/>
        </w:trPr>
        <w:tc>
          <w:tcPr>
            <w:tcW w:w="3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gridSpan w:val="2"/>
          </w:tcPr>
          <w:p>
            <w:pPr>
              <w:jc w:val="center"/>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Skyworks</w:t>
            </w:r>
          </w:p>
        </w:tc>
        <w:tc>
          <w:tcPr>
            <w:tcW w:w="100" w:type="dxa"/>
            <w:vAlign w:val="bottom"/>
          </w:tcPr>
          <w:p>
            <w:pPr>
              <w:spacing w:after="0"/>
              <w:rPr>
                <w:sz w:val="10"/>
                <w:szCs w:val="10"/>
                <w:color w:val="auto"/>
              </w:rPr>
            </w:pPr>
          </w:p>
        </w:tc>
        <w:tc>
          <w:tcPr>
            <w:tcW w:w="11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Qorvo, Inc.</w:t>
            </w:r>
          </w:p>
        </w:tc>
        <w:tc>
          <w:tcPr>
            <w:tcW w:w="110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Reclassification</w:t>
            </w: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Merger</w:t>
            </w: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40" w:type="dxa"/>
            <w:vAlign w:val="bottom"/>
            <w:gridSpan w:val="2"/>
            <w:vMerge w:val="restart"/>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Financing</w:t>
            </w:r>
          </w:p>
        </w:tc>
        <w:tc>
          <w:tcPr>
            <w:tcW w:w="80" w:type="dxa"/>
            <w:vAlign w:val="bottom"/>
          </w:tcPr>
          <w:p>
            <w:pPr>
              <w:spacing w:after="0"/>
              <w:rPr>
                <w:sz w:val="10"/>
                <w:szCs w:val="10"/>
                <w:color w:val="auto"/>
              </w:rPr>
            </w:pPr>
          </w:p>
        </w:tc>
        <w:tc>
          <w:tcPr>
            <w:tcW w:w="1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440" w:type="dxa"/>
            <w:vAlign w:val="bottom"/>
          </w:tcPr>
          <w:p>
            <w:pPr>
              <w:spacing w:after="0"/>
              <w:rPr>
                <w:sz w:val="12"/>
                <w:szCs w:val="12"/>
                <w:color w:val="auto"/>
              </w:rPr>
            </w:pPr>
          </w:p>
        </w:tc>
        <w:tc>
          <w:tcPr>
            <w:tcW w:w="122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Solutions, Inc.</w:t>
            </w:r>
          </w:p>
        </w:tc>
        <w:tc>
          <w:tcPr>
            <w:tcW w:w="1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Combined</w:t>
            </w:r>
          </w:p>
        </w:tc>
        <w:tc>
          <w:tcPr>
            <w:tcW w:w="0" w:type="dxa"/>
            <w:vAlign w:val="bottom"/>
          </w:tcPr>
          <w:p>
            <w:pPr>
              <w:spacing w:after="0"/>
              <w:rPr>
                <w:sz w:val="1"/>
                <w:szCs w:val="1"/>
                <w:color w:val="auto"/>
              </w:rPr>
            </w:pPr>
          </w:p>
        </w:tc>
      </w:tr>
      <w:tr>
        <w:trPr>
          <w:trHeight w:val="25"/>
        </w:trPr>
        <w:tc>
          <w:tcPr>
            <w:tcW w:w="34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gridSpan w:val="2"/>
            <w:vMerge w:val="restart"/>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transaction</w:t>
            </w: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gridSpan w:val="2"/>
            <w:vMerge w:val="restart"/>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transaction</w:t>
            </w: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gridSpan w:val="2"/>
            <w:vMerge w:val="restart"/>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transaction</w:t>
            </w: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4"/>
        </w:trPr>
        <w:tc>
          <w:tcPr>
            <w:tcW w:w="3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14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00" w:type="dxa"/>
            <w:vAlign w:val="bottom"/>
          </w:tcPr>
          <w:p>
            <w:pPr>
              <w:spacing w:after="0"/>
              <w:rPr>
                <w:sz w:val="9"/>
                <w:szCs w:val="9"/>
                <w:color w:val="auto"/>
              </w:rPr>
            </w:pPr>
          </w:p>
        </w:tc>
        <w:tc>
          <w:tcPr>
            <w:tcW w:w="11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0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4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48"/>
        </w:trPr>
        <w:tc>
          <w:tcPr>
            <w:tcW w:w="3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8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April 3, 2026</w:t>
            </w:r>
          </w:p>
        </w:tc>
        <w:tc>
          <w:tcPr>
            <w:tcW w:w="12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March 28, 2026</w:t>
            </w:r>
          </w:p>
        </w:tc>
        <w:tc>
          <w:tcPr>
            <w:tcW w:w="100" w:type="dxa"/>
            <w:vAlign w:val="bottom"/>
          </w:tcPr>
          <w:p>
            <w:pPr>
              <w:spacing w:after="0"/>
              <w:rPr>
                <w:sz w:val="15"/>
                <w:szCs w:val="15"/>
                <w:color w:val="auto"/>
              </w:rPr>
            </w:pP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80" w:type="dxa"/>
            <w:vAlign w:val="bottom"/>
          </w:tcPr>
          <w:p>
            <w:pPr>
              <w:spacing w:after="0"/>
              <w:rPr>
                <w:sz w:val="15"/>
                <w:szCs w:val="15"/>
                <w:color w:val="auto"/>
              </w:rPr>
            </w:pPr>
          </w:p>
        </w:tc>
        <w:tc>
          <w:tcPr>
            <w:tcW w:w="102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April 3, 2026</w:t>
            </w:r>
          </w:p>
        </w:tc>
        <w:tc>
          <w:tcPr>
            <w:tcW w:w="0" w:type="dxa"/>
            <w:vAlign w:val="bottom"/>
          </w:tcPr>
          <w:p>
            <w:pPr>
              <w:spacing w:after="0"/>
              <w:rPr>
                <w:sz w:val="1"/>
                <w:szCs w:val="1"/>
                <w:color w:val="auto"/>
              </w:rPr>
            </w:pPr>
          </w:p>
        </w:tc>
      </w:tr>
      <w:tr>
        <w:trPr>
          <w:trHeight w:val="142"/>
        </w:trPr>
        <w:tc>
          <w:tcPr>
            <w:tcW w:w="344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ASSETS</w:t>
            </w:r>
          </w:p>
        </w:tc>
        <w:tc>
          <w:tcPr>
            <w:tcW w:w="8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Current assets:</w:t>
            </w: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4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1,413</w:t>
            </w:r>
          </w:p>
        </w:tc>
        <w:tc>
          <w:tcPr>
            <w:tcW w:w="1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1,219</w:t>
            </w:r>
          </w:p>
        </w:tc>
        <w:tc>
          <w:tcPr>
            <w:tcW w:w="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(2,860)</w:t>
            </w:r>
          </w:p>
        </w:tc>
        <w:tc>
          <w:tcPr>
            <w:tcW w:w="4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7[b] $</w:t>
            </w:r>
          </w:p>
        </w:tc>
        <w:tc>
          <w:tcPr>
            <w:tcW w:w="13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2,8357[l]</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2,607</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4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Marketable securities</w:t>
            </w:r>
          </w:p>
        </w:tc>
        <w:tc>
          <w:tcPr>
            <w:tcW w:w="80" w:type="dxa"/>
            <w:vAlign w:val="bottom"/>
          </w:tcPr>
          <w:p>
            <w:pPr>
              <w:spacing w:after="0"/>
              <w:rPr>
                <w:sz w:val="12"/>
                <w:szCs w:val="12"/>
                <w:color w:val="auto"/>
              </w:rPr>
            </w:pPr>
          </w:p>
        </w:tc>
        <w:tc>
          <w:tcPr>
            <w:tcW w:w="11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2"/>
                <w:szCs w:val="12"/>
                <w:color w:val="auto"/>
              </w:rPr>
            </w:pPr>
          </w:p>
        </w:tc>
        <w:tc>
          <w:tcPr>
            <w:tcW w:w="11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right"/>
              <w:ind w:righ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4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Receivables, net of allowances</w:t>
            </w: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336</w:t>
            </w:r>
          </w:p>
        </w:tc>
        <w:tc>
          <w:tcPr>
            <w:tcW w:w="1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382</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718</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4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Inventory</w:t>
            </w:r>
          </w:p>
        </w:tc>
        <w:tc>
          <w:tcPr>
            <w:tcW w:w="80" w:type="dxa"/>
            <w:vAlign w:val="bottom"/>
          </w:tcPr>
          <w:p>
            <w:pPr>
              <w:spacing w:after="0"/>
              <w:rPr>
                <w:sz w:val="12"/>
                <w:szCs w:val="12"/>
                <w:color w:val="auto"/>
              </w:rPr>
            </w:pPr>
          </w:p>
        </w:tc>
        <w:tc>
          <w:tcPr>
            <w:tcW w:w="11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886</w:t>
            </w:r>
          </w:p>
        </w:tc>
        <w:tc>
          <w:tcPr>
            <w:tcW w:w="100" w:type="dxa"/>
            <w:vAlign w:val="bottom"/>
          </w:tcPr>
          <w:p>
            <w:pPr>
              <w:spacing w:after="0"/>
              <w:rPr>
                <w:sz w:val="12"/>
                <w:szCs w:val="12"/>
                <w:color w:val="auto"/>
              </w:rPr>
            </w:pPr>
          </w:p>
        </w:tc>
        <w:tc>
          <w:tcPr>
            <w:tcW w:w="11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554</w:t>
            </w:r>
          </w:p>
        </w:tc>
        <w:tc>
          <w:tcPr>
            <w:tcW w:w="10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243</w:t>
            </w:r>
          </w:p>
        </w:tc>
        <w:tc>
          <w:tcPr>
            <w:tcW w:w="420" w:type="dxa"/>
            <w:vAlign w:val="bottom"/>
            <w:gridSpan w:val="2"/>
          </w:tcPr>
          <w:p>
            <w:pPr>
              <w:jc w:val="center"/>
              <w:ind w:right="48"/>
              <w:spacing w:after="0" w:line="149" w:lineRule="exact"/>
              <w:rPr>
                <w:sz w:val="20"/>
                <w:szCs w:val="20"/>
                <w:color w:val="auto"/>
              </w:rPr>
            </w:pPr>
            <w:r>
              <w:rPr>
                <w:rFonts w:ascii="Times New Roman" w:cs="Times New Roman" w:eastAsia="Times New Roman" w:hAnsi="Times New Roman"/>
                <w:sz w:val="14"/>
                <w:szCs w:val="14"/>
                <w:color w:val="auto"/>
                <w:w w:val="97"/>
              </w:rPr>
              <w:t>7[c]</w:t>
            </w:r>
          </w:p>
        </w:tc>
        <w:tc>
          <w:tcPr>
            <w:tcW w:w="1340" w:type="dxa"/>
            <w:vAlign w:val="bottom"/>
            <w:gridSpan w:val="2"/>
          </w:tcPr>
          <w:p>
            <w:pPr>
              <w:jc w:val="right"/>
              <w:ind w:righ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1,683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44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Prepaid expenses</w:t>
            </w:r>
          </w:p>
        </w:tc>
        <w:tc>
          <w:tcPr>
            <w:tcW w:w="80" w:type="dxa"/>
            <w:vAlign w:val="bottom"/>
            <w:shd w:val="clear" w:color="auto" w:fill="CCEEFF"/>
          </w:tcPr>
          <w:p>
            <w:pPr>
              <w:spacing w:after="0"/>
              <w:rPr>
                <w:sz w:val="10"/>
                <w:szCs w:val="10"/>
                <w:color w:val="auto"/>
              </w:rPr>
            </w:pPr>
          </w:p>
        </w:tc>
        <w:tc>
          <w:tcPr>
            <w:tcW w:w="11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11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shd w:val="clear" w:color="auto" w:fill="CCEEFF"/>
          </w:tcPr>
          <w:p>
            <w:pPr>
              <w:spacing w:after="0"/>
              <w:rPr>
                <w:sz w:val="10"/>
                <w:szCs w:val="10"/>
                <w:color w:val="auto"/>
              </w:rPr>
            </w:pPr>
          </w:p>
        </w:tc>
        <w:tc>
          <w:tcPr>
            <w:tcW w:w="10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(37)</w:t>
            </w:r>
          </w:p>
        </w:tc>
        <w:tc>
          <w:tcPr>
            <w:tcW w:w="460" w:type="dxa"/>
            <w:vAlign w:val="bottom"/>
            <w:gridSpan w:val="2"/>
            <w:shd w:val="clear" w:color="auto" w:fill="CCEEFF"/>
          </w:tcPr>
          <w:p>
            <w:pPr>
              <w:jc w:val="center"/>
              <w:ind w:right="28"/>
              <w:spacing w:after="0" w:line="126" w:lineRule="exact"/>
              <w:rPr>
                <w:sz w:val="20"/>
                <w:szCs w:val="20"/>
                <w:color w:val="auto"/>
              </w:rPr>
            </w:pPr>
            <w:r>
              <w:rPr>
                <w:rFonts w:ascii="Times New Roman" w:cs="Times New Roman" w:eastAsia="Times New Roman" w:hAnsi="Times New Roman"/>
                <w:sz w:val="14"/>
                <w:szCs w:val="14"/>
                <w:color w:val="auto"/>
              </w:rPr>
              <w:t>7[a]</w:t>
            </w:r>
          </w:p>
        </w:tc>
        <w:tc>
          <w:tcPr>
            <w:tcW w:w="9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340" w:type="dxa"/>
            <w:vAlign w:val="bottom"/>
            <w:gridSpan w:val="2"/>
            <w:vMerge w:val="restart"/>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102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4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[1]</w:t>
            </w:r>
          </w:p>
        </w:tc>
        <w:tc>
          <w:tcPr>
            <w:tcW w:w="12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gridSpan w:val="3"/>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440" w:type="dxa"/>
            <w:vAlign w:val="bottom"/>
            <w:vMerge w:val="restart"/>
          </w:tcPr>
          <w:p>
            <w:pPr>
              <w:ind w:left="180"/>
              <w:spacing w:after="0"/>
              <w:rPr>
                <w:sz w:val="20"/>
                <w:szCs w:val="20"/>
                <w:color w:val="auto"/>
              </w:rPr>
            </w:pPr>
            <w:r>
              <w:rPr>
                <w:rFonts w:ascii="Times New Roman" w:cs="Times New Roman" w:eastAsia="Times New Roman" w:hAnsi="Times New Roman"/>
                <w:sz w:val="14"/>
                <w:szCs w:val="14"/>
                <w:color w:val="auto"/>
              </w:rPr>
              <w:t>Other receivables</w:t>
            </w:r>
          </w:p>
        </w:tc>
        <w:tc>
          <w:tcPr>
            <w:tcW w:w="80" w:type="dxa"/>
            <w:vAlign w:val="bottom"/>
          </w:tcPr>
          <w:p>
            <w:pPr>
              <w:spacing w:after="0"/>
              <w:rPr>
                <w:sz w:val="10"/>
                <w:szCs w:val="10"/>
                <w:color w:val="auto"/>
              </w:rPr>
            </w:pPr>
          </w:p>
        </w:tc>
        <w:tc>
          <w:tcPr>
            <w:tcW w:w="11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1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10"/>
                <w:szCs w:val="10"/>
                <w:color w:val="auto"/>
              </w:rPr>
            </w:pPr>
          </w:p>
        </w:tc>
        <w:tc>
          <w:tcPr>
            <w:tcW w:w="10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(16)</w:t>
            </w:r>
          </w:p>
        </w:tc>
        <w:tc>
          <w:tcPr>
            <w:tcW w:w="460" w:type="dxa"/>
            <w:vAlign w:val="bottom"/>
            <w:gridSpan w:val="2"/>
          </w:tcPr>
          <w:p>
            <w:pPr>
              <w:jc w:val="center"/>
              <w:ind w:right="28"/>
              <w:spacing w:after="0" w:line="126" w:lineRule="exact"/>
              <w:rPr>
                <w:sz w:val="20"/>
                <w:szCs w:val="20"/>
                <w:color w:val="auto"/>
              </w:rPr>
            </w:pPr>
            <w:r>
              <w:rPr>
                <w:rFonts w:ascii="Times New Roman" w:cs="Times New Roman" w:eastAsia="Times New Roman" w:hAnsi="Times New Roman"/>
                <w:sz w:val="14"/>
                <w:szCs w:val="14"/>
                <w:color w:val="auto"/>
              </w:rPr>
              <w:t>7[a]</w:t>
            </w:r>
          </w:p>
        </w:tc>
        <w:tc>
          <w:tcPr>
            <w:tcW w:w="9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4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02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4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3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[2]</w:t>
            </w:r>
          </w:p>
        </w:tc>
        <w:tc>
          <w:tcPr>
            <w:tcW w:w="12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44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current assets</w:t>
            </w:r>
          </w:p>
        </w:tc>
        <w:tc>
          <w:tcPr>
            <w:tcW w:w="80" w:type="dxa"/>
            <w:vAlign w:val="bottom"/>
            <w:shd w:val="clear" w:color="auto" w:fill="CCEEFF"/>
          </w:tcPr>
          <w:p>
            <w:pPr>
              <w:spacing w:after="0"/>
              <w:rPr>
                <w:sz w:val="10"/>
                <w:szCs w:val="10"/>
                <w:color w:val="auto"/>
              </w:rPr>
            </w:pPr>
          </w:p>
        </w:tc>
        <w:tc>
          <w:tcPr>
            <w:tcW w:w="11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482</w:t>
            </w:r>
          </w:p>
        </w:tc>
        <w:tc>
          <w:tcPr>
            <w:tcW w:w="100" w:type="dxa"/>
            <w:vAlign w:val="bottom"/>
            <w:shd w:val="clear" w:color="auto" w:fill="CCEEFF"/>
          </w:tcPr>
          <w:p>
            <w:pPr>
              <w:spacing w:after="0"/>
              <w:rPr>
                <w:sz w:val="10"/>
                <w:szCs w:val="10"/>
                <w:color w:val="auto"/>
              </w:rPr>
            </w:pPr>
          </w:p>
        </w:tc>
        <w:tc>
          <w:tcPr>
            <w:tcW w:w="11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98</w:t>
            </w:r>
          </w:p>
        </w:tc>
        <w:tc>
          <w:tcPr>
            <w:tcW w:w="100" w:type="dxa"/>
            <w:vAlign w:val="bottom"/>
            <w:shd w:val="clear" w:color="auto" w:fill="CCEEFF"/>
          </w:tcPr>
          <w:p>
            <w:pPr>
              <w:spacing w:after="0"/>
              <w:rPr>
                <w:sz w:val="10"/>
                <w:szCs w:val="10"/>
                <w:color w:val="auto"/>
              </w:rPr>
            </w:pPr>
          </w:p>
        </w:tc>
        <w:tc>
          <w:tcPr>
            <w:tcW w:w="10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37</w:t>
            </w:r>
          </w:p>
        </w:tc>
        <w:tc>
          <w:tcPr>
            <w:tcW w:w="460" w:type="dxa"/>
            <w:vAlign w:val="bottom"/>
            <w:gridSpan w:val="2"/>
            <w:shd w:val="clear" w:color="auto" w:fill="CCEEFF"/>
          </w:tcPr>
          <w:p>
            <w:pPr>
              <w:jc w:val="center"/>
              <w:ind w:right="28"/>
              <w:spacing w:after="0" w:line="126" w:lineRule="exact"/>
              <w:rPr>
                <w:sz w:val="20"/>
                <w:szCs w:val="20"/>
                <w:color w:val="auto"/>
              </w:rPr>
            </w:pPr>
            <w:r>
              <w:rPr>
                <w:rFonts w:ascii="Times New Roman" w:cs="Times New Roman" w:eastAsia="Times New Roman" w:hAnsi="Times New Roman"/>
                <w:sz w:val="14"/>
                <w:szCs w:val="14"/>
                <w:color w:val="auto"/>
              </w:rPr>
              <w:t>7[a]</w:t>
            </w:r>
          </w:p>
        </w:tc>
        <w:tc>
          <w:tcPr>
            <w:tcW w:w="9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340" w:type="dxa"/>
            <w:vAlign w:val="bottom"/>
            <w:gridSpan w:val="2"/>
            <w:vMerge w:val="restart"/>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633</w:t>
            </w: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4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[1]</w:t>
            </w:r>
          </w:p>
        </w:tc>
        <w:tc>
          <w:tcPr>
            <w:tcW w:w="12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gridSpan w:val="2"/>
          </w:tcPr>
          <w:p>
            <w:pPr>
              <w:jc w:val="center"/>
              <w:ind w:right="28"/>
              <w:spacing w:after="0" w:line="126" w:lineRule="exact"/>
              <w:rPr>
                <w:sz w:val="20"/>
                <w:szCs w:val="20"/>
                <w:color w:val="auto"/>
              </w:rPr>
            </w:pPr>
            <w:r>
              <w:rPr>
                <w:rFonts w:ascii="Times New Roman" w:cs="Times New Roman" w:eastAsia="Times New Roman" w:hAnsi="Times New Roman"/>
                <w:sz w:val="14"/>
                <w:szCs w:val="14"/>
                <w:color w:val="auto"/>
              </w:rPr>
              <w:t>7[a]</w:t>
            </w: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3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16</w:t>
            </w:r>
          </w:p>
        </w:tc>
        <w:tc>
          <w:tcPr>
            <w:tcW w:w="3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[2]</w:t>
            </w: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3440" w:type="dxa"/>
            <w:vAlign w:val="bottom"/>
            <w:tcBorders>
              <w:top w:val="single" w:sz="8" w:color="CCEEFF"/>
            </w:tcBorders>
            <w:shd w:val="clear" w:color="auto" w:fill="CCEEFF"/>
          </w:tcPr>
          <w:p>
            <w:pPr>
              <w:ind w:left="340"/>
              <w:spacing w:after="0" w:line="142" w:lineRule="exact"/>
              <w:rPr>
                <w:sz w:val="20"/>
                <w:szCs w:val="20"/>
                <w:color w:val="auto"/>
              </w:rPr>
            </w:pPr>
            <w:r>
              <w:rPr>
                <w:rFonts w:ascii="Times New Roman" w:cs="Times New Roman" w:eastAsia="Times New Roman" w:hAnsi="Times New Roman"/>
                <w:sz w:val="14"/>
                <w:szCs w:val="14"/>
                <w:color w:val="auto"/>
              </w:rPr>
              <w:t>Total current assets</w:t>
            </w:r>
          </w:p>
        </w:tc>
        <w:tc>
          <w:tcPr>
            <w:tcW w:w="8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3,126</w:t>
            </w: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2,306</w:t>
            </w:r>
          </w:p>
        </w:tc>
        <w:tc>
          <w:tcPr>
            <w:tcW w:w="2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(2,617)</w:t>
            </w:r>
          </w:p>
        </w:tc>
        <w:tc>
          <w:tcPr>
            <w:tcW w:w="8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2,835</w:t>
            </w:r>
          </w:p>
        </w:tc>
        <w:tc>
          <w:tcPr>
            <w:tcW w:w="4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5,650</w:t>
            </w: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Property, plant, and equipment, net</w:t>
            </w:r>
          </w:p>
        </w:tc>
        <w:tc>
          <w:tcPr>
            <w:tcW w:w="80" w:type="dxa"/>
            <w:vAlign w:val="bottom"/>
          </w:tcPr>
          <w:p>
            <w:pPr>
              <w:spacing w:after="0"/>
              <w:rPr>
                <w:sz w:val="12"/>
                <w:szCs w:val="12"/>
                <w:color w:val="auto"/>
              </w:rPr>
            </w:pPr>
          </w:p>
        </w:tc>
        <w:tc>
          <w:tcPr>
            <w:tcW w:w="11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1,188</w:t>
            </w:r>
          </w:p>
        </w:tc>
        <w:tc>
          <w:tcPr>
            <w:tcW w:w="100" w:type="dxa"/>
            <w:vAlign w:val="bottom"/>
          </w:tcPr>
          <w:p>
            <w:pPr>
              <w:spacing w:after="0"/>
              <w:rPr>
                <w:sz w:val="12"/>
                <w:szCs w:val="12"/>
                <w:color w:val="auto"/>
              </w:rPr>
            </w:pPr>
          </w:p>
        </w:tc>
        <w:tc>
          <w:tcPr>
            <w:tcW w:w="11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711</w:t>
            </w:r>
          </w:p>
        </w:tc>
        <w:tc>
          <w:tcPr>
            <w:tcW w:w="10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right"/>
              <w:ind w:righ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1,899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4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80" w:type="dxa"/>
            <w:vAlign w:val="bottom"/>
            <w:shd w:val="clear" w:color="auto" w:fill="CCEEFF"/>
          </w:tcPr>
          <w:p>
            <w:pPr>
              <w:spacing w:after="0"/>
              <w:rPr>
                <w:sz w:val="10"/>
                <w:szCs w:val="10"/>
                <w:color w:val="auto"/>
              </w:rPr>
            </w:pPr>
          </w:p>
        </w:tc>
        <w:tc>
          <w:tcPr>
            <w:tcW w:w="11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182</w:t>
            </w:r>
          </w:p>
        </w:tc>
        <w:tc>
          <w:tcPr>
            <w:tcW w:w="100" w:type="dxa"/>
            <w:vAlign w:val="bottom"/>
            <w:shd w:val="clear" w:color="auto" w:fill="CCEEFF"/>
          </w:tcPr>
          <w:p>
            <w:pPr>
              <w:spacing w:after="0"/>
              <w:rPr>
                <w:sz w:val="10"/>
                <w:szCs w:val="10"/>
                <w:color w:val="auto"/>
              </w:rPr>
            </w:pPr>
          </w:p>
        </w:tc>
        <w:tc>
          <w:tcPr>
            <w:tcW w:w="11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10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52</w:t>
            </w:r>
          </w:p>
        </w:tc>
        <w:tc>
          <w:tcPr>
            <w:tcW w:w="460" w:type="dxa"/>
            <w:vAlign w:val="bottom"/>
            <w:gridSpan w:val="2"/>
            <w:shd w:val="clear" w:color="auto" w:fill="CCEEFF"/>
          </w:tcPr>
          <w:p>
            <w:pPr>
              <w:jc w:val="center"/>
              <w:ind w:right="28"/>
              <w:spacing w:after="0" w:line="126" w:lineRule="exact"/>
              <w:rPr>
                <w:sz w:val="20"/>
                <w:szCs w:val="20"/>
                <w:color w:val="auto"/>
              </w:rPr>
            </w:pPr>
            <w:r>
              <w:rPr>
                <w:rFonts w:ascii="Times New Roman" w:cs="Times New Roman" w:eastAsia="Times New Roman" w:hAnsi="Times New Roman"/>
                <w:sz w:val="14"/>
                <w:szCs w:val="14"/>
                <w:color w:val="auto"/>
              </w:rPr>
              <w:t>7[a]</w:t>
            </w:r>
          </w:p>
        </w:tc>
        <w:tc>
          <w:tcPr>
            <w:tcW w:w="9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340" w:type="dxa"/>
            <w:vAlign w:val="bottom"/>
            <w:gridSpan w:val="2"/>
            <w:vMerge w:val="restart"/>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234</w:t>
            </w: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4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[3]</w:t>
            </w:r>
          </w:p>
        </w:tc>
        <w:tc>
          <w:tcPr>
            <w:tcW w:w="12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4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Goodwill</w:t>
            </w:r>
          </w:p>
        </w:tc>
        <w:tc>
          <w:tcPr>
            <w:tcW w:w="80" w:type="dxa"/>
            <w:vAlign w:val="bottom"/>
          </w:tcPr>
          <w:p>
            <w:pPr>
              <w:spacing w:after="0"/>
              <w:rPr>
                <w:sz w:val="12"/>
                <w:szCs w:val="12"/>
                <w:color w:val="auto"/>
              </w:rPr>
            </w:pPr>
          </w:p>
        </w:tc>
        <w:tc>
          <w:tcPr>
            <w:tcW w:w="11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2,177</w:t>
            </w:r>
          </w:p>
        </w:tc>
        <w:tc>
          <w:tcPr>
            <w:tcW w:w="100" w:type="dxa"/>
            <w:vAlign w:val="bottom"/>
          </w:tcPr>
          <w:p>
            <w:pPr>
              <w:spacing w:after="0"/>
              <w:rPr>
                <w:sz w:val="12"/>
                <w:szCs w:val="12"/>
                <w:color w:val="auto"/>
              </w:rPr>
            </w:pPr>
          </w:p>
        </w:tc>
        <w:tc>
          <w:tcPr>
            <w:tcW w:w="11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2,353</w:t>
            </w:r>
          </w:p>
        </w:tc>
        <w:tc>
          <w:tcPr>
            <w:tcW w:w="10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4"/>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(2,353) 7[d]</w:t>
            </w:r>
          </w:p>
        </w:tc>
        <w:tc>
          <w:tcPr>
            <w:tcW w:w="1340" w:type="dxa"/>
            <w:vAlign w:val="bottom"/>
            <w:gridSpan w:val="2"/>
          </w:tcPr>
          <w:p>
            <w:pPr>
              <w:jc w:val="right"/>
              <w:ind w:righ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6,667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4,490</w:t>
            </w:r>
          </w:p>
        </w:tc>
        <w:tc>
          <w:tcPr>
            <w:tcW w:w="420" w:type="dxa"/>
            <w:vAlign w:val="bottom"/>
            <w:gridSpan w:val="2"/>
            <w:shd w:val="clear" w:color="auto" w:fill="CCEEFF"/>
          </w:tcPr>
          <w:p>
            <w:pPr>
              <w:jc w:val="center"/>
              <w:ind w:right="68"/>
              <w:spacing w:after="0" w:line="149" w:lineRule="exact"/>
              <w:rPr>
                <w:sz w:val="20"/>
                <w:szCs w:val="20"/>
                <w:color w:val="auto"/>
              </w:rPr>
            </w:pPr>
            <w:r>
              <w:rPr>
                <w:rFonts w:ascii="Times New Roman" w:cs="Times New Roman" w:eastAsia="Times New Roman" w:hAnsi="Times New Roman"/>
                <w:sz w:val="14"/>
                <w:szCs w:val="14"/>
                <w:color w:val="auto"/>
              </w:rPr>
              <w:t>7[d]</w:t>
            </w:r>
          </w:p>
        </w:tc>
        <w:tc>
          <w:tcPr>
            <w:tcW w:w="9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Intangible assets, net</w:t>
            </w:r>
          </w:p>
        </w:tc>
        <w:tc>
          <w:tcPr>
            <w:tcW w:w="80" w:type="dxa"/>
            <w:vAlign w:val="bottom"/>
          </w:tcPr>
          <w:p>
            <w:pPr>
              <w:spacing w:after="0"/>
              <w:rPr>
                <w:sz w:val="12"/>
                <w:szCs w:val="12"/>
                <w:color w:val="auto"/>
              </w:rPr>
            </w:pPr>
          </w:p>
        </w:tc>
        <w:tc>
          <w:tcPr>
            <w:tcW w:w="11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722</w:t>
            </w:r>
          </w:p>
        </w:tc>
        <w:tc>
          <w:tcPr>
            <w:tcW w:w="100" w:type="dxa"/>
            <w:vAlign w:val="bottom"/>
          </w:tcPr>
          <w:p>
            <w:pPr>
              <w:spacing w:after="0"/>
              <w:rPr>
                <w:sz w:val="12"/>
                <w:szCs w:val="12"/>
                <w:color w:val="auto"/>
              </w:rPr>
            </w:pPr>
          </w:p>
        </w:tc>
        <w:tc>
          <w:tcPr>
            <w:tcW w:w="11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122</w:t>
            </w:r>
          </w:p>
        </w:tc>
        <w:tc>
          <w:tcPr>
            <w:tcW w:w="10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(122)</w:t>
            </w:r>
          </w:p>
        </w:tc>
        <w:tc>
          <w:tcPr>
            <w:tcW w:w="420" w:type="dxa"/>
            <w:vAlign w:val="bottom"/>
            <w:gridSpan w:val="2"/>
          </w:tcPr>
          <w:p>
            <w:pPr>
              <w:jc w:val="center"/>
              <w:ind w:right="48"/>
              <w:spacing w:after="0" w:line="149" w:lineRule="exact"/>
              <w:rPr>
                <w:sz w:val="20"/>
                <w:szCs w:val="20"/>
                <w:color w:val="auto"/>
              </w:rPr>
            </w:pPr>
            <w:r>
              <w:rPr>
                <w:rFonts w:ascii="Times New Roman" w:cs="Times New Roman" w:eastAsia="Times New Roman" w:hAnsi="Times New Roman"/>
                <w:sz w:val="14"/>
                <w:szCs w:val="14"/>
                <w:color w:val="auto"/>
                <w:w w:val="97"/>
              </w:rPr>
              <w:t>7[e]</w:t>
            </w:r>
          </w:p>
        </w:tc>
        <w:tc>
          <w:tcPr>
            <w:tcW w:w="1340" w:type="dxa"/>
            <w:vAlign w:val="bottom"/>
            <w:gridSpan w:val="2"/>
          </w:tcPr>
          <w:p>
            <w:pPr>
              <w:jc w:val="right"/>
              <w:ind w:righ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4,365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3,643</w:t>
            </w:r>
          </w:p>
        </w:tc>
        <w:tc>
          <w:tcPr>
            <w:tcW w:w="420" w:type="dxa"/>
            <w:vAlign w:val="bottom"/>
            <w:gridSpan w:val="2"/>
            <w:shd w:val="clear" w:color="auto" w:fill="CCEEFF"/>
          </w:tcPr>
          <w:p>
            <w:pPr>
              <w:jc w:val="center"/>
              <w:ind w:right="48"/>
              <w:spacing w:after="0" w:line="149" w:lineRule="exact"/>
              <w:rPr>
                <w:sz w:val="20"/>
                <w:szCs w:val="20"/>
                <w:color w:val="auto"/>
              </w:rPr>
            </w:pPr>
            <w:r>
              <w:rPr>
                <w:rFonts w:ascii="Times New Roman" w:cs="Times New Roman" w:eastAsia="Times New Roman" w:hAnsi="Times New Roman"/>
                <w:sz w:val="14"/>
                <w:szCs w:val="14"/>
                <w:color w:val="auto"/>
                <w:w w:val="97"/>
              </w:rPr>
              <w:t>7[e]</w:t>
            </w:r>
          </w:p>
        </w:tc>
        <w:tc>
          <w:tcPr>
            <w:tcW w:w="9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4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Deferred tax assets, net</w:t>
            </w:r>
          </w:p>
        </w:tc>
        <w:tc>
          <w:tcPr>
            <w:tcW w:w="80" w:type="dxa"/>
            <w:vAlign w:val="bottom"/>
          </w:tcPr>
          <w:p>
            <w:pPr>
              <w:spacing w:after="0"/>
              <w:rPr>
                <w:sz w:val="10"/>
                <w:szCs w:val="10"/>
                <w:color w:val="auto"/>
              </w:rPr>
            </w:pPr>
          </w:p>
        </w:tc>
        <w:tc>
          <w:tcPr>
            <w:tcW w:w="11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386</w:t>
            </w:r>
          </w:p>
        </w:tc>
        <w:tc>
          <w:tcPr>
            <w:tcW w:w="100" w:type="dxa"/>
            <w:vAlign w:val="bottom"/>
          </w:tcPr>
          <w:p>
            <w:pPr>
              <w:spacing w:after="0"/>
              <w:rPr>
                <w:sz w:val="10"/>
                <w:szCs w:val="10"/>
                <w:color w:val="auto"/>
              </w:rPr>
            </w:pPr>
          </w:p>
        </w:tc>
        <w:tc>
          <w:tcPr>
            <w:tcW w:w="11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0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131</w:t>
            </w:r>
          </w:p>
        </w:tc>
        <w:tc>
          <w:tcPr>
            <w:tcW w:w="460" w:type="dxa"/>
            <w:vAlign w:val="bottom"/>
            <w:gridSpan w:val="2"/>
          </w:tcPr>
          <w:p>
            <w:pPr>
              <w:jc w:val="center"/>
              <w:ind w:right="28"/>
              <w:spacing w:after="0" w:line="126" w:lineRule="exact"/>
              <w:rPr>
                <w:sz w:val="20"/>
                <w:szCs w:val="20"/>
                <w:color w:val="auto"/>
              </w:rPr>
            </w:pPr>
            <w:r>
              <w:rPr>
                <w:rFonts w:ascii="Times New Roman" w:cs="Times New Roman" w:eastAsia="Times New Roman" w:hAnsi="Times New Roman"/>
                <w:sz w:val="14"/>
                <w:szCs w:val="14"/>
                <w:color w:val="auto"/>
              </w:rPr>
              <w:t>7[a]</w:t>
            </w:r>
          </w:p>
        </w:tc>
        <w:tc>
          <w:tcPr>
            <w:tcW w:w="9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(131)</w:t>
            </w:r>
          </w:p>
        </w:tc>
        <w:tc>
          <w:tcPr>
            <w:tcW w:w="420" w:type="dxa"/>
            <w:vAlign w:val="bottom"/>
            <w:gridSpan w:val="2"/>
            <w:vMerge w:val="restart"/>
          </w:tcPr>
          <w:p>
            <w:pPr>
              <w:jc w:val="center"/>
              <w:ind w:right="48"/>
              <w:spacing w:after="0"/>
              <w:rPr>
                <w:sz w:val="20"/>
                <w:szCs w:val="20"/>
                <w:color w:val="auto"/>
              </w:rPr>
            </w:pPr>
            <w:r>
              <w:rPr>
                <w:rFonts w:ascii="Times New Roman" w:cs="Times New Roman" w:eastAsia="Times New Roman" w:hAnsi="Times New Roman"/>
                <w:sz w:val="14"/>
                <w:szCs w:val="14"/>
                <w:color w:val="auto"/>
              </w:rPr>
              <w:t>7[f]</w:t>
            </w:r>
          </w:p>
        </w:tc>
        <w:tc>
          <w:tcPr>
            <w:tcW w:w="134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9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386</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4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3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[4]</w:t>
            </w:r>
          </w:p>
        </w:tc>
        <w:tc>
          <w:tcPr>
            <w:tcW w:w="12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4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Marketable securities</w:t>
            </w: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14</w:t>
            </w:r>
          </w:p>
        </w:tc>
        <w:tc>
          <w:tcPr>
            <w:tcW w:w="1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14</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4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Long-term investments</w:t>
            </w:r>
          </w:p>
        </w:tc>
        <w:tc>
          <w:tcPr>
            <w:tcW w:w="80" w:type="dxa"/>
            <w:vAlign w:val="bottom"/>
          </w:tcPr>
          <w:p>
            <w:pPr>
              <w:spacing w:after="0"/>
              <w:rPr>
                <w:sz w:val="10"/>
                <w:szCs w:val="10"/>
                <w:color w:val="auto"/>
              </w:rPr>
            </w:pPr>
          </w:p>
        </w:tc>
        <w:tc>
          <w:tcPr>
            <w:tcW w:w="11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1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10"/>
                <w:szCs w:val="10"/>
                <w:color w:val="auto"/>
              </w:rPr>
            </w:pPr>
          </w:p>
        </w:tc>
        <w:tc>
          <w:tcPr>
            <w:tcW w:w="10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(16)</w:t>
            </w:r>
          </w:p>
        </w:tc>
        <w:tc>
          <w:tcPr>
            <w:tcW w:w="460" w:type="dxa"/>
            <w:vAlign w:val="bottom"/>
            <w:gridSpan w:val="2"/>
          </w:tcPr>
          <w:p>
            <w:pPr>
              <w:jc w:val="center"/>
              <w:ind w:right="28"/>
              <w:spacing w:after="0" w:line="126" w:lineRule="exact"/>
              <w:rPr>
                <w:sz w:val="20"/>
                <w:szCs w:val="20"/>
                <w:color w:val="auto"/>
              </w:rPr>
            </w:pPr>
            <w:r>
              <w:rPr>
                <w:rFonts w:ascii="Times New Roman" w:cs="Times New Roman" w:eastAsia="Times New Roman" w:hAnsi="Times New Roman"/>
                <w:sz w:val="14"/>
                <w:szCs w:val="14"/>
                <w:color w:val="auto"/>
              </w:rPr>
              <w:t>7[a]</w:t>
            </w: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4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3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[5]</w:t>
            </w: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4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long-term assets</w:t>
            </w:r>
          </w:p>
        </w:tc>
        <w:tc>
          <w:tcPr>
            <w:tcW w:w="80" w:type="dxa"/>
            <w:vAlign w:val="bottom"/>
            <w:shd w:val="clear" w:color="auto" w:fill="CCEEFF"/>
          </w:tcPr>
          <w:p>
            <w:pPr>
              <w:spacing w:after="0"/>
              <w:rPr>
                <w:sz w:val="10"/>
                <w:szCs w:val="10"/>
                <w:color w:val="auto"/>
              </w:rPr>
            </w:pPr>
          </w:p>
        </w:tc>
        <w:tc>
          <w:tcPr>
            <w:tcW w:w="11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shd w:val="clear" w:color="auto" w:fill="CCEEFF"/>
          </w:tcPr>
          <w:p>
            <w:pPr>
              <w:spacing w:after="0"/>
              <w:rPr>
                <w:sz w:val="10"/>
                <w:szCs w:val="10"/>
                <w:color w:val="auto"/>
              </w:rPr>
            </w:pPr>
          </w:p>
        </w:tc>
        <w:tc>
          <w:tcPr>
            <w:tcW w:w="11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318</w:t>
            </w:r>
          </w:p>
        </w:tc>
        <w:tc>
          <w:tcPr>
            <w:tcW w:w="100" w:type="dxa"/>
            <w:vAlign w:val="bottom"/>
            <w:shd w:val="clear" w:color="auto" w:fill="CCEEFF"/>
          </w:tcPr>
          <w:p>
            <w:pPr>
              <w:spacing w:after="0"/>
              <w:rPr>
                <w:sz w:val="10"/>
                <w:szCs w:val="10"/>
                <w:color w:val="auto"/>
              </w:rPr>
            </w:pPr>
          </w:p>
        </w:tc>
        <w:tc>
          <w:tcPr>
            <w:tcW w:w="10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(52)</w:t>
            </w:r>
          </w:p>
        </w:tc>
        <w:tc>
          <w:tcPr>
            <w:tcW w:w="460" w:type="dxa"/>
            <w:vAlign w:val="bottom"/>
            <w:gridSpan w:val="2"/>
            <w:shd w:val="clear" w:color="auto" w:fill="CCEEFF"/>
          </w:tcPr>
          <w:p>
            <w:pPr>
              <w:jc w:val="center"/>
              <w:ind w:right="28"/>
              <w:spacing w:after="0" w:line="126" w:lineRule="exact"/>
              <w:rPr>
                <w:sz w:val="20"/>
                <w:szCs w:val="20"/>
                <w:color w:val="auto"/>
              </w:rPr>
            </w:pPr>
            <w:r>
              <w:rPr>
                <w:rFonts w:ascii="Times New Roman" w:cs="Times New Roman" w:eastAsia="Times New Roman" w:hAnsi="Times New Roman"/>
                <w:sz w:val="14"/>
                <w:szCs w:val="14"/>
                <w:color w:val="auto"/>
              </w:rPr>
              <w:t>7[a]</w:t>
            </w:r>
          </w:p>
        </w:tc>
        <w:tc>
          <w:tcPr>
            <w:tcW w:w="9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340" w:type="dxa"/>
            <w:vAlign w:val="bottom"/>
            <w:gridSpan w:val="2"/>
            <w:vMerge w:val="restart"/>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252</w:t>
            </w: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4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[3]</w:t>
            </w:r>
          </w:p>
        </w:tc>
        <w:tc>
          <w:tcPr>
            <w:tcW w:w="12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(131)</w:t>
            </w:r>
          </w:p>
        </w:tc>
        <w:tc>
          <w:tcPr>
            <w:tcW w:w="460" w:type="dxa"/>
            <w:vAlign w:val="bottom"/>
            <w:gridSpan w:val="2"/>
          </w:tcPr>
          <w:p>
            <w:pPr>
              <w:jc w:val="center"/>
              <w:ind w:right="28"/>
              <w:spacing w:after="0" w:line="126" w:lineRule="exact"/>
              <w:rPr>
                <w:sz w:val="20"/>
                <w:szCs w:val="20"/>
                <w:color w:val="auto"/>
              </w:rPr>
            </w:pPr>
            <w:r>
              <w:rPr>
                <w:rFonts w:ascii="Times New Roman" w:cs="Times New Roman" w:eastAsia="Times New Roman" w:hAnsi="Times New Roman"/>
                <w:sz w:val="14"/>
                <w:szCs w:val="14"/>
                <w:color w:val="auto"/>
              </w:rPr>
              <w:t>7[a]</w:t>
            </w: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3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[4]</w:t>
            </w: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gridSpan w:val="2"/>
            <w:shd w:val="clear" w:color="auto" w:fill="CCEEFF"/>
          </w:tcPr>
          <w:p>
            <w:pPr>
              <w:jc w:val="center"/>
              <w:ind w:right="28"/>
              <w:spacing w:after="0" w:line="126" w:lineRule="exact"/>
              <w:rPr>
                <w:sz w:val="20"/>
                <w:szCs w:val="20"/>
                <w:color w:val="auto"/>
              </w:rPr>
            </w:pPr>
            <w:r>
              <w:rPr>
                <w:rFonts w:ascii="Times New Roman" w:cs="Times New Roman" w:eastAsia="Times New Roman" w:hAnsi="Times New Roman"/>
                <w:sz w:val="14"/>
                <w:szCs w:val="14"/>
                <w:color w:val="auto"/>
              </w:rPr>
              <w:t>7[a]</w:t>
            </w: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3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16</w:t>
            </w: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[5]</w:t>
            </w: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440" w:type="dxa"/>
            <w:vAlign w:val="bottom"/>
            <w:tcBorders>
              <w:bottom w:val="single" w:sz="8" w:color="CCEEFF"/>
            </w:tcBorders>
          </w:tcPr>
          <w:p>
            <w:pPr>
              <w:ind w:left="340"/>
              <w:spacing w:after="0" w:line="155" w:lineRule="exact"/>
              <w:rPr>
                <w:sz w:val="20"/>
                <w:szCs w:val="20"/>
                <w:color w:val="auto"/>
              </w:rPr>
            </w:pPr>
            <w:r>
              <w:rPr>
                <w:rFonts w:ascii="Times New Roman" w:cs="Times New Roman" w:eastAsia="Times New Roman" w:hAnsi="Times New Roman"/>
                <w:sz w:val="14"/>
                <w:szCs w:val="14"/>
                <w:color w:val="auto"/>
              </w:rPr>
              <w:t>Total assets</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7,896</w:t>
            </w:r>
          </w:p>
        </w:tc>
        <w:tc>
          <w:tcPr>
            <w:tcW w:w="22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5,826</w:t>
            </w:r>
          </w:p>
        </w:tc>
        <w:tc>
          <w:tcPr>
            <w:tcW w:w="20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2,910</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2,835</w:t>
            </w:r>
          </w:p>
        </w:tc>
        <w:tc>
          <w:tcPr>
            <w:tcW w:w="440" w:type="dxa"/>
            <w:vAlign w:val="bottom"/>
            <w:tcBorders>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19,467</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344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4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Current liabilities:</w:t>
            </w: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4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266</w:t>
            </w:r>
          </w:p>
        </w:tc>
        <w:tc>
          <w:tcPr>
            <w:tcW w:w="1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243</w:t>
            </w:r>
          </w:p>
        </w:tc>
        <w:tc>
          <w:tcPr>
            <w:tcW w:w="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157</w:t>
            </w:r>
          </w:p>
        </w:tc>
        <w:tc>
          <w:tcPr>
            <w:tcW w:w="4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7[g] $</w:t>
            </w:r>
          </w:p>
        </w:tc>
        <w:tc>
          <w:tcPr>
            <w:tcW w:w="1340" w:type="dxa"/>
            <w:vAlign w:val="bottom"/>
            <w:gridSpan w:val="2"/>
            <w:shd w:val="clear" w:color="auto" w:fill="CCEEFF"/>
          </w:tcPr>
          <w:p>
            <w:pPr>
              <w:jc w:val="right"/>
              <w:ind w:righ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666</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440" w:type="dxa"/>
            <w:vAlign w:val="bottom"/>
            <w:vMerge w:val="restart"/>
          </w:tcPr>
          <w:p>
            <w:pPr>
              <w:ind w:left="180"/>
              <w:spacing w:after="0"/>
              <w:rPr>
                <w:sz w:val="20"/>
                <w:szCs w:val="20"/>
                <w:color w:val="auto"/>
              </w:rPr>
            </w:pPr>
            <w:r>
              <w:rPr>
                <w:rFonts w:ascii="Times New Roman" w:cs="Times New Roman" w:eastAsia="Times New Roman" w:hAnsi="Times New Roman"/>
                <w:sz w:val="14"/>
                <w:szCs w:val="14"/>
                <w:color w:val="auto"/>
              </w:rPr>
              <w:t>Accrued compensation and benefits</w:t>
            </w:r>
          </w:p>
        </w:tc>
        <w:tc>
          <w:tcPr>
            <w:tcW w:w="80" w:type="dxa"/>
            <w:vAlign w:val="bottom"/>
          </w:tcPr>
          <w:p>
            <w:pPr>
              <w:spacing w:after="0"/>
              <w:rPr>
                <w:sz w:val="10"/>
                <w:szCs w:val="10"/>
                <w:color w:val="auto"/>
              </w:rPr>
            </w:pPr>
          </w:p>
        </w:tc>
        <w:tc>
          <w:tcPr>
            <w:tcW w:w="11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138</w:t>
            </w:r>
          </w:p>
        </w:tc>
        <w:tc>
          <w:tcPr>
            <w:tcW w:w="100" w:type="dxa"/>
            <w:vAlign w:val="bottom"/>
          </w:tcPr>
          <w:p>
            <w:pPr>
              <w:spacing w:after="0"/>
              <w:rPr>
                <w:sz w:val="10"/>
                <w:szCs w:val="10"/>
                <w:color w:val="auto"/>
              </w:rPr>
            </w:pPr>
          </w:p>
        </w:tc>
        <w:tc>
          <w:tcPr>
            <w:tcW w:w="11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0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121</w:t>
            </w:r>
          </w:p>
        </w:tc>
        <w:tc>
          <w:tcPr>
            <w:tcW w:w="460" w:type="dxa"/>
            <w:vAlign w:val="bottom"/>
            <w:gridSpan w:val="2"/>
          </w:tcPr>
          <w:p>
            <w:pPr>
              <w:jc w:val="center"/>
              <w:ind w:right="28"/>
              <w:spacing w:after="0" w:line="126" w:lineRule="exact"/>
              <w:rPr>
                <w:sz w:val="20"/>
                <w:szCs w:val="20"/>
                <w:color w:val="auto"/>
              </w:rPr>
            </w:pPr>
            <w:r>
              <w:rPr>
                <w:rFonts w:ascii="Times New Roman" w:cs="Times New Roman" w:eastAsia="Times New Roman" w:hAnsi="Times New Roman"/>
                <w:sz w:val="14"/>
                <w:szCs w:val="14"/>
                <w:color w:val="auto"/>
              </w:rPr>
              <w:t>7[a]</w:t>
            </w:r>
          </w:p>
        </w:tc>
        <w:tc>
          <w:tcPr>
            <w:tcW w:w="9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50</w:t>
            </w:r>
          </w:p>
        </w:tc>
        <w:tc>
          <w:tcPr>
            <w:tcW w:w="420" w:type="dxa"/>
            <w:vAlign w:val="bottom"/>
            <w:gridSpan w:val="2"/>
            <w:vMerge w:val="restart"/>
          </w:tcPr>
          <w:p>
            <w:pPr>
              <w:jc w:val="center"/>
              <w:ind w:right="68"/>
              <w:spacing w:after="0"/>
              <w:rPr>
                <w:sz w:val="20"/>
                <w:szCs w:val="20"/>
                <w:color w:val="auto"/>
              </w:rPr>
            </w:pPr>
            <w:r>
              <w:rPr>
                <w:rFonts w:ascii="Times New Roman" w:cs="Times New Roman" w:eastAsia="Times New Roman" w:hAnsi="Times New Roman"/>
                <w:sz w:val="14"/>
                <w:szCs w:val="14"/>
                <w:color w:val="auto"/>
              </w:rPr>
              <w:t>7[h]</w:t>
            </w:r>
          </w:p>
        </w:tc>
        <w:tc>
          <w:tcPr>
            <w:tcW w:w="134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9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326</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4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3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[6]</w:t>
            </w:r>
          </w:p>
        </w:tc>
        <w:tc>
          <w:tcPr>
            <w:tcW w:w="12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420" w:type="dxa"/>
            <w:vAlign w:val="bottom"/>
            <w:gridSpan w:val="2"/>
            <w:shd w:val="clear" w:color="auto" w:fill="CCEEFF"/>
          </w:tcPr>
          <w:p>
            <w:pPr>
              <w:jc w:val="center"/>
              <w:ind w:right="48"/>
              <w:spacing w:after="0" w:line="149" w:lineRule="exact"/>
              <w:rPr>
                <w:sz w:val="20"/>
                <w:szCs w:val="20"/>
                <w:color w:val="auto"/>
              </w:rPr>
            </w:pPr>
            <w:r>
              <w:rPr>
                <w:rFonts w:ascii="Times New Roman" w:cs="Times New Roman" w:eastAsia="Times New Roman" w:hAnsi="Times New Roman"/>
                <w:sz w:val="14"/>
                <w:szCs w:val="14"/>
                <w:color w:val="auto"/>
              </w:rPr>
              <w:t>7[i]</w:t>
            </w:r>
          </w:p>
        </w:tc>
        <w:tc>
          <w:tcPr>
            <w:tcW w:w="9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4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Current portion of long-term debt</w:t>
            </w:r>
          </w:p>
        </w:tc>
        <w:tc>
          <w:tcPr>
            <w:tcW w:w="80" w:type="dxa"/>
            <w:vAlign w:val="bottom"/>
          </w:tcPr>
          <w:p>
            <w:pPr>
              <w:spacing w:after="0"/>
              <w:rPr>
                <w:sz w:val="12"/>
                <w:szCs w:val="12"/>
                <w:color w:val="auto"/>
              </w:rPr>
            </w:pPr>
          </w:p>
        </w:tc>
        <w:tc>
          <w:tcPr>
            <w:tcW w:w="11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500</w:t>
            </w:r>
          </w:p>
        </w:tc>
        <w:tc>
          <w:tcPr>
            <w:tcW w:w="100" w:type="dxa"/>
            <w:vAlign w:val="bottom"/>
          </w:tcPr>
          <w:p>
            <w:pPr>
              <w:spacing w:after="0"/>
              <w:rPr>
                <w:sz w:val="12"/>
                <w:szCs w:val="12"/>
                <w:color w:val="auto"/>
              </w:rPr>
            </w:pPr>
          </w:p>
        </w:tc>
        <w:tc>
          <w:tcPr>
            <w:tcW w:w="11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right"/>
              <w:ind w:righ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500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44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Accrued liabilities</w:t>
            </w:r>
          </w:p>
        </w:tc>
        <w:tc>
          <w:tcPr>
            <w:tcW w:w="80" w:type="dxa"/>
            <w:vAlign w:val="bottom"/>
            <w:shd w:val="clear" w:color="auto" w:fill="CCEEFF"/>
          </w:tcPr>
          <w:p>
            <w:pPr>
              <w:spacing w:after="0"/>
              <w:rPr>
                <w:sz w:val="10"/>
                <w:szCs w:val="10"/>
                <w:color w:val="auto"/>
              </w:rPr>
            </w:pPr>
          </w:p>
        </w:tc>
        <w:tc>
          <w:tcPr>
            <w:tcW w:w="11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11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248</w:t>
            </w:r>
          </w:p>
        </w:tc>
        <w:tc>
          <w:tcPr>
            <w:tcW w:w="100" w:type="dxa"/>
            <w:vAlign w:val="bottom"/>
            <w:shd w:val="clear" w:color="auto" w:fill="CCEEFF"/>
          </w:tcPr>
          <w:p>
            <w:pPr>
              <w:spacing w:after="0"/>
              <w:rPr>
                <w:sz w:val="10"/>
                <w:szCs w:val="10"/>
                <w:color w:val="auto"/>
              </w:rPr>
            </w:pPr>
          </w:p>
        </w:tc>
        <w:tc>
          <w:tcPr>
            <w:tcW w:w="10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(121)</w:t>
            </w:r>
          </w:p>
        </w:tc>
        <w:tc>
          <w:tcPr>
            <w:tcW w:w="460" w:type="dxa"/>
            <w:vAlign w:val="bottom"/>
            <w:gridSpan w:val="2"/>
            <w:shd w:val="clear" w:color="auto" w:fill="CCEEFF"/>
          </w:tcPr>
          <w:p>
            <w:pPr>
              <w:jc w:val="center"/>
              <w:ind w:right="28"/>
              <w:spacing w:after="0" w:line="126" w:lineRule="exact"/>
              <w:rPr>
                <w:sz w:val="20"/>
                <w:szCs w:val="20"/>
                <w:color w:val="auto"/>
              </w:rPr>
            </w:pPr>
            <w:r>
              <w:rPr>
                <w:rFonts w:ascii="Times New Roman" w:cs="Times New Roman" w:eastAsia="Times New Roman" w:hAnsi="Times New Roman"/>
                <w:sz w:val="14"/>
                <w:szCs w:val="14"/>
                <w:color w:val="auto"/>
              </w:rPr>
              <w:t>7[a]</w:t>
            </w:r>
          </w:p>
        </w:tc>
        <w:tc>
          <w:tcPr>
            <w:tcW w:w="9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340" w:type="dxa"/>
            <w:vAlign w:val="bottom"/>
            <w:gridSpan w:val="2"/>
            <w:vMerge w:val="restart"/>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102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4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[6]</w:t>
            </w:r>
          </w:p>
        </w:tc>
        <w:tc>
          <w:tcPr>
            <w:tcW w:w="12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gridSpan w:val="3"/>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(127)</w:t>
            </w:r>
          </w:p>
        </w:tc>
        <w:tc>
          <w:tcPr>
            <w:tcW w:w="460" w:type="dxa"/>
            <w:vAlign w:val="bottom"/>
            <w:gridSpan w:val="2"/>
          </w:tcPr>
          <w:p>
            <w:pPr>
              <w:jc w:val="center"/>
              <w:ind w:right="28"/>
              <w:spacing w:after="0" w:line="126" w:lineRule="exact"/>
              <w:rPr>
                <w:sz w:val="20"/>
                <w:szCs w:val="20"/>
                <w:color w:val="auto"/>
              </w:rPr>
            </w:pPr>
            <w:r>
              <w:rPr>
                <w:rFonts w:ascii="Times New Roman" w:cs="Times New Roman" w:eastAsia="Times New Roman" w:hAnsi="Times New Roman"/>
                <w:sz w:val="14"/>
                <w:szCs w:val="14"/>
                <w:color w:val="auto"/>
              </w:rPr>
              <w:t>7[a]</w:t>
            </w: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3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[7]</w:t>
            </w: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gridSpan w:val="2"/>
            <w:shd w:val="clear" w:color="auto" w:fill="CCEEFF"/>
          </w:tcPr>
          <w:p>
            <w:pPr>
              <w:jc w:val="center"/>
              <w:ind w:right="28"/>
              <w:spacing w:after="0" w:line="126" w:lineRule="exact"/>
              <w:rPr>
                <w:sz w:val="20"/>
                <w:szCs w:val="20"/>
                <w:color w:val="auto"/>
              </w:rPr>
            </w:pPr>
            <w:r>
              <w:rPr>
                <w:rFonts w:ascii="Times New Roman" w:cs="Times New Roman" w:eastAsia="Times New Roman" w:hAnsi="Times New Roman"/>
                <w:sz w:val="14"/>
                <w:szCs w:val="14"/>
                <w:color w:val="auto"/>
              </w:rPr>
              <w:t>7[a]</w:t>
            </w: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3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412</w:t>
            </w: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222</w:t>
            </w: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127</w:t>
            </w: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[7]</w:t>
            </w:r>
          </w:p>
        </w:tc>
        <w:tc>
          <w:tcPr>
            <w:tcW w:w="1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761</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3440" w:type="dxa"/>
            <w:vAlign w:val="bottom"/>
          </w:tcPr>
          <w:p>
            <w:pPr>
              <w:ind w:left="340"/>
              <w:spacing w:after="0" w:line="142" w:lineRule="exact"/>
              <w:rPr>
                <w:sz w:val="20"/>
                <w:szCs w:val="20"/>
                <w:color w:val="auto"/>
              </w:rPr>
            </w:pPr>
            <w:r>
              <w:rPr>
                <w:rFonts w:ascii="Times New Roman" w:cs="Times New Roman" w:eastAsia="Times New Roman" w:hAnsi="Times New Roman"/>
                <w:sz w:val="14"/>
                <w:szCs w:val="14"/>
                <w:color w:val="auto"/>
              </w:rPr>
              <w:t>Total current liabilities</w:t>
            </w:r>
          </w:p>
        </w:tc>
        <w:tc>
          <w:tcPr>
            <w:tcW w:w="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1,316</w:t>
            </w: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713</w:t>
            </w: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224</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2,253</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Long-term debt</w:t>
            </w: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497</w:t>
            </w:r>
          </w:p>
        </w:tc>
        <w:tc>
          <w:tcPr>
            <w:tcW w:w="1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1,549</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(91)</w:t>
            </w:r>
          </w:p>
        </w:tc>
        <w:tc>
          <w:tcPr>
            <w:tcW w:w="420" w:type="dxa"/>
            <w:vAlign w:val="bottom"/>
            <w:gridSpan w:val="2"/>
            <w:shd w:val="clear" w:color="auto" w:fill="CCEEFF"/>
          </w:tcPr>
          <w:p>
            <w:pPr>
              <w:jc w:val="center"/>
              <w:ind w:right="48"/>
              <w:spacing w:after="0" w:line="149" w:lineRule="exact"/>
              <w:rPr>
                <w:sz w:val="20"/>
                <w:szCs w:val="20"/>
                <w:color w:val="auto"/>
              </w:rPr>
            </w:pPr>
            <w:r>
              <w:rPr>
                <w:rFonts w:ascii="Times New Roman" w:cs="Times New Roman" w:eastAsia="Times New Roman" w:hAnsi="Times New Roman"/>
                <w:sz w:val="14"/>
                <w:szCs w:val="14"/>
                <w:color w:val="auto"/>
              </w:rPr>
              <w:t>7[j]</w:t>
            </w:r>
          </w:p>
        </w:tc>
        <w:tc>
          <w:tcPr>
            <w:tcW w:w="13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2,8357[l]</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4,790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4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Long-term tax liabilities</w:t>
            </w:r>
          </w:p>
        </w:tc>
        <w:tc>
          <w:tcPr>
            <w:tcW w:w="80" w:type="dxa"/>
            <w:vAlign w:val="bottom"/>
          </w:tcPr>
          <w:p>
            <w:pPr>
              <w:spacing w:after="0"/>
              <w:rPr>
                <w:sz w:val="10"/>
                <w:szCs w:val="10"/>
                <w:color w:val="auto"/>
              </w:rPr>
            </w:pPr>
          </w:p>
        </w:tc>
        <w:tc>
          <w:tcPr>
            <w:tcW w:w="11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97</w:t>
            </w:r>
          </w:p>
        </w:tc>
        <w:tc>
          <w:tcPr>
            <w:tcW w:w="100" w:type="dxa"/>
            <w:vAlign w:val="bottom"/>
          </w:tcPr>
          <w:p>
            <w:pPr>
              <w:spacing w:after="0"/>
              <w:rPr>
                <w:sz w:val="10"/>
                <w:szCs w:val="10"/>
                <w:color w:val="auto"/>
              </w:rPr>
            </w:pPr>
          </w:p>
        </w:tc>
        <w:tc>
          <w:tcPr>
            <w:tcW w:w="11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0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89</w:t>
            </w:r>
          </w:p>
        </w:tc>
        <w:tc>
          <w:tcPr>
            <w:tcW w:w="460" w:type="dxa"/>
            <w:vAlign w:val="bottom"/>
            <w:gridSpan w:val="2"/>
          </w:tcPr>
          <w:p>
            <w:pPr>
              <w:jc w:val="center"/>
              <w:ind w:right="28"/>
              <w:spacing w:after="0" w:line="126" w:lineRule="exact"/>
              <w:rPr>
                <w:sz w:val="20"/>
                <w:szCs w:val="20"/>
                <w:color w:val="auto"/>
              </w:rPr>
            </w:pPr>
            <w:r>
              <w:rPr>
                <w:rFonts w:ascii="Times New Roman" w:cs="Times New Roman" w:eastAsia="Times New Roman" w:hAnsi="Times New Roman"/>
                <w:sz w:val="14"/>
                <w:szCs w:val="14"/>
                <w:color w:val="auto"/>
              </w:rPr>
              <w:t>7[a]</w:t>
            </w:r>
          </w:p>
        </w:tc>
        <w:tc>
          <w:tcPr>
            <w:tcW w:w="9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(131)</w:t>
            </w:r>
          </w:p>
        </w:tc>
        <w:tc>
          <w:tcPr>
            <w:tcW w:w="420" w:type="dxa"/>
            <w:vAlign w:val="bottom"/>
            <w:gridSpan w:val="2"/>
            <w:vMerge w:val="restart"/>
          </w:tcPr>
          <w:p>
            <w:pPr>
              <w:jc w:val="center"/>
              <w:ind w:right="48"/>
              <w:spacing w:after="0"/>
              <w:rPr>
                <w:sz w:val="20"/>
                <w:szCs w:val="20"/>
                <w:color w:val="auto"/>
              </w:rPr>
            </w:pPr>
            <w:r>
              <w:rPr>
                <w:rFonts w:ascii="Times New Roman" w:cs="Times New Roman" w:eastAsia="Times New Roman" w:hAnsi="Times New Roman"/>
                <w:sz w:val="14"/>
                <w:szCs w:val="14"/>
                <w:color w:val="auto"/>
              </w:rPr>
              <w:t>7[f]</w:t>
            </w:r>
          </w:p>
        </w:tc>
        <w:tc>
          <w:tcPr>
            <w:tcW w:w="134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9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795</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4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3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[8]</w:t>
            </w:r>
          </w:p>
        </w:tc>
        <w:tc>
          <w:tcPr>
            <w:tcW w:w="12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740</w:t>
            </w:r>
          </w:p>
        </w:tc>
        <w:tc>
          <w:tcPr>
            <w:tcW w:w="420" w:type="dxa"/>
            <w:vAlign w:val="bottom"/>
            <w:gridSpan w:val="2"/>
            <w:shd w:val="clear" w:color="auto" w:fill="CCEEFF"/>
          </w:tcPr>
          <w:p>
            <w:pPr>
              <w:jc w:val="center"/>
              <w:ind w:right="48"/>
              <w:spacing w:after="0" w:line="149" w:lineRule="exact"/>
              <w:rPr>
                <w:sz w:val="20"/>
                <w:szCs w:val="20"/>
                <w:color w:val="auto"/>
              </w:rPr>
            </w:pPr>
            <w:r>
              <w:rPr>
                <w:rFonts w:ascii="Times New Roman" w:cs="Times New Roman" w:eastAsia="Times New Roman" w:hAnsi="Times New Roman"/>
                <w:sz w:val="14"/>
                <w:szCs w:val="14"/>
                <w:color w:val="auto"/>
              </w:rPr>
              <w:t>7[f]</w:t>
            </w:r>
          </w:p>
        </w:tc>
        <w:tc>
          <w:tcPr>
            <w:tcW w:w="9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4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Long-term operating lease liabilities</w:t>
            </w:r>
          </w:p>
        </w:tc>
        <w:tc>
          <w:tcPr>
            <w:tcW w:w="80" w:type="dxa"/>
            <w:vAlign w:val="bottom"/>
          </w:tcPr>
          <w:p>
            <w:pPr>
              <w:spacing w:after="0"/>
              <w:rPr>
                <w:sz w:val="10"/>
                <w:szCs w:val="10"/>
                <w:color w:val="auto"/>
              </w:rPr>
            </w:pPr>
          </w:p>
        </w:tc>
        <w:tc>
          <w:tcPr>
            <w:tcW w:w="11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156</w:t>
            </w:r>
          </w:p>
        </w:tc>
        <w:tc>
          <w:tcPr>
            <w:tcW w:w="100" w:type="dxa"/>
            <w:vAlign w:val="bottom"/>
          </w:tcPr>
          <w:p>
            <w:pPr>
              <w:spacing w:after="0"/>
              <w:rPr>
                <w:sz w:val="10"/>
                <w:szCs w:val="10"/>
                <w:color w:val="auto"/>
              </w:rPr>
            </w:pPr>
          </w:p>
        </w:tc>
        <w:tc>
          <w:tcPr>
            <w:tcW w:w="11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0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40</w:t>
            </w:r>
          </w:p>
        </w:tc>
        <w:tc>
          <w:tcPr>
            <w:tcW w:w="460" w:type="dxa"/>
            <w:vAlign w:val="bottom"/>
            <w:gridSpan w:val="2"/>
          </w:tcPr>
          <w:p>
            <w:pPr>
              <w:jc w:val="center"/>
              <w:ind w:right="28"/>
              <w:spacing w:after="0" w:line="126" w:lineRule="exact"/>
              <w:rPr>
                <w:sz w:val="20"/>
                <w:szCs w:val="20"/>
                <w:color w:val="auto"/>
              </w:rPr>
            </w:pPr>
            <w:r>
              <w:rPr>
                <w:rFonts w:ascii="Times New Roman" w:cs="Times New Roman" w:eastAsia="Times New Roman" w:hAnsi="Times New Roman"/>
                <w:sz w:val="14"/>
                <w:szCs w:val="14"/>
                <w:color w:val="auto"/>
              </w:rPr>
              <w:t>7[a]</w:t>
            </w:r>
          </w:p>
        </w:tc>
        <w:tc>
          <w:tcPr>
            <w:tcW w:w="9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4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9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196</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4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3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[9]</w:t>
            </w:r>
          </w:p>
        </w:tc>
        <w:tc>
          <w:tcPr>
            <w:tcW w:w="12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4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80" w:type="dxa"/>
            <w:vAlign w:val="bottom"/>
            <w:shd w:val="clear" w:color="auto" w:fill="CCEEFF"/>
          </w:tcPr>
          <w:p>
            <w:pPr>
              <w:spacing w:after="0"/>
              <w:rPr>
                <w:sz w:val="10"/>
                <w:szCs w:val="10"/>
                <w:color w:val="auto"/>
              </w:rPr>
            </w:pPr>
          </w:p>
        </w:tc>
        <w:tc>
          <w:tcPr>
            <w:tcW w:w="11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64</w:t>
            </w:r>
          </w:p>
        </w:tc>
        <w:tc>
          <w:tcPr>
            <w:tcW w:w="100" w:type="dxa"/>
            <w:vAlign w:val="bottom"/>
            <w:shd w:val="clear" w:color="auto" w:fill="CCEEFF"/>
          </w:tcPr>
          <w:p>
            <w:pPr>
              <w:spacing w:after="0"/>
              <w:rPr>
                <w:sz w:val="10"/>
                <w:szCs w:val="10"/>
                <w:color w:val="auto"/>
              </w:rPr>
            </w:pPr>
          </w:p>
        </w:tc>
        <w:tc>
          <w:tcPr>
            <w:tcW w:w="11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219</w:t>
            </w:r>
          </w:p>
        </w:tc>
        <w:tc>
          <w:tcPr>
            <w:tcW w:w="100" w:type="dxa"/>
            <w:vAlign w:val="bottom"/>
            <w:shd w:val="clear" w:color="auto" w:fill="CCEEFF"/>
          </w:tcPr>
          <w:p>
            <w:pPr>
              <w:spacing w:after="0"/>
              <w:rPr>
                <w:sz w:val="10"/>
                <w:szCs w:val="10"/>
                <w:color w:val="auto"/>
              </w:rPr>
            </w:pPr>
          </w:p>
        </w:tc>
        <w:tc>
          <w:tcPr>
            <w:tcW w:w="10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(89)</w:t>
            </w:r>
          </w:p>
        </w:tc>
        <w:tc>
          <w:tcPr>
            <w:tcW w:w="460" w:type="dxa"/>
            <w:vAlign w:val="bottom"/>
            <w:gridSpan w:val="2"/>
            <w:shd w:val="clear" w:color="auto" w:fill="CCEEFF"/>
          </w:tcPr>
          <w:p>
            <w:pPr>
              <w:jc w:val="center"/>
              <w:ind w:right="28"/>
              <w:spacing w:after="0" w:line="126" w:lineRule="exact"/>
              <w:rPr>
                <w:sz w:val="20"/>
                <w:szCs w:val="20"/>
                <w:color w:val="auto"/>
              </w:rPr>
            </w:pPr>
            <w:r>
              <w:rPr>
                <w:rFonts w:ascii="Times New Roman" w:cs="Times New Roman" w:eastAsia="Times New Roman" w:hAnsi="Times New Roman"/>
                <w:sz w:val="14"/>
                <w:szCs w:val="14"/>
                <w:color w:val="auto"/>
              </w:rPr>
              <w:t>7[a]</w:t>
            </w:r>
          </w:p>
        </w:tc>
        <w:tc>
          <w:tcPr>
            <w:tcW w:w="9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(17)</w:t>
            </w:r>
          </w:p>
        </w:tc>
        <w:tc>
          <w:tcPr>
            <w:tcW w:w="420" w:type="dxa"/>
            <w:vAlign w:val="bottom"/>
            <w:gridSpan w:val="2"/>
            <w:vMerge w:val="restart"/>
            <w:shd w:val="clear" w:color="auto" w:fill="CCEEFF"/>
          </w:tcPr>
          <w:p>
            <w:pPr>
              <w:jc w:val="center"/>
              <w:ind w:right="48"/>
              <w:spacing w:after="0"/>
              <w:rPr>
                <w:sz w:val="20"/>
                <w:szCs w:val="20"/>
                <w:color w:val="auto"/>
              </w:rPr>
            </w:pPr>
            <w:r>
              <w:rPr>
                <w:rFonts w:ascii="Times New Roman" w:cs="Times New Roman" w:eastAsia="Times New Roman" w:hAnsi="Times New Roman"/>
                <w:sz w:val="14"/>
                <w:szCs w:val="14"/>
                <w:color w:val="auto"/>
              </w:rPr>
              <w:t>7[i]</w:t>
            </w:r>
          </w:p>
        </w:tc>
        <w:tc>
          <w:tcPr>
            <w:tcW w:w="1340" w:type="dxa"/>
            <w:vAlign w:val="bottom"/>
            <w:gridSpan w:val="2"/>
            <w:vMerge w:val="restart"/>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137</w:t>
            </w: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4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[8]</w:t>
            </w:r>
          </w:p>
        </w:tc>
        <w:tc>
          <w:tcPr>
            <w:tcW w:w="12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420" w:type="dxa"/>
            <w:vAlign w:val="bottom"/>
            <w:gridSpan w:val="2"/>
            <w:vMerge w:val="continue"/>
            <w:shd w:val="clear" w:color="auto" w:fill="CCEEFF"/>
          </w:tcPr>
          <w:p>
            <w:pPr>
              <w:spacing w:after="0"/>
              <w:rPr>
                <w:sz w:val="14"/>
                <w:szCs w:val="14"/>
                <w:color w:val="auto"/>
              </w:rPr>
            </w:pPr>
          </w:p>
        </w:tc>
        <w:tc>
          <w:tcPr>
            <w:tcW w:w="13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gridSpan w:val="2"/>
          </w:tcPr>
          <w:p>
            <w:pPr>
              <w:jc w:val="center"/>
              <w:ind w:right="28"/>
              <w:spacing w:after="0" w:line="126" w:lineRule="exact"/>
              <w:rPr>
                <w:sz w:val="20"/>
                <w:szCs w:val="20"/>
                <w:color w:val="auto"/>
              </w:rPr>
            </w:pPr>
            <w:r>
              <w:rPr>
                <w:rFonts w:ascii="Times New Roman" w:cs="Times New Roman" w:eastAsia="Times New Roman" w:hAnsi="Times New Roman"/>
                <w:sz w:val="14"/>
                <w:szCs w:val="14"/>
                <w:color w:val="auto"/>
              </w:rPr>
              <w:t>7[a]</w:t>
            </w: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3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(40)</w:t>
            </w:r>
          </w:p>
        </w:tc>
        <w:tc>
          <w:tcPr>
            <w:tcW w:w="3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[9]</w:t>
            </w: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3440" w:type="dxa"/>
            <w:vAlign w:val="bottom"/>
            <w:tcBorders>
              <w:top w:val="single" w:sz="8" w:color="CCEEFF"/>
            </w:tcBorders>
            <w:shd w:val="clear" w:color="auto" w:fill="CCEEFF"/>
          </w:tcPr>
          <w:p>
            <w:pPr>
              <w:ind w:left="340"/>
              <w:spacing w:after="0" w:line="142" w:lineRule="exact"/>
              <w:rPr>
                <w:sz w:val="20"/>
                <w:szCs w:val="20"/>
                <w:color w:val="auto"/>
              </w:rPr>
            </w:pPr>
            <w:r>
              <w:rPr>
                <w:rFonts w:ascii="Times New Roman" w:cs="Times New Roman" w:eastAsia="Times New Roman" w:hAnsi="Times New Roman"/>
                <w:sz w:val="14"/>
                <w:szCs w:val="14"/>
                <w:color w:val="auto"/>
              </w:rPr>
              <w:t>Total liabilities</w:t>
            </w:r>
          </w:p>
        </w:tc>
        <w:tc>
          <w:tcPr>
            <w:tcW w:w="8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2,130</w:t>
            </w: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2,481</w:t>
            </w:r>
          </w:p>
        </w:tc>
        <w:tc>
          <w:tcPr>
            <w:tcW w:w="2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725</w:t>
            </w:r>
          </w:p>
        </w:tc>
        <w:tc>
          <w:tcPr>
            <w:tcW w:w="8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2,835</w:t>
            </w:r>
          </w:p>
        </w:tc>
        <w:tc>
          <w:tcPr>
            <w:tcW w:w="4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8,171</w:t>
            </w: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Commitments and contingencies</w:t>
            </w: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Stockholders’ equity:</w:t>
            </w: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4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Common stock</w:t>
            </w:r>
          </w:p>
        </w:tc>
        <w:tc>
          <w:tcPr>
            <w:tcW w:w="80" w:type="dxa"/>
            <w:vAlign w:val="bottom"/>
          </w:tcPr>
          <w:p>
            <w:pPr>
              <w:spacing w:after="0"/>
              <w:rPr>
                <w:sz w:val="12"/>
                <w:szCs w:val="12"/>
                <w:color w:val="auto"/>
              </w:rPr>
            </w:pPr>
          </w:p>
        </w:tc>
        <w:tc>
          <w:tcPr>
            <w:tcW w:w="11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38</w:t>
            </w:r>
          </w:p>
        </w:tc>
        <w:tc>
          <w:tcPr>
            <w:tcW w:w="100" w:type="dxa"/>
            <w:vAlign w:val="bottom"/>
          </w:tcPr>
          <w:p>
            <w:pPr>
              <w:spacing w:after="0"/>
              <w:rPr>
                <w:sz w:val="12"/>
                <w:szCs w:val="12"/>
                <w:color w:val="auto"/>
              </w:rPr>
            </w:pPr>
          </w:p>
        </w:tc>
        <w:tc>
          <w:tcPr>
            <w:tcW w:w="11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3,302</w:t>
            </w:r>
          </w:p>
        </w:tc>
        <w:tc>
          <w:tcPr>
            <w:tcW w:w="10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4"/>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(3,302) 7[k]</w:t>
            </w:r>
          </w:p>
        </w:tc>
        <w:tc>
          <w:tcPr>
            <w:tcW w:w="1340" w:type="dxa"/>
            <w:vAlign w:val="bottom"/>
            <w:gridSpan w:val="2"/>
          </w:tcPr>
          <w:p>
            <w:pPr>
              <w:jc w:val="right"/>
              <w:ind w:righ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60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22</w:t>
            </w:r>
          </w:p>
        </w:tc>
        <w:tc>
          <w:tcPr>
            <w:tcW w:w="420" w:type="dxa"/>
            <w:vAlign w:val="bottom"/>
            <w:gridSpan w:val="2"/>
            <w:shd w:val="clear" w:color="auto" w:fill="CCEEFF"/>
          </w:tcPr>
          <w:p>
            <w:pPr>
              <w:jc w:val="center"/>
              <w:ind w:right="68"/>
              <w:spacing w:after="0" w:line="149" w:lineRule="exact"/>
              <w:rPr>
                <w:sz w:val="20"/>
                <w:szCs w:val="20"/>
                <w:color w:val="auto"/>
              </w:rPr>
            </w:pPr>
            <w:r>
              <w:rPr>
                <w:rFonts w:ascii="Times New Roman" w:cs="Times New Roman" w:eastAsia="Times New Roman" w:hAnsi="Times New Roman"/>
                <w:sz w:val="14"/>
                <w:szCs w:val="14"/>
                <w:color w:val="auto"/>
              </w:rPr>
              <w:t>7[b]</w:t>
            </w:r>
          </w:p>
        </w:tc>
        <w:tc>
          <w:tcPr>
            <w:tcW w:w="9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4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Additional paid-in capital</w:t>
            </w:r>
          </w:p>
        </w:tc>
        <w:tc>
          <w:tcPr>
            <w:tcW w:w="80" w:type="dxa"/>
            <w:vAlign w:val="bottom"/>
          </w:tcPr>
          <w:p>
            <w:pPr>
              <w:spacing w:after="0"/>
              <w:rPr>
                <w:sz w:val="12"/>
                <w:szCs w:val="12"/>
                <w:color w:val="auto"/>
              </w:rPr>
            </w:pPr>
          </w:p>
        </w:tc>
        <w:tc>
          <w:tcPr>
            <w:tcW w:w="11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175</w:t>
            </w:r>
          </w:p>
        </w:tc>
        <w:tc>
          <w:tcPr>
            <w:tcW w:w="100" w:type="dxa"/>
            <w:vAlign w:val="bottom"/>
          </w:tcPr>
          <w:p>
            <w:pPr>
              <w:spacing w:after="0"/>
              <w:rPr>
                <w:sz w:val="12"/>
                <w:szCs w:val="12"/>
                <w:color w:val="auto"/>
              </w:rPr>
            </w:pPr>
          </w:p>
        </w:tc>
        <w:tc>
          <w:tcPr>
            <w:tcW w:w="11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5,715</w:t>
            </w:r>
          </w:p>
        </w:tc>
        <w:tc>
          <w:tcPr>
            <w:tcW w:w="420" w:type="dxa"/>
            <w:vAlign w:val="bottom"/>
            <w:gridSpan w:val="2"/>
          </w:tcPr>
          <w:p>
            <w:pPr>
              <w:jc w:val="center"/>
              <w:ind w:right="68"/>
              <w:spacing w:after="0" w:line="149" w:lineRule="exact"/>
              <w:rPr>
                <w:sz w:val="20"/>
                <w:szCs w:val="20"/>
                <w:color w:val="auto"/>
              </w:rPr>
            </w:pPr>
            <w:r>
              <w:rPr>
                <w:rFonts w:ascii="Times New Roman" w:cs="Times New Roman" w:eastAsia="Times New Roman" w:hAnsi="Times New Roman"/>
                <w:sz w:val="14"/>
                <w:szCs w:val="14"/>
                <w:color w:val="auto"/>
              </w:rPr>
              <w:t>7[b]</w:t>
            </w:r>
          </w:p>
        </w:tc>
        <w:tc>
          <w:tcPr>
            <w:tcW w:w="1340" w:type="dxa"/>
            <w:vAlign w:val="bottom"/>
            <w:gridSpan w:val="2"/>
          </w:tcPr>
          <w:p>
            <w:pPr>
              <w:jc w:val="right"/>
              <w:ind w:righ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5,890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4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Retained earnings</w:t>
            </w: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5,558</w:t>
            </w:r>
          </w:p>
        </w:tc>
        <w:tc>
          <w:tcPr>
            <w:tcW w:w="1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39</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80" w:type="dxa"/>
            <w:vAlign w:val="bottom"/>
            <w:gridSpan w:val="4"/>
            <w:shd w:val="clear" w:color="auto" w:fill="CCEEFF"/>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(39) 7[k]</w:t>
            </w:r>
          </w:p>
        </w:tc>
        <w:tc>
          <w:tcPr>
            <w:tcW w:w="1340" w:type="dxa"/>
            <w:vAlign w:val="bottom"/>
            <w:gridSpan w:val="2"/>
            <w:shd w:val="clear" w:color="auto" w:fill="CCEEFF"/>
          </w:tcPr>
          <w:p>
            <w:pPr>
              <w:jc w:val="right"/>
              <w:ind w:righ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5,351</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(157)</w:t>
            </w:r>
          </w:p>
        </w:tc>
        <w:tc>
          <w:tcPr>
            <w:tcW w:w="420" w:type="dxa"/>
            <w:vAlign w:val="bottom"/>
            <w:gridSpan w:val="2"/>
          </w:tcPr>
          <w:p>
            <w:pPr>
              <w:jc w:val="center"/>
              <w:ind w:right="68"/>
              <w:spacing w:after="0" w:line="149" w:lineRule="exact"/>
              <w:rPr>
                <w:sz w:val="20"/>
                <w:szCs w:val="20"/>
                <w:color w:val="auto"/>
              </w:rPr>
            </w:pPr>
            <w:r>
              <w:rPr>
                <w:rFonts w:ascii="Times New Roman" w:cs="Times New Roman" w:eastAsia="Times New Roman" w:hAnsi="Times New Roman"/>
                <w:sz w:val="14"/>
                <w:szCs w:val="14"/>
                <w:color w:val="auto"/>
              </w:rPr>
              <w:t>7[g]</w:t>
            </w:r>
          </w:p>
        </w:tc>
        <w:tc>
          <w:tcPr>
            <w:tcW w:w="9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(50)</w:t>
            </w:r>
          </w:p>
        </w:tc>
        <w:tc>
          <w:tcPr>
            <w:tcW w:w="420" w:type="dxa"/>
            <w:vAlign w:val="bottom"/>
            <w:gridSpan w:val="2"/>
            <w:shd w:val="clear" w:color="auto" w:fill="CCEEFF"/>
          </w:tcPr>
          <w:p>
            <w:pPr>
              <w:jc w:val="center"/>
              <w:ind w:right="68"/>
              <w:spacing w:after="0" w:line="149" w:lineRule="exact"/>
              <w:rPr>
                <w:sz w:val="20"/>
                <w:szCs w:val="20"/>
                <w:color w:val="auto"/>
              </w:rPr>
            </w:pPr>
            <w:r>
              <w:rPr>
                <w:rFonts w:ascii="Times New Roman" w:cs="Times New Roman" w:eastAsia="Times New Roman" w:hAnsi="Times New Roman"/>
                <w:sz w:val="14"/>
                <w:szCs w:val="14"/>
                <w:color w:val="auto"/>
              </w:rPr>
              <w:t>7[h]</w:t>
            </w:r>
          </w:p>
        </w:tc>
        <w:tc>
          <w:tcPr>
            <w:tcW w:w="9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4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80" w:type="dxa"/>
            <w:vAlign w:val="bottom"/>
          </w:tcPr>
          <w:p>
            <w:pPr>
              <w:spacing w:after="0"/>
              <w:rPr>
                <w:sz w:val="14"/>
                <w:szCs w:val="14"/>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4"/>
                <w:szCs w:val="14"/>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4"/>
          </w:tcPr>
          <w:p>
            <w:pPr>
              <w:jc w:val="right"/>
              <w:ind w:right="88"/>
              <w:spacing w:after="0"/>
              <w:rPr>
                <w:sz w:val="20"/>
                <w:szCs w:val="20"/>
                <w:color w:val="auto"/>
              </w:rPr>
            </w:pPr>
            <w:r>
              <w:rPr>
                <w:rFonts w:ascii="Times New Roman" w:cs="Times New Roman" w:eastAsia="Times New Roman" w:hAnsi="Times New Roman"/>
                <w:sz w:val="14"/>
                <w:szCs w:val="14"/>
                <w:color w:val="auto"/>
              </w:rPr>
              <w:t>(4) 7[k]</w:t>
            </w:r>
          </w:p>
        </w:tc>
        <w:tc>
          <w:tcPr>
            <w:tcW w:w="134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02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42"/>
        </w:trPr>
        <w:tc>
          <w:tcPr>
            <w:tcW w:w="3440" w:type="dxa"/>
            <w:vAlign w:val="bottom"/>
            <w:tcBorders>
              <w:top w:val="single" w:sz="8" w:color="CCEEFF"/>
            </w:tcBorders>
            <w:shd w:val="clear" w:color="auto" w:fill="CCEEFF"/>
          </w:tcPr>
          <w:p>
            <w:pPr>
              <w:ind w:left="340"/>
              <w:spacing w:after="0" w:line="142" w:lineRule="exact"/>
              <w:rPr>
                <w:sz w:val="20"/>
                <w:szCs w:val="20"/>
                <w:color w:val="auto"/>
              </w:rPr>
            </w:pPr>
            <w:r>
              <w:rPr>
                <w:rFonts w:ascii="Times New Roman" w:cs="Times New Roman" w:eastAsia="Times New Roman" w:hAnsi="Times New Roman"/>
                <w:sz w:val="14"/>
                <w:szCs w:val="14"/>
                <w:color w:val="auto"/>
              </w:rPr>
              <w:t>Total stockholders’ equity</w:t>
            </w: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9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5,766</w:t>
            </w: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3,345</w:t>
            </w:r>
          </w:p>
        </w:tc>
        <w:tc>
          <w:tcPr>
            <w:tcW w:w="2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8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2,185</w:t>
            </w:r>
          </w:p>
        </w:tc>
        <w:tc>
          <w:tcPr>
            <w:tcW w:w="8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9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11,296</w:t>
            </w: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440" w:type="dxa"/>
            <w:vAlign w:val="bottom"/>
          </w:tcPr>
          <w:p>
            <w:pPr>
              <w:ind w:left="500"/>
              <w:spacing w:after="0" w:line="155" w:lineRule="exact"/>
              <w:rPr>
                <w:sz w:val="20"/>
                <w:szCs w:val="20"/>
                <w:color w:val="auto"/>
              </w:rPr>
            </w:pPr>
            <w:r>
              <w:rPr>
                <w:rFonts w:ascii="Times New Roman" w:cs="Times New Roman" w:eastAsia="Times New Roman" w:hAnsi="Times New Roman"/>
                <w:sz w:val="14"/>
                <w:szCs w:val="14"/>
                <w:color w:val="auto"/>
              </w:rPr>
              <w:t>Total liabilities and stockholders’ equity</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7,896</w:t>
            </w: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5,826</w:t>
            </w:r>
          </w:p>
        </w:tc>
        <w:tc>
          <w:tcPr>
            <w:tcW w:w="200" w:type="dxa"/>
            <w:vAlign w:val="bottom"/>
          </w:tcPr>
          <w:p>
            <w:pPr>
              <w:spacing w:after="0"/>
              <w:rPr>
                <w:sz w:val="13"/>
                <w:szCs w:val="13"/>
                <w:color w:val="auto"/>
              </w:rPr>
            </w:pPr>
          </w:p>
        </w:tc>
        <w:tc>
          <w:tcPr>
            <w:tcW w:w="1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2,910</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2,835</w:t>
            </w:r>
          </w:p>
        </w:tc>
        <w:tc>
          <w:tcPr>
            <w:tcW w:w="44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19,467</w:t>
            </w:r>
          </w:p>
        </w:tc>
        <w:tc>
          <w:tcPr>
            <w:tcW w:w="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Pro Forma Condensed Combined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0" w:name="page51"/>
    <w:bookmarkEnd w:id="50"/>
    <w:p>
      <w:pPr>
        <w:ind w:left="1540"/>
        <w:spacing w:after="0"/>
        <w:rPr>
          <w:sz w:val="20"/>
          <w:szCs w:val="20"/>
          <w:color w:val="auto"/>
        </w:rPr>
      </w:pPr>
      <w:r>
        <w:rPr>
          <w:rFonts w:ascii="Times New Roman" w:cs="Times New Roman" w:eastAsia="Times New Roman" w:hAnsi="Times New Roman"/>
          <w:sz w:val="18"/>
          <w:szCs w:val="18"/>
          <w:b w:val="1"/>
          <w:bCs w:val="1"/>
          <w:color w:val="auto"/>
        </w:rPr>
        <w:t>NOTES TO THE UNAUDITED PRO FORMA CONDENSED COMBINED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Transactions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October 27, 2025, Skyworks, Qorvo, Merger Sub I and Merger Sub II entered into the Merger Agreement. Pursuant to the terms of the Merger Agreement, and subject to the satisfaction or waiver of the conditions specified therein, (a) Merger Sub I will merge with and into Qorvo, with Qorvo continuing as the Surviving Corporation, and (b) immediately following the First Merger and as the second step in a single integrated transaction with the First Merger, the Surviving Corporation will merge with and into Merger Sub II, with Merger Sub II continuing as the Surviving Company and a wholly-owned subsidiary of Skyworks.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the effective time of the First Merger (the “Effective Time”), each share of Qorvo common stock issued and outstanding immediately prior to the Effective Time, except for shares held by Skyworks or Qorvo, or their direct or indirect subsidiaries (other than, with respect to shares held by Skyworks, Qorvo, Merger Sub I, or Merger Sub II, shares held on behalf of third parties), will be converted automatically into the right to receive (i) 0.960 shares (the “Exchange Ratio”) of Skyworks common stock, without interest, and (ii) $32.50 in cash, without interest (the “Per Share Cash Amount”), subject to applicable withholding taxes (collectively, the “Merger Consideration”).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Basis Of Presentation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Pro Forma Financial Statements were prepared on the basis that Skyworks, assuming receipt of the requisite regulatory approvals and completion of the Mergers, will account for the Mergers as a purchase of Qorvo using the acquisition method pursuant to Financial Accounting Standards Board (FASB) Accounting Standards Codification (ASC) 805, Business Combinations. Under the acquisition method, the assets and liabilities of Qorvo are recorded at their fair value at the effective time of the Mergers. In addition, the total consideration, measured at the market price at the Effective Time, is allocated to the tangible and intangible assets acquired and liabilities assumed. Fair value is defined in ASC 820, Fair Value Measurements, as “the price that would be received to sell an asset or paid to transfer a liability in an orderly transaction between market participants at the measurement date.” Many of these fair value measurements can be highly subjective, and it is possible that other professionals, applying reasonable judgment to the same facts and circumstances, could develop and support a range of alternative estimated amounts. Once requisite regulatory approvals are received, Skyworks will consolidate Qorvo prospectively.</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transaction accounting adjustments to the Pro Forma Financial Statements are preliminary and have been made solely for the purpose of presenting the Pro Forma Financial Statements, which are necessary to comply with applicable disclosure and reporting requirements. The allocation of the estimated consideration is pending finalization of various estimates, inputs, and analyses. Since these Pro Forma Financial Statements were prepared based on preliminary estimates of consideration and fair values attributable to the purchase of Qorvo, the actual amounts eventually recorded for the purchase accounting, including the identifiable goodwill, may differ materially from the information presented.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 Forma Financial Statements were prepared from and should be read in conjunction with:</w:t>
      </w:r>
    </w:p>
    <w:p>
      <w:pPr>
        <w:spacing w:after="0" w:line="225" w:lineRule="exact"/>
        <w:rPr>
          <w:sz w:val="20"/>
          <w:szCs w:val="20"/>
          <w:color w:val="auto"/>
        </w:rPr>
      </w:pPr>
    </w:p>
    <w:p>
      <w:pPr>
        <w:ind w:left="660" w:hanging="328"/>
        <w:spacing w:after="0" w:line="281" w:lineRule="auto"/>
        <w:tabs>
          <w:tab w:leader="none" w:pos="660" w:val="left"/>
        </w:tabs>
        <w:numPr>
          <w:ilvl w:val="0"/>
          <w:numId w:val="1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Consolidated Financial Statements of Skyworks, as included in Skyworks’ Annual Report on Form 10-K for the fiscal year ended October 3, 2025;</w:t>
      </w:r>
    </w:p>
    <w:p>
      <w:pPr>
        <w:spacing w:after="0" w:line="162" w:lineRule="exact"/>
        <w:rPr>
          <w:rFonts w:ascii="Arial" w:cs="Arial" w:eastAsia="Arial" w:hAnsi="Arial"/>
          <w:sz w:val="18"/>
          <w:szCs w:val="18"/>
          <w:b w:val="1"/>
          <w:bCs w:val="1"/>
          <w:color w:val="auto"/>
        </w:rPr>
      </w:pPr>
    </w:p>
    <w:p>
      <w:pPr>
        <w:ind w:left="660" w:hanging="328"/>
        <w:spacing w:after="0" w:line="281" w:lineRule="auto"/>
        <w:tabs>
          <w:tab w:leader="none" w:pos="660" w:val="left"/>
        </w:tabs>
        <w:numPr>
          <w:ilvl w:val="0"/>
          <w:numId w:val="1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Unaudited Interim Consolidated Financial Statements of Skyworks, as included in Skyworks’ Quarterly Report on Form 10-Q for the quarterly period ended April 3, 2026;</w:t>
      </w:r>
    </w:p>
    <w:p>
      <w:pPr>
        <w:spacing w:after="0" w:line="162" w:lineRule="exact"/>
        <w:rPr>
          <w:rFonts w:ascii="Arial" w:cs="Arial" w:eastAsia="Arial" w:hAnsi="Arial"/>
          <w:sz w:val="18"/>
          <w:szCs w:val="18"/>
          <w:b w:val="1"/>
          <w:bCs w:val="1"/>
          <w:color w:val="auto"/>
        </w:rPr>
      </w:pPr>
    </w:p>
    <w:p>
      <w:pPr>
        <w:ind w:left="660" w:hanging="328"/>
        <w:spacing w:after="0" w:line="281" w:lineRule="auto"/>
        <w:tabs>
          <w:tab w:leader="none" w:pos="660" w:val="left"/>
        </w:tabs>
        <w:numPr>
          <w:ilvl w:val="0"/>
          <w:numId w:val="1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Consolidated Financial Statements of Qorvo for the fiscal years ended March 28, 2026 and March 29, 2025, as included in Qorvo’s Annual Report on Form 10-K for the fiscal year ended March 28, 2026 and March 29, 2025; and</w:t>
      </w:r>
    </w:p>
    <w:p>
      <w:pPr>
        <w:spacing w:after="0" w:line="162" w:lineRule="exact"/>
        <w:rPr>
          <w:rFonts w:ascii="Arial" w:cs="Arial" w:eastAsia="Arial" w:hAnsi="Arial"/>
          <w:sz w:val="18"/>
          <w:szCs w:val="18"/>
          <w:b w:val="1"/>
          <w:bCs w:val="1"/>
          <w:color w:val="auto"/>
        </w:rPr>
      </w:pPr>
    </w:p>
    <w:p>
      <w:pPr>
        <w:jc w:val="both"/>
        <w:ind w:left="660" w:hanging="328"/>
        <w:spacing w:after="0" w:line="265" w:lineRule="auto"/>
        <w:tabs>
          <w:tab w:leader="none" w:pos="660" w:val="left"/>
        </w:tabs>
        <w:numPr>
          <w:ilvl w:val="0"/>
          <w:numId w:val="1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Unaudited Interim Condensed Consolidated Financial Statements of Qorvo for the quarterly periods ended September 27, 2025 and September 28, 2024, as included in Qorvo’s Quarterly Report on Form 10-Q for the quarterly period ended September 27, 2025 and September 28, 2024.</w:t>
      </w:r>
    </w:p>
    <w:p>
      <w:pPr>
        <w:spacing w:after="0" w:line="17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Pro Forma Financial Statements include adjustments necessary to be consistent with GAAP and in accordance with Regulation S-X Article 11. The Pro Forma Statements of Operations give effect to the Mergers as if they occurred on September 28, 2024. The Pro Forma Balance Sheet gives effect to the Mergers as if they had occurred on April 3, 2026.</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1" w:name="page52"/>
    <w:bookmarkEnd w:id="51"/>
    <w:p>
      <w:pPr>
        <w:jc w:val="both"/>
        <w:spacing w:after="0" w:line="258" w:lineRule="auto"/>
        <w:rPr>
          <w:sz w:val="20"/>
          <w:szCs w:val="20"/>
          <w:color w:val="auto"/>
        </w:rPr>
      </w:pPr>
      <w:r>
        <w:rPr>
          <w:rFonts w:ascii="Times New Roman" w:cs="Times New Roman" w:eastAsia="Times New Roman" w:hAnsi="Times New Roman"/>
          <w:sz w:val="18"/>
          <w:szCs w:val="18"/>
          <w:color w:val="auto"/>
        </w:rPr>
        <w:t>The Pro Forma Financial Statements do not include adjustments to reflect any potential costs that may be incurred in connection with actions required by regulatory or governmental authorities for regulatory approvals and clearances of the Mergers, including divestitures or concessions; anticipated benefits, including synergies, cost savings, innovation, and operational efficiencies; or potential post-merger costs, such as restructuring and integration charges. Under ASC 805, acquisition-related transaction costs (e.g., advisory, legal, valuation, and other professional fees) are not included as a component of consideration transferred but are accounted for as expenses in the periods in which the costs are incurred.</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Pro Forma Financial Statements are based on various adjustments and assumptions and are not necessarily indicative of what the combined statements of operations or financial position would have actually been had the transaction accounting adjustments been completed as of the dates indicated. Further, the Pro Forma Financial Statements do not purport to project the future financial position or results of operations of the Combined Company after the Mergers, which may differ materially and adversely from the Pro Forma Financial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Significant Accounting Policies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this time, Skyworks is not aware of any differences in accounting policies that would have a material impact on the Pro Forma Financial Statements. The known differences in classifications were included in the transaction accounting adjustments described in Notes 6 and 7 under the heading “Reclassification adjustments”. Following the Mergers, Skyworks will conduct a review of Qorvo’s accounting policies in an effort to determine if there are any material differences that require reclassification of Qorvo’s revenues, expenses, assets, or liabilities to conform with Skyworks’ accounting policies and classifications. As a result of that review, Skyworks may identify differences between the accounting policies and classifications of the two companies that, when conformed, could have a material impact on the Pro Forma Financial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Estimate Of Consideration Expected To Be Transferred</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Mergers described in Note 1 of these Pro Forma Financial Statements are anticipated to result in the following estimated merger consideration (in millions):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Consideration Transferred [a]:</w:t>
            </w:r>
          </w:p>
        </w:tc>
        <w:tc>
          <w:tcPr>
            <w:tcW w:w="17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120" w:type="dxa"/>
            <w:vAlign w:val="bottom"/>
          </w:tcPr>
          <w:p>
            <w:pPr>
              <w:spacing w:after="0"/>
              <w:rPr>
                <w:sz w:val="20"/>
                <w:szCs w:val="20"/>
                <w:color w:val="auto"/>
              </w:rPr>
            </w:pPr>
            <w:r>
              <w:rPr>
                <w:rFonts w:ascii="Times New Roman" w:cs="Times New Roman" w:eastAsia="Times New Roman" w:hAnsi="Times New Roman"/>
                <w:sz w:val="18"/>
                <w:szCs w:val="18"/>
                <w:color w:val="auto"/>
              </w:rPr>
              <w:t>Estimated cash consideration</w:t>
            </w:r>
          </w:p>
        </w:tc>
        <w:tc>
          <w:tcPr>
            <w:tcW w:w="2240" w:type="dxa"/>
            <w:vAlign w:val="bottom"/>
            <w:gridSpan w:val="2"/>
          </w:tcPr>
          <w:p>
            <w:pPr>
              <w:ind w:left="1360"/>
              <w:spacing w:after="0"/>
              <w:rPr>
                <w:sz w:val="20"/>
                <w:szCs w:val="20"/>
                <w:color w:val="auto"/>
              </w:rPr>
            </w:pPr>
            <w:r>
              <w:rPr>
                <w:rFonts w:ascii="Times New Roman" w:cs="Times New Roman" w:eastAsia="Times New Roman" w:hAnsi="Times New Roman"/>
                <w:sz w:val="18"/>
                <w:szCs w:val="18"/>
                <w:color w:val="auto"/>
              </w:rPr>
              <w:t>[b]   $</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2,860</w:t>
            </w:r>
          </w:p>
        </w:tc>
      </w:tr>
      <w:tr>
        <w:trPr>
          <w:trHeight w:val="216"/>
        </w:trPr>
        <w:tc>
          <w:tcPr>
            <w:tcW w:w="8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Estimated fair value of Skyworks common stock to be issued</w:t>
            </w:r>
          </w:p>
        </w:tc>
        <w:tc>
          <w:tcPr>
            <w:tcW w:w="2240" w:type="dxa"/>
            <w:vAlign w:val="bottom"/>
            <w:gridSpan w:val="2"/>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rPr>
              <w:t>[c]</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5,643</w:t>
            </w:r>
          </w:p>
        </w:tc>
      </w:tr>
      <w:tr>
        <w:trPr>
          <w:trHeight w:val="230"/>
        </w:trPr>
        <w:tc>
          <w:tcPr>
            <w:tcW w:w="8120" w:type="dxa"/>
            <w:vAlign w:val="bottom"/>
          </w:tcPr>
          <w:p>
            <w:pPr>
              <w:spacing w:after="0"/>
              <w:rPr>
                <w:sz w:val="20"/>
                <w:szCs w:val="20"/>
                <w:color w:val="auto"/>
              </w:rPr>
            </w:pPr>
            <w:r>
              <w:rPr>
                <w:rFonts w:ascii="Times New Roman" w:cs="Times New Roman" w:eastAsia="Times New Roman" w:hAnsi="Times New Roman"/>
                <w:sz w:val="18"/>
                <w:szCs w:val="18"/>
                <w:color w:val="auto"/>
              </w:rPr>
              <w:t>Estimated fair value of assumed Qorvo equity awards attributable to pre-combination services</w:t>
            </w:r>
          </w:p>
        </w:tc>
        <w:tc>
          <w:tcPr>
            <w:tcW w:w="2240" w:type="dxa"/>
            <w:vAlign w:val="bottom"/>
            <w:gridSpan w:val="2"/>
          </w:tcPr>
          <w:p>
            <w:pPr>
              <w:ind w:left="1360"/>
              <w:spacing w:after="0"/>
              <w:rPr>
                <w:sz w:val="20"/>
                <w:szCs w:val="20"/>
                <w:color w:val="auto"/>
              </w:rPr>
            </w:pPr>
            <w:r>
              <w:rPr>
                <w:rFonts w:ascii="Times New Roman" w:cs="Times New Roman" w:eastAsia="Times New Roman" w:hAnsi="Times New Roman"/>
                <w:sz w:val="18"/>
                <w:szCs w:val="18"/>
                <w:color w:val="auto"/>
              </w:rPr>
              <w:t>[d]</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w:t>
            </w:r>
          </w:p>
        </w:tc>
      </w:tr>
      <w:tr>
        <w:trPr>
          <w:trHeight w:val="223"/>
        </w:trPr>
        <w:tc>
          <w:tcPr>
            <w:tcW w:w="81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estimated merger consideration</w:t>
            </w:r>
          </w:p>
        </w:tc>
        <w:tc>
          <w:tcPr>
            <w:tcW w:w="178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1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1">
            <w:col w:w="11240"/>
          </w:cols>
          <w:pgMar w:left="320" w:top="904" w:right="33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Total estimated cash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estimated equity consideration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Total estimated merger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132320" cy="1625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817" w:hanging="817"/>
        <w:spacing w:after="0"/>
        <w:tabs>
          <w:tab w:leader="none" w:pos="817"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2,860</w:t>
      </w:r>
    </w:p>
    <w:p>
      <w:pPr>
        <w:spacing w:after="0" w:line="27" w:lineRule="exact"/>
        <w:rPr>
          <w:rFonts w:ascii="Times New Roman" w:cs="Times New Roman" w:eastAsia="Times New Roman" w:hAnsi="Times New Roman"/>
          <w:sz w:val="18"/>
          <w:szCs w:val="18"/>
          <w:color w:val="auto"/>
        </w:rPr>
      </w:pPr>
    </w:p>
    <w:p>
      <w:pPr>
        <w:ind w:left="81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5,737</w:t>
      </w:r>
    </w:p>
    <w:p>
      <w:pPr>
        <w:spacing w:after="0" w:line="31" w:lineRule="exact"/>
        <w:rPr>
          <w:sz w:val="20"/>
          <w:szCs w:val="20"/>
          <w:color w:val="auto"/>
        </w:rPr>
      </w:pPr>
    </w:p>
    <w:p>
      <w:pPr>
        <w:ind w:left="817" w:hanging="817"/>
        <w:spacing w:after="0"/>
        <w:tabs>
          <w:tab w:leader="none" w:pos="81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8,597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34290</wp:posOffset>
            </wp:positionV>
            <wp:extent cx="7797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7978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183" w:space="720"/>
            <w:col w:w="1337"/>
          </w:cols>
          <w:pgMar w:left="320" w:top="904" w:right="339" w:bottom="1440" w:gutter="0" w:footer="0" w:header="0"/>
          <w:type w:val="continuous"/>
        </w:sectPr>
      </w:pPr>
    </w:p>
    <w:p>
      <w:pPr>
        <w:spacing w:after="0" w:line="6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descriptions are provided for general information, do not purport to be complete, and are qualified in their entirety by reference to the full text of the Merger Agreement.</w:t>
      </w:r>
    </w:p>
    <w:p>
      <w:pPr>
        <w:spacing w:after="0" w:line="162" w:lineRule="exact"/>
        <w:rPr>
          <w:sz w:val="20"/>
          <w:szCs w:val="20"/>
          <w:color w:val="auto"/>
        </w:rPr>
      </w:pPr>
    </w:p>
    <w:p>
      <w:pPr>
        <w:ind w:left="660" w:hanging="652"/>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estimated merger consideration does not purport to represent the actual value of the Merger Consideration that will be received by Qorvo shareholders and employees after the Mergers are completed.</w:t>
      </w:r>
    </w:p>
    <w:p>
      <w:pPr>
        <w:spacing w:after="0" w:line="161" w:lineRule="exact"/>
        <w:rPr>
          <w:rFonts w:ascii="Times New Roman" w:cs="Times New Roman" w:eastAsia="Times New Roman" w:hAnsi="Times New Roman"/>
          <w:sz w:val="18"/>
          <w:szCs w:val="18"/>
          <w:color w:val="auto"/>
        </w:rPr>
      </w:pPr>
    </w:p>
    <w:p>
      <w:pPr>
        <w:jc w:val="both"/>
        <w:ind w:left="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of the Skyworks common stock to be issued in the Mergers is estimated at $66.78 per share, which is the closing stock price on May 8, 2026, a date that was in reasonable proximity to the filing date of these Pro Forma Financial Statements. The actual value of the Merger Consideration will be based on the closing price of Skyworks common stock at the Effective Time.</w:t>
      </w:r>
    </w:p>
    <w:p>
      <w:pPr>
        <w:spacing w:after="0" w:line="175" w:lineRule="exact"/>
        <w:rPr>
          <w:rFonts w:ascii="Times New Roman" w:cs="Times New Roman" w:eastAsia="Times New Roman" w:hAnsi="Times New Roman"/>
          <w:sz w:val="18"/>
          <w:szCs w:val="18"/>
          <w:color w:val="auto"/>
        </w:rPr>
      </w:pPr>
    </w:p>
    <w:p>
      <w:pPr>
        <w:jc w:val="both"/>
        <w:ind w:left="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issued and outstanding shares of Qorvo common stock was estimated at 88,013,673 based on the shares outstanding on May 1, 2026. The actual Merger Consideration will be based on the actual Qorvo common stock outstanding as of immediately prior to the closing of the Mergers.</w:t>
      </w:r>
    </w:p>
    <w:p>
      <w:pPr>
        <w:spacing w:after="0" w:line="175" w:lineRule="exact"/>
        <w:rPr>
          <w:rFonts w:ascii="Times New Roman" w:cs="Times New Roman" w:eastAsia="Times New Roman" w:hAnsi="Times New Roman"/>
          <w:sz w:val="18"/>
          <w:szCs w:val="18"/>
          <w:color w:val="auto"/>
        </w:rPr>
      </w:pPr>
    </w:p>
    <w:p>
      <w:pPr>
        <w:ind w:left="6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or decrease of 10% in the price of Skyworks common stock would cause approximately a $574 million increase or decrease in the estimated value of the total consideration, which would correspondingly increase or decrease the estimated value of goodwill.</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Qorvo common stock outstanding will also receive $32.50 in cash, without interest, subject to applicable withholding taxes.</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Qorvo common stock outstanding will receive 0.960 share of Skyworks common stock.</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52" w:name="page53"/>
    <w:bookmarkEnd w:id="52"/>
    <w:p>
      <w:pPr>
        <w:jc w:val="both"/>
        <w:ind w:left="660" w:hanging="652"/>
        <w:spacing w:after="0" w:line="253"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Effective Time, each outstanding Qorvo restricted stock unit (each, a “Qorvo RSU Award”) that is (A) vested but not yet settled as of immediately prior to the Effective Time, (B) by its terms becomes vested in all respects as a result of the occurrence of the Closing or (C) is held by a non-employee member of the Qorvo board of directors (“Qorvo Board”) as of immediately prior to the Effective Time (collectively, the “Accelerated Qorvo RSUs”), shall be cancelled in consideration for the right to receive (1) the Merger Consideration in respect of each share of Qorvo common stock that was subject to such Accelerated Qorvo RSU immediately prior to the Effective Time and (2) an amount in cash equal to all dividend equivalents, if any, accrued but unpaid as of the Effective Time with respect to each such Accelerated Qorvo RSU (collectively, the “Accelerated RSU Consideration”). The number of shares of Qorvo common stock subject to any Accelerated Qorvo RSUs that remains subject to performance-based vesting conditions as of immediately prior to the date on which the closing of the Mergers occurs (the “Closing Date”) (i.e., any Qorvo RSU Award for which the level of performance vesting has not yet been determined) shall be determined by assuming, in respect of such Qorvo RSU Award, achievement at target performance (except that such number for each holder with an individual agreement (each, an “Individual Agreement”) shall be determined by assuming achievement at the greater of (I) target performance and (II) actual performance as of immediately prior to the Effective Time as determined in good faith by the Compensation Committee of the Qorvo Board).</w:t>
      </w:r>
    </w:p>
    <w:p>
      <w:pPr>
        <w:spacing w:after="0" w:line="189" w:lineRule="exact"/>
        <w:rPr>
          <w:rFonts w:ascii="Times New Roman" w:cs="Times New Roman" w:eastAsia="Times New Roman" w:hAnsi="Times New Roman"/>
          <w:sz w:val="18"/>
          <w:szCs w:val="18"/>
          <w:color w:val="auto"/>
        </w:rPr>
      </w:pPr>
    </w:p>
    <w:p>
      <w:pPr>
        <w:jc w:val="both"/>
        <w:ind w:left="66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Effective Time, each Qorvo RSU Award that is outstanding immediately prior to the Effective Time, other than an Accelerated Qorvo RSU, without any action on the part of Skyworks, Qorvo or the holder thereof, shall be assumed by Skyworks and converted automatically into and become a restricted stock unit award covering shares of Skyworks Common Stock (each, an “Adjusted RSU Award”), on the same terms and conditions as were applicable under the Qorvo RSU Award as of immediately prior to the Effective Time (except as set forth in Section 3.2(a)(ii) of the Merger Agreement and other than performance-based vesting conditions, which shall not apply following the Effective Time, with dividend equivalents continuing to accrue in respect of such Adjusted RSU Awards and with all accrued dividend equivalents (whether accrued prior to, at or after the Effective Time) paid at the time that such Adjusted RSU Award is settled), except that the number of shares of Skyworks common stock subject to the Adjusted RSU Award as of the Effective Time will be determined by multiplying (A) the number of shares of Qorvo common stock subject to the corresponding Qorvo RSU Award immediately prior to the Effective Time by (B) an amount equal to the sum of (i) the Exchange Ratio, plus (ii) the quotient obtained by dividing the Per Share Cash Amount by the volume weighted average trading price of Skyworks common stock on Nasdaq for the five (5) consecutive trading days ending on the trading day immediately preceding the Closing Date, as calculated by Bloomberg L.P. (such amount, the “Conversion Ratio”), with any fractional shares in the resulting product rounded to the nearest whole share. The number of shares of Qorvo common stock subject to any Qorvo RSU Award that remains subject to performance-based vesting conditions as of immediately prior to the Closing Date, including any accrued but unpaid dividend equivalents thereon (i.e., any Qorvo RSU Award for which the level of performance vesting has not yet been determined), shall be determined by assuming, in respect of such Qorvo RSU Award, achievement at target performance (except that such number for each holder with an Individual Agreement shall be determined by assuming achievement at the greater of (1) target performance and (2) actual performance as of immediately prior to the Effective Time as determined in good faith by the Compensation Committee of the Qorvo Board). In the event of a termination of employment of any holder of an Adjusted RSU Award by Skyworks, the Surviving Company or one of their affiliates without “cause” or by such holder with “good reason” (as defined in the applicable Qorvo Stock Plan or award agreement), in each case within the eighteen (18)-month period following the Closing Date, any such Adjusted RSU Award(s) held by such holder shall accelerate and vest in full. For the avoidance of doubt, any unpaid dividend equivalents accrued in respect of an Adjusted RSU Award shall be paid at such time as the Adjusted RSU Award vests and settles.</w:t>
      </w:r>
    </w:p>
    <w:p>
      <w:pPr>
        <w:spacing w:after="0" w:line="205" w:lineRule="exact"/>
        <w:rPr>
          <w:rFonts w:ascii="Times New Roman" w:cs="Times New Roman" w:eastAsia="Times New Roman" w:hAnsi="Times New Roman"/>
          <w:sz w:val="18"/>
          <w:szCs w:val="18"/>
          <w:color w:val="auto"/>
        </w:rPr>
      </w:pPr>
    </w:p>
    <w:p>
      <w:pPr>
        <w:jc w:val="both"/>
        <w:ind w:left="66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Qorvo equity awards attributable to pre-combination and post-combination service is estimated based on the ratio of the service period rendered as of May 1, 2026 to the total service period. The fair value of awards attributed to pre-combination service was recognized as a component of the purchase price. For the purpose of these Pro Forma Financial Statements, we assumed that all outstanding Qorvo RSU Awards and performance goals applicable to Qorvo RSU Awards that are subject to performance-based vesting conditions (each, a “Qorvo PBRSU Award”) on May 1, 2026, were outstanding at the effective time of the Mergers and each Qorvo PBRSU Award was converted to Skyworks stock unit awards based on the target level of performance.</w:t>
      </w:r>
    </w:p>
    <w:p>
      <w:pPr>
        <w:spacing w:after="0" w:line="187" w:lineRule="exact"/>
        <w:rPr>
          <w:rFonts w:ascii="Times New Roman" w:cs="Times New Roman" w:eastAsia="Times New Roman" w:hAnsi="Times New Roman"/>
          <w:sz w:val="18"/>
          <w:szCs w:val="18"/>
          <w:color w:val="auto"/>
        </w:rPr>
      </w:pPr>
    </w:p>
    <w:p>
      <w:pPr>
        <w:jc w:val="both"/>
        <w:ind w:left="6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Qorvo’s outstanding equity awards, and certain of Skyworks’ outstanding equity awards, include a provision for acceleration of vesting in certain circumstances involving termination in connection with a change in control. No adjustments have been made to the Pro Forma Financial Statements as a result of this provision, as Skyworks cannot currently predict the nature and extent of terminations to be made in connection with the Mergers.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color w:val="auto"/>
        </w:rPr>
        <w:t>5.            Estimate Of Assets To Be Acquired And Liabilities To Be Assumed</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Under the acquisition method of accounting, Qorvo’s identifiable assets acquired and liabilities assumed by Skyworks will be recorded at the acquisition date fair values and added to those of Skyworks. The pro forma adjustments are preliminary and based on estimates of the fair value and useful lives of the assets acquired and liabilities assumed and are prepared to illustrate the estimated effect of the transactions contemplated by the Merger Agreement (the “Transactions”). The final determination of the purchase price allocation will be completed as soon as practicable after the completion of the Transactions and will be based on the fair values of the assets acquired and liabilities assumed as of the Closing Date. The final amounts allocated to assets acquired and liabilities assumed could differ significantly from the amounts presented in the Pro Forma Financial Statements. Accordingly, the pro forma purchase price allocation is subject to further adjustment as additional information becomes available and as additional analyses and final valuations are completed. There can be no assurances that these additional analyses and final valuations will not result in material changes to the estimates of fair value set forth below.</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purchase price allocation is preliminary and will change as a result of several factors, including the finalization of the fair value measurement of assets acquired and liabilities assumed. The following is a preliminary estimate of the assets to be acquired and the liabilities to be assumed by Skyworks at the effective time of the Mergers, reconciled to the preliminary Merger Consideration (in millions):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2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Estimated Fair Value</w:t>
            </w:r>
          </w:p>
        </w:tc>
      </w:tr>
      <w:tr>
        <w:trPr>
          <w:trHeight w:val="210"/>
        </w:trPr>
        <w:tc>
          <w:tcPr>
            <w:tcW w:w="5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9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Receivables, net of allowances</w:t>
            </w:r>
          </w:p>
        </w:tc>
        <w:tc>
          <w:tcPr>
            <w:tcW w:w="2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382</w:t>
            </w:r>
          </w:p>
        </w:tc>
      </w:tr>
      <w:tr>
        <w:trPr>
          <w:trHeight w:val="216"/>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Inventory</w:t>
            </w:r>
          </w:p>
        </w:tc>
        <w:tc>
          <w:tcPr>
            <w:tcW w:w="3180" w:type="dxa"/>
            <w:vAlign w:val="bottom"/>
            <w:gridSpan w:val="2"/>
            <w:shd w:val="clear" w:color="auto" w:fill="CCEEFF"/>
          </w:tcPr>
          <w:p>
            <w:pPr>
              <w:ind w:left="2540"/>
              <w:spacing w:after="0"/>
              <w:rPr>
                <w:sz w:val="20"/>
                <w:szCs w:val="20"/>
                <w:color w:val="auto"/>
              </w:rPr>
            </w:pPr>
            <w:r>
              <w:rPr>
                <w:rFonts w:ascii="Times New Roman" w:cs="Times New Roman" w:eastAsia="Times New Roman" w:hAnsi="Times New Roman"/>
                <w:sz w:val="18"/>
                <w:szCs w:val="18"/>
                <w:color w:val="auto"/>
              </w:rPr>
              <w:t>[a]</w:t>
            </w:r>
          </w:p>
        </w:tc>
        <w:tc>
          <w:tcPr>
            <w:tcW w:w="22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797</w:t>
            </w: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2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151</w:t>
            </w:r>
          </w:p>
        </w:tc>
      </w:tr>
      <w:tr>
        <w:trPr>
          <w:trHeight w:val="216"/>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180" w:type="dxa"/>
            <w:vAlign w:val="bottom"/>
            <w:gridSpan w:val="2"/>
            <w:shd w:val="clear" w:color="auto" w:fill="CCEEFF"/>
          </w:tcPr>
          <w:p>
            <w:pPr>
              <w:ind w:left="2540"/>
              <w:spacing w:after="0"/>
              <w:rPr>
                <w:sz w:val="20"/>
                <w:szCs w:val="20"/>
                <w:color w:val="auto"/>
              </w:rPr>
            </w:pPr>
            <w:r>
              <w:rPr>
                <w:rFonts w:ascii="Times New Roman" w:cs="Times New Roman" w:eastAsia="Times New Roman" w:hAnsi="Times New Roman"/>
                <w:sz w:val="18"/>
                <w:szCs w:val="18"/>
                <w:color w:val="auto"/>
              </w:rPr>
              <w:t>[b]</w:t>
            </w:r>
          </w:p>
        </w:tc>
        <w:tc>
          <w:tcPr>
            <w:tcW w:w="22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711</w:t>
            </w: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3180" w:type="dxa"/>
            <w:vAlign w:val="bottom"/>
            <w:gridSpan w:val="2"/>
          </w:tcPr>
          <w:p>
            <w:pPr>
              <w:ind w:left="2540"/>
              <w:spacing w:after="0"/>
              <w:rPr>
                <w:sz w:val="20"/>
                <w:szCs w:val="20"/>
                <w:color w:val="auto"/>
              </w:rPr>
            </w:pPr>
            <w:r>
              <w:rPr>
                <w:rFonts w:ascii="Times New Roman" w:cs="Times New Roman" w:eastAsia="Times New Roman" w:hAnsi="Times New Roman"/>
                <w:sz w:val="18"/>
                <w:szCs w:val="18"/>
                <w:color w:val="auto"/>
              </w:rPr>
              <w:t>[c]</w:t>
            </w:r>
          </w:p>
        </w:tc>
        <w:tc>
          <w:tcPr>
            <w:tcW w:w="2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3,643</w:t>
            </w:r>
          </w:p>
        </w:tc>
        <w:tc>
          <w:tcPr>
            <w:tcW w:w="80" w:type="dxa"/>
            <w:vAlign w:val="bottom"/>
          </w:tcPr>
          <w:p>
            <w:pPr>
              <w:spacing w:after="0"/>
              <w:rPr>
                <w:sz w:val="18"/>
                <w:szCs w:val="18"/>
                <w:color w:val="auto"/>
              </w:rPr>
            </w:pPr>
          </w:p>
        </w:tc>
      </w:tr>
      <w:tr>
        <w:trPr>
          <w:trHeight w:val="216"/>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investments</w:t>
            </w:r>
          </w:p>
        </w:tc>
        <w:tc>
          <w:tcPr>
            <w:tcW w:w="2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shd w:val="clear" w:color="auto" w:fill="CCEEFF"/>
          </w:tcPr>
          <w:p>
            <w:pPr>
              <w:spacing w:after="0"/>
              <w:rPr>
                <w:sz w:val="18"/>
                <w:szCs w:val="18"/>
                <w:color w:val="auto"/>
              </w:rPr>
            </w:pPr>
          </w:p>
        </w:tc>
      </w:tr>
      <w:tr>
        <w:trPr>
          <w:trHeight w:val="229"/>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3180" w:type="dxa"/>
            <w:vAlign w:val="bottom"/>
            <w:gridSpan w:val="2"/>
          </w:tcPr>
          <w:p>
            <w:pPr>
              <w:ind w:left="2540"/>
              <w:spacing w:after="0"/>
              <w:rPr>
                <w:sz w:val="20"/>
                <w:szCs w:val="20"/>
                <w:color w:val="auto"/>
              </w:rPr>
            </w:pPr>
            <w:r>
              <w:rPr>
                <w:rFonts w:ascii="Times New Roman" w:cs="Times New Roman" w:eastAsia="Times New Roman" w:hAnsi="Times New Roman"/>
                <w:sz w:val="18"/>
                <w:szCs w:val="18"/>
                <w:color w:val="auto"/>
              </w:rPr>
              <w:t>[a]</w:t>
            </w:r>
          </w:p>
        </w:tc>
        <w:tc>
          <w:tcPr>
            <w:tcW w:w="22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187</w:t>
            </w:r>
          </w:p>
        </w:tc>
      </w:tr>
      <w:tr>
        <w:trPr>
          <w:trHeight w:val="209"/>
        </w:trPr>
        <w:tc>
          <w:tcPr>
            <w:tcW w:w="5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 and other current liabilities</w:t>
            </w:r>
          </w:p>
        </w:tc>
        <w:tc>
          <w:tcPr>
            <w:tcW w:w="29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2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3180" w:type="dxa"/>
            <w:vAlign w:val="bottom"/>
            <w:gridSpan w:val="2"/>
          </w:tcPr>
          <w:p>
            <w:pPr>
              <w:ind w:left="2540"/>
              <w:spacing w:after="0"/>
              <w:rPr>
                <w:sz w:val="20"/>
                <w:szCs w:val="20"/>
                <w:color w:val="auto"/>
              </w:rPr>
            </w:pPr>
            <w:r>
              <w:rPr>
                <w:rFonts w:ascii="Times New Roman" w:cs="Times New Roman" w:eastAsia="Times New Roman" w:hAnsi="Times New Roman"/>
                <w:sz w:val="18"/>
                <w:szCs w:val="18"/>
                <w:color w:val="auto"/>
              </w:rPr>
              <w:t>[a]</w:t>
            </w:r>
          </w:p>
        </w:tc>
        <w:tc>
          <w:tcPr>
            <w:tcW w:w="22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(1,458)</w:t>
            </w:r>
          </w:p>
        </w:tc>
      </w:tr>
      <w:tr>
        <w:trPr>
          <w:trHeight w:val="229"/>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180" w:type="dxa"/>
            <w:vAlign w:val="bottom"/>
            <w:gridSpan w:val="2"/>
            <w:shd w:val="clear" w:color="auto" w:fill="CCEEFF"/>
          </w:tcPr>
          <w:p>
            <w:pPr>
              <w:ind w:left="2540"/>
              <w:spacing w:after="0"/>
              <w:rPr>
                <w:sz w:val="20"/>
                <w:szCs w:val="20"/>
                <w:color w:val="auto"/>
              </w:rPr>
            </w:pPr>
            <w:r>
              <w:rPr>
                <w:rFonts w:ascii="Times New Roman" w:cs="Times New Roman" w:eastAsia="Times New Roman" w:hAnsi="Times New Roman"/>
                <w:sz w:val="18"/>
                <w:szCs w:val="18"/>
                <w:color w:val="auto"/>
              </w:rPr>
              <w:t>[a]</w:t>
            </w:r>
          </w:p>
        </w:tc>
        <w:tc>
          <w:tcPr>
            <w:tcW w:w="22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(828)</w:t>
            </w:r>
          </w:p>
        </w:tc>
      </w:tr>
      <w:tr>
        <w:trPr>
          <w:trHeight w:val="263"/>
        </w:trPr>
        <w:tc>
          <w:tcPr>
            <w:tcW w:w="5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identifiable net assets</w:t>
            </w:r>
          </w:p>
        </w:tc>
        <w:tc>
          <w:tcPr>
            <w:tcW w:w="296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4,107</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r>
      <w:tr>
        <w:trPr>
          <w:trHeight w:val="197"/>
        </w:trPr>
        <w:tc>
          <w:tcPr>
            <w:tcW w:w="582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Estimated purchase price</w:t>
            </w:r>
          </w:p>
        </w:tc>
        <w:tc>
          <w:tcPr>
            <w:tcW w:w="296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21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8,597</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23"/>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Estimated goodwill</w:t>
            </w:r>
          </w:p>
        </w:tc>
        <w:tc>
          <w:tcPr>
            <w:tcW w:w="2960" w:type="dxa"/>
            <w:vAlign w:val="bottom"/>
          </w:tcPr>
          <w:p>
            <w:pPr>
              <w:ind w:left="2540"/>
              <w:spacing w:after="0"/>
              <w:rPr>
                <w:sz w:val="20"/>
                <w:szCs w:val="20"/>
                <w:color w:val="auto"/>
              </w:rPr>
            </w:pPr>
            <w:r>
              <w:rPr>
                <w:rFonts w:ascii="Times New Roman" w:cs="Times New Roman" w:eastAsia="Times New Roman" w:hAnsi="Times New Roman"/>
                <w:sz w:val="18"/>
                <w:szCs w:val="18"/>
                <w:color w:val="auto"/>
              </w:rPr>
              <w:t>[d]</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8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60" w:hanging="652"/>
        <w:spacing w:after="0" w:line="266"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Balances represent the estimated fair value of tangible assets acquired and liabilities assumed. These estimates are based on a preliminary valuation performed as of April 3, 2026, and are subject to further review by management. See Note 7 below for a further explanation of the assumptions related to the fair value estimates made.</w:t>
      </w:r>
    </w:p>
    <w:p>
      <w:pPr>
        <w:spacing w:after="0" w:line="173"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Property, plant, and equipment, net</w:t>
      </w:r>
      <w:r>
        <w:rPr>
          <w:rFonts w:ascii="Times New Roman" w:cs="Times New Roman" w:eastAsia="Times New Roman" w:hAnsi="Times New Roman"/>
          <w:sz w:val="18"/>
          <w:szCs w:val="18"/>
          <w:color w:val="auto"/>
        </w:rPr>
        <w:t>—The carrying value of Qorvo’s property and equipment was used in the preliminary purchase price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allocation, and no adjustments were made to the unaudited pro forma condensed combined balance sheet. Adjustments may be required when additional information is obtained and a more detailed review is performed over the fair value of property and equipment. The actual amounts recorded when the Mergers are completed may differ materially from the current book value of property and equipment.</w:t>
      </w:r>
    </w:p>
    <w:p>
      <w:pPr>
        <w:spacing w:after="0" w:line="17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Intangible assets, net</w:t>
      </w:r>
      <w:r>
        <w:rPr>
          <w:rFonts w:ascii="Times New Roman" w:cs="Times New Roman" w:eastAsia="Times New Roman" w:hAnsi="Times New Roman"/>
          <w:sz w:val="18"/>
          <w:szCs w:val="18"/>
          <w:color w:val="auto"/>
        </w:rPr>
        <w:t>—Estimated fair value as of the Pro Forma Balance Sheet date was comprised of (in millions):</w:t>
      </w:r>
    </w:p>
    <w:p>
      <w:pPr>
        <w:spacing w:after="0" w:line="237"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Intangible Asset</w:t>
            </w:r>
          </w:p>
        </w:tc>
        <w:tc>
          <w:tcPr>
            <w:tcW w:w="24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Estimated Useful Life</w:t>
            </w:r>
          </w:p>
        </w:tc>
        <w:tc>
          <w:tcPr>
            <w:tcW w:w="120" w:type="dxa"/>
            <w:vAlign w:val="bottom"/>
          </w:tcPr>
          <w:p>
            <w:pPr>
              <w:spacing w:after="0"/>
              <w:rPr>
                <w:sz w:val="20"/>
                <w:szCs w:val="20"/>
                <w:color w:val="auto"/>
              </w:rPr>
            </w:pPr>
          </w:p>
        </w:tc>
        <w:tc>
          <w:tcPr>
            <w:tcW w:w="21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Approximate Fair Value</w:t>
            </w:r>
          </w:p>
        </w:tc>
      </w:tr>
      <w:tr>
        <w:trPr>
          <w:trHeight w:val="210"/>
        </w:trPr>
        <w:tc>
          <w:tcPr>
            <w:tcW w:w="56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Technology based intangibles</w:t>
            </w:r>
          </w:p>
        </w:tc>
        <w:tc>
          <w:tcPr>
            <w:tcW w:w="220" w:type="dxa"/>
            <w:vAlign w:val="bottom"/>
            <w:tcBorders>
              <w:top w:val="single" w:sz="8" w:color="CCEEFF"/>
            </w:tcBorders>
            <w:shd w:val="clear" w:color="auto" w:fill="CCEEFF"/>
          </w:tcPr>
          <w:p>
            <w:pPr>
              <w:spacing w:after="0"/>
              <w:rPr>
                <w:sz w:val="18"/>
                <w:szCs w:val="18"/>
                <w:color w:val="auto"/>
              </w:rPr>
            </w:pPr>
          </w:p>
        </w:tc>
        <w:tc>
          <w:tcPr>
            <w:tcW w:w="2120" w:type="dxa"/>
            <w:vAlign w:val="bottom"/>
            <w:tcBorders>
              <w:top w:val="single" w:sz="8" w:color="auto"/>
            </w:tcBorders>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8</w:t>
            </w: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2,093</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Customer-based intangibles</w:t>
            </w:r>
          </w:p>
        </w:tc>
        <w:tc>
          <w:tcPr>
            <w:tcW w:w="212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rPr>
              <w:t>10</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1,550</w:t>
            </w:r>
          </w:p>
        </w:tc>
      </w:tr>
      <w:tr>
        <w:trPr>
          <w:trHeight w:val="209"/>
        </w:trPr>
        <w:tc>
          <w:tcPr>
            <w:tcW w:w="58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3,643</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6" w:lineRule="exact"/>
        <w:rPr>
          <w:sz w:val="20"/>
          <w:szCs w:val="20"/>
          <w:color w:val="auto"/>
        </w:rPr>
      </w:pPr>
    </w:p>
    <w:p>
      <w:pPr>
        <w:jc w:val="both"/>
        <w:ind w:left="660" w:hanging="652"/>
        <w:spacing w:after="0" w:line="258"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Estimated Goodwill</w:t>
      </w:r>
      <w:r>
        <w:rPr>
          <w:rFonts w:ascii="Times New Roman" w:cs="Times New Roman" w:eastAsia="Times New Roman" w:hAnsi="Times New Roman"/>
          <w:sz w:val="18"/>
          <w:szCs w:val="18"/>
          <w:color w:val="auto"/>
        </w:rPr>
        <w:t>—Represents the excess of the preliminary estimated Merger Consideration over the estimated fair value of the underlying net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assets acquired. Goodwill will not be amortized but instead will be reviewed for impairment annually on the first day of the fourth fiscal quarter, or more frequently if facts and circumstances warrant a review. Goodwill is attributable to the assembled workforce of Qorvo, planned growth in new markets, and synergies expected to be achieved from the combined operations of Skyworks and Qorvo. Goodwill recognized in the Merger is not expected to be deductible for tax purposes.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color w:val="auto"/>
        </w:rPr>
        <w:t>6.            Pro Forma Statement Of Operations Accounting Adjustments</w:t>
      </w:r>
    </w:p>
    <w:p>
      <w:pPr>
        <w:spacing w:after="0" w:line="227" w:lineRule="exact"/>
        <w:rPr>
          <w:sz w:val="20"/>
          <w:szCs w:val="20"/>
          <w:color w:val="auto"/>
        </w:rPr>
      </w:pPr>
    </w:p>
    <w:p>
      <w:pPr>
        <w:ind w:left="660" w:right="20" w:hanging="652"/>
        <w:spacing w:after="0" w:line="284"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Reclassification adjustments</w:t>
      </w:r>
      <w:r>
        <w:rPr>
          <w:rFonts w:ascii="Times New Roman" w:cs="Times New Roman" w:eastAsia="Times New Roman" w:hAnsi="Times New Roman"/>
          <w:sz w:val="18"/>
          <w:szCs w:val="18"/>
          <w:color w:val="auto"/>
        </w:rPr>
        <w:t>—Certain reclassification transaction accounting adjustments were made to the Pro Forma Statements of Operations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make the presentation conform to the presentation adopted by Skyworks.</w:t>
      </w:r>
    </w:p>
    <w:p>
      <w:pPr>
        <w:spacing w:after="0" w:line="160"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Revised the presentation of Qorvo’s marketing and selling expense in the amount of $99 million and $229 million to selling, general, and administrative for the six months ended March 28, 2026 and twelve months ended September 27, 2025, respectively.</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Revised the presentation of Qorvo’s general and administrative expense in the amount of $67 million and $167 million to selling, general, and administrative for the six months ended March 28, 2026 and twelve months ended September 27, 2025, respectively.</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Revised the presentation of Qorvo’s other operating expense in the amount of $39 million and $105 million to restructuring and other charges for the six months ended March 28, 2026 and twelve months ended September 27, 2025, respectively.</w:t>
      </w:r>
    </w:p>
    <w:p>
      <w:pPr>
        <w:spacing w:after="0" w:line="159" w:lineRule="exact"/>
        <w:rPr>
          <w:rFonts w:ascii="Times New Roman" w:cs="Times New Roman" w:eastAsia="Times New Roman" w:hAnsi="Times New Roman"/>
          <w:sz w:val="18"/>
          <w:szCs w:val="18"/>
          <w:color w:val="auto"/>
        </w:rPr>
      </w:pPr>
    </w:p>
    <w:p>
      <w:pPr>
        <w:jc w:val="both"/>
        <w:ind w:left="660" w:hanging="652"/>
        <w:spacing w:after="0" w:line="258"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Retention cash bonuses</w:t>
      </w:r>
      <w:r>
        <w:rPr>
          <w:rFonts w:ascii="Times New Roman" w:cs="Times New Roman" w:eastAsia="Times New Roman" w:hAnsi="Times New Roman"/>
          <w:sz w:val="18"/>
          <w:szCs w:val="18"/>
          <w:color w:val="auto"/>
        </w:rPr>
        <w:t>—Related to the Mergers, Qorvo and Skyworks have each established retention cash bonus programs for its respective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employees. While the Skyworks retention program includes that grants to certain individuals, if any, will be in the form of equity, certain details of the plans have yet to be determined, and the entire program is assumed to be cash awards for purposes of the Pro Forma Financial Statements. For the purposes of the Pro Forma Statements of Operations, the compensation and benefits expense reflects the maximum amount payable under the retention cash bonus programs and was assumed to be amortized completely in the twelve months ended October 3, 2025.</w:t>
      </w:r>
    </w:p>
    <w:p>
      <w:pPr>
        <w:spacing w:after="0" w:line="183" w:lineRule="exact"/>
        <w:rPr>
          <w:rFonts w:ascii="Times New Roman" w:cs="Times New Roman" w:eastAsia="Times New Roman" w:hAnsi="Times New Roman"/>
          <w:sz w:val="18"/>
          <w:szCs w:val="18"/>
          <w:color w:val="auto"/>
        </w:rPr>
      </w:pPr>
    </w:p>
    <w:p>
      <w:pPr>
        <w:jc w:val="both"/>
        <w:ind w:left="660" w:hanging="652"/>
        <w:spacing w:after="0" w:line="267"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Merger costs</w:t>
      </w:r>
      <w:r>
        <w:rPr>
          <w:rFonts w:ascii="Times New Roman" w:cs="Times New Roman" w:eastAsia="Times New Roman" w:hAnsi="Times New Roman"/>
          <w:sz w:val="18"/>
          <w:szCs w:val="18"/>
          <w:color w:val="auto"/>
        </w:rPr>
        <w:t>—Reflects the total estimated transaction costs for Skyworks that have not yet been recognized in the statement of operations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twelve months ended October 3, 2025. Transaction costs are expensed as incurred and reflected as if incurred on September 28, 2024, and the date the Transactions are assumed to have been completed for the purposes of the Pro Forma Statements of Operations. This is a non-recurring item.</w:t>
      </w:r>
    </w:p>
    <w:p>
      <w:pPr>
        <w:spacing w:after="0" w:line="173" w:lineRule="exact"/>
        <w:rPr>
          <w:rFonts w:ascii="Times New Roman" w:cs="Times New Roman" w:eastAsia="Times New Roman" w:hAnsi="Times New Roman"/>
          <w:sz w:val="18"/>
          <w:szCs w:val="18"/>
          <w:color w:val="auto"/>
        </w:rPr>
      </w:pPr>
    </w:p>
    <w:p>
      <w:pPr>
        <w:jc w:val="both"/>
        <w:ind w:left="660" w:hanging="652"/>
        <w:spacing w:after="0" w:line="258"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Interest expense</w:t>
      </w:r>
      <w:r>
        <w:rPr>
          <w:rFonts w:ascii="Times New Roman" w:cs="Times New Roman" w:eastAsia="Times New Roman" w:hAnsi="Times New Roman"/>
          <w:sz w:val="18"/>
          <w:szCs w:val="18"/>
          <w:color w:val="auto"/>
        </w:rPr>
        <w:t>—For the purposes of these Pro Forma Financial Statements, we assume the entire cash consideration will be funded through new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debt; however, we expect cash consideration will be funded through a combination of new debt and cash accumulated through cash provided by operating activities. The Pro Forma Statements of Operations assume that Skyworks funded the entire cash consideration through the issuance of new debt as of September 28, 2024, a reasonable interest rate of 5%, and issuance costs of $25 million that will be amortized over an assumed life of 10 years.</w:t>
      </w:r>
    </w:p>
    <w:p>
      <w:pPr>
        <w:spacing w:after="0" w:line="185" w:lineRule="exact"/>
        <w:rPr>
          <w:rFonts w:ascii="Times New Roman" w:cs="Times New Roman" w:eastAsia="Times New Roman" w:hAnsi="Times New Roman"/>
          <w:sz w:val="18"/>
          <w:szCs w:val="18"/>
          <w:color w:val="auto"/>
        </w:rPr>
      </w:pPr>
    </w:p>
    <w:p>
      <w:pPr>
        <w:ind w:left="660"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hypothetical increase or decrease of 0.125% in the assumed interest rate would result in a $4 million increase or decrease in the estimated annual interest expense.</w:t>
      </w:r>
    </w:p>
    <w:p>
      <w:pPr>
        <w:spacing w:after="0" w:line="161" w:lineRule="exact"/>
        <w:rPr>
          <w:rFonts w:ascii="Times New Roman" w:cs="Times New Roman" w:eastAsia="Times New Roman" w:hAnsi="Times New Roman"/>
          <w:sz w:val="18"/>
          <w:szCs w:val="18"/>
          <w:color w:val="auto"/>
        </w:rPr>
      </w:pPr>
    </w:p>
    <w:p>
      <w:pPr>
        <w:ind w:left="6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$1 billion of cash is accumulated before the Effective Time and the amount of debt used to cover the cash consideration is correspondingly reduced, assuming an interest rate of 5%, the estimated annual interest expense would decrease $50 million.</w:t>
      </w:r>
    </w:p>
    <w:p>
      <w:pPr>
        <w:spacing w:after="0" w:line="159" w:lineRule="exact"/>
        <w:rPr>
          <w:rFonts w:ascii="Times New Roman" w:cs="Times New Roman" w:eastAsia="Times New Roman" w:hAnsi="Times New Roman"/>
          <w:sz w:val="18"/>
          <w:szCs w:val="18"/>
          <w:color w:val="auto"/>
        </w:rPr>
      </w:pPr>
    </w:p>
    <w:p>
      <w:pPr>
        <w:jc w:val="both"/>
        <w:ind w:left="660" w:hanging="652"/>
        <w:spacing w:after="0" w:line="258"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Amortization expense</w:t>
      </w:r>
      <w:r>
        <w:rPr>
          <w:rFonts w:ascii="Times New Roman" w:cs="Times New Roman" w:eastAsia="Times New Roman" w:hAnsi="Times New Roman"/>
          <w:sz w:val="18"/>
          <w:szCs w:val="18"/>
          <w:color w:val="auto"/>
        </w:rPr>
        <w:t>—Represents the adjustment to record elimination of historical amortization expense and recognition of new amortization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 related to identifiable intangible assets based on the estimated fair value. Amortization expense is calculated based on the estimated fair value of each of the identifiable intangible assets and the associated estimated useful lives as discussed in Note 7(e) below, and is allocated between amortization of acquisition-related intangible assets – cost of goods sold and selling, general, and administrative expense based on the nature of activities associated with the intangible assets acquired.</w:t>
      </w:r>
    </w:p>
    <w:p>
      <w:pPr>
        <w:spacing w:after="0" w:line="183" w:lineRule="exact"/>
        <w:rPr>
          <w:rFonts w:ascii="Times New Roman" w:cs="Times New Roman" w:eastAsia="Times New Roman" w:hAnsi="Times New Roman"/>
          <w:sz w:val="18"/>
          <w:szCs w:val="18"/>
          <w:color w:val="auto"/>
        </w:rPr>
      </w:pPr>
    </w:p>
    <w:p>
      <w:pPr>
        <w:jc w:val="both"/>
        <w:ind w:left="660" w:hanging="652"/>
        <w:spacing w:after="0" w:line="256"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Provision for income taxes</w:t>
      </w:r>
      <w:r>
        <w:rPr>
          <w:rFonts w:ascii="Times New Roman" w:cs="Times New Roman" w:eastAsia="Times New Roman" w:hAnsi="Times New Roman"/>
          <w:sz w:val="18"/>
          <w:szCs w:val="18"/>
          <w:color w:val="auto"/>
        </w:rPr>
        <w:t>—The estimated transaction accounting adjustments to income tax benefit relates primarily to the decrease in income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before income taxes in the statement of operations for the six months ended April 3, 2026 and twelve months ended October 3, 2025, and the corresponding income tax benefit is recognized for the respective period presented. A blended statutory tax rate of approximately 15% is assumed for the amortization of intangible assets, and a blended statutory tax rate of approximately 18% is assumed for all other pro forma adjustments. The applicable blended statutory tax rates are based on the jurisdictions in which the assets are located and are not necessarily indicative of the effective tax rate of Skyworks following the transactions, which could be significantly different depending on post-acquisition activities, including the geographical mix of income.</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5" w:name="page56"/>
    <w:bookmarkEnd w:id="55"/>
    <w:p>
      <w:pPr>
        <w:ind w:left="660" w:hanging="652"/>
        <w:spacing w:after="0" w:line="284"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Amortization of inventory step-up</w:t>
      </w:r>
      <w:r>
        <w:rPr>
          <w:rFonts w:ascii="Times New Roman" w:cs="Times New Roman" w:eastAsia="Times New Roman" w:hAnsi="Times New Roman"/>
          <w:sz w:val="18"/>
          <w:szCs w:val="18"/>
          <w:color w:val="auto"/>
        </w:rPr>
        <w:t>—Based on estimated inventory turnover, the inventory step-up fair value adjustment was assumed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amortized completely in the twelve months ended October 3, 2025.</w:t>
      </w:r>
    </w:p>
    <w:p>
      <w:pPr>
        <w:spacing w:after="0" w:line="158"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Goodwill Impairment</w:t>
      </w:r>
      <w:r>
        <w:rPr>
          <w:rFonts w:ascii="Times New Roman" w:cs="Times New Roman" w:eastAsia="Times New Roman" w:hAnsi="Times New Roman"/>
          <w:sz w:val="18"/>
          <w:szCs w:val="18"/>
          <w:color w:val="auto"/>
        </w:rPr>
        <w:t>—Represents the elimination of historical goodwill impairment of $37 million and $48 million recorded by Qorvo during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six months ended March 28, 2026 and twelve months ended September 27, 2025, respectively. Qorvo's historical goodwill is eliminated and replaced with goodwill resulting from the preliminary purchase price allocation. Accordingly, the historical goodwill impairment charge is no longer applicable and has been eliminated.</w:t>
      </w:r>
    </w:p>
    <w:p>
      <w:pPr>
        <w:spacing w:after="0" w:line="179" w:lineRule="exact"/>
        <w:rPr>
          <w:rFonts w:ascii="Times New Roman" w:cs="Times New Roman" w:eastAsia="Times New Roman" w:hAnsi="Times New Roman"/>
          <w:sz w:val="18"/>
          <w:szCs w:val="18"/>
          <w:color w:val="auto"/>
        </w:rPr>
      </w:pPr>
    </w:p>
    <w:p>
      <w:pPr>
        <w:jc w:val="both"/>
        <w:ind w:left="660" w:right="20" w:hanging="652"/>
        <w:spacing w:after="0" w:line="261"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Anticipated benefits and transaction related charges</w:t>
      </w:r>
      <w:r>
        <w:rPr>
          <w:rFonts w:ascii="Times New Roman" w:cs="Times New Roman" w:eastAsia="Times New Roman" w:hAnsi="Times New Roman"/>
          <w:sz w:val="18"/>
          <w:szCs w:val="18"/>
          <w:color w:val="auto"/>
        </w:rPr>
        <w:t>—The Pro Forma Financial Statements do not include adjustments to reflect any potential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costs that may be incurred in connection with actions required by regulatory or governmental authorities for regulatory approvals and clearances of the Mergers, including divestitures or concessions; anticipated benefits, including synergies, cost savings, innovation, and operational efficiencies; or potential post-transaction costs, such as restructuring and integration charges.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Pro Forma Balance Sheet Accounting Adjustments</w:t>
      </w:r>
    </w:p>
    <w:p>
      <w:pPr>
        <w:spacing w:after="0" w:line="227" w:lineRule="exact"/>
        <w:rPr>
          <w:sz w:val="20"/>
          <w:szCs w:val="20"/>
          <w:color w:val="auto"/>
        </w:rPr>
      </w:pPr>
    </w:p>
    <w:p>
      <w:pPr>
        <w:ind w:left="660" w:hanging="652"/>
        <w:spacing w:after="0" w:line="284"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Reclassification adjustments</w:t>
      </w:r>
      <w:r>
        <w:rPr>
          <w:rFonts w:ascii="Times New Roman" w:cs="Times New Roman" w:eastAsia="Times New Roman" w:hAnsi="Times New Roman"/>
          <w:sz w:val="18"/>
          <w:szCs w:val="18"/>
          <w:color w:val="auto"/>
        </w:rPr>
        <w:t>—Certain reclassification transaction accounting adjustments were made to the Pro Forma Balance Sheet to make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presentation conform to the presentation adopted by Skyworks.</w:t>
      </w:r>
    </w:p>
    <w:p>
      <w:pPr>
        <w:spacing w:after="0" w:line="160"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Reclassified Qorvo’s prepaid expenses to other current assets in the amount of $37 million as of April 3, 2026.</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Reclassified Qorvo’s other receivables to other current assets in the amount of $16 million as of April 3, 2026.</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Reclassified a portion of Qorvo’s other long-term assets to operating lease right-of-use assets in the amount of $52 million as of April 3, 2026.</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Reclassified a portion of Qorvo’s other long-term assets to deferred tax assets, net in the amount of $131 million as of April 3, 2026.</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Reclassified Qorvo’s long-term investments to other long-term assets in the amount of $16 million as of April 3, 2026.</w:t>
      </w:r>
    </w:p>
    <w:p>
      <w:pPr>
        <w:spacing w:after="0" w:line="22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Reclassified a portion of Qorvo’s accrued liabilities to accrued compensation and benefits in the amount of $121 million as of April 3, 2026.</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Reclassified the remaining portion of Qorvo’s accrued liabilities to other current liabilities in the amount of $127 million as of April 3, 2026.</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Reclassified a portion of Qorvo’s other long-term liabilities to long-term tax liabilities in the amount of $89 million as of April 3, 2026.</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Reclassified a portion of Qorvo’s other long-term liabilities to long-term operating lease liabilities in the amount of $40 million as of April 3, 2026.</w:t>
      </w:r>
    </w:p>
    <w:p>
      <w:pPr>
        <w:spacing w:after="0" w:line="159" w:lineRule="exact"/>
        <w:rPr>
          <w:rFonts w:ascii="Times New Roman" w:cs="Times New Roman" w:eastAsia="Times New Roman" w:hAnsi="Times New Roman"/>
          <w:sz w:val="18"/>
          <w:szCs w:val="18"/>
          <w:color w:val="auto"/>
        </w:rPr>
      </w:pPr>
    </w:p>
    <w:p>
      <w:pPr>
        <w:jc w:val="both"/>
        <w:ind w:left="660" w:hanging="652"/>
        <w:spacing w:after="0" w:line="281" w:lineRule="auto"/>
        <w:tabs>
          <w:tab w:leader="none" w:pos="66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Consideration</w:t>
      </w:r>
      <w:r>
        <w:rPr>
          <w:rFonts w:ascii="Times New Roman" w:cs="Times New Roman" w:eastAsia="Times New Roman" w:hAnsi="Times New Roman"/>
          <w:sz w:val="17"/>
          <w:szCs w:val="17"/>
          <w:color w:val="auto"/>
        </w:rPr>
        <w:t>—Represents the total Merger Consideration of $8,597 million, consisting of (i) cash consideration of $2,860 million, (ii) issuance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 approximately 84,500,000 shares of Skyworks common stock with an estimated fair value of $5,643 million, and (iii) issuance of approximately 1,411,000 Skyworks restricted stock unit awards with an estimated fair value of $94 million attributable to pre-combination services. The calculation of preliminary Merger Consideration is based on 88,013,673 shares of Qorvo common stock outstanding as of May 1, 2026.</w:t>
      </w:r>
    </w:p>
    <w:p>
      <w:pPr>
        <w:spacing w:after="0" w:line="164" w:lineRule="exact"/>
        <w:rPr>
          <w:rFonts w:ascii="Times New Roman" w:cs="Times New Roman" w:eastAsia="Times New Roman" w:hAnsi="Times New Roman"/>
          <w:sz w:val="17"/>
          <w:szCs w:val="17"/>
          <w:color w:val="auto"/>
        </w:rPr>
      </w:pPr>
    </w:p>
    <w:p>
      <w:pPr>
        <w:jc w:val="both"/>
        <w:ind w:left="660" w:hanging="652"/>
        <w:spacing w:after="0" w:line="258"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Inventory</w:t>
      </w:r>
      <w:r>
        <w:rPr>
          <w:rFonts w:ascii="Times New Roman" w:cs="Times New Roman" w:eastAsia="Times New Roman" w:hAnsi="Times New Roman"/>
          <w:sz w:val="18"/>
          <w:szCs w:val="18"/>
          <w:color w:val="auto"/>
        </w:rPr>
        <w:t>—Raw material inventory is measured at fair value (current replacement cost), which is estimated to be the current carrying value. Work-in-process inventory is estimated at the fair market value, which is the estimated selling price less the sum of (a) costs to complete the manufacturing process, (b) costs of selling effort, and (c) a reasonable profit margin for the completion of the manufacturing process and selling effort. Finished goods inventory is estimated at the fair market value, which is the estimated selling price less the sum of (a) costs of selling effort, and (b) a reasonable profit margin for the selling effort.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56" w:name="page57"/>
    <w:bookmarkEnd w:id="56"/>
    <w:p>
      <w:pPr>
        <w:ind w:left="660" w:hanging="652"/>
        <w:spacing w:after="0" w:line="284"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Goodwill</w:t>
      </w:r>
      <w:r>
        <w:rPr>
          <w:rFonts w:ascii="Times New Roman" w:cs="Times New Roman" w:eastAsia="Times New Roman" w:hAnsi="Times New Roman"/>
          <w:sz w:val="18"/>
          <w:szCs w:val="18"/>
          <w:color w:val="auto"/>
        </w:rPr>
        <w:t>—Represents the adjustment to eliminate Qorvo’s historical goodwill balance and estimate the goodwill value acquired in the transaction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based on the preliminary purchase price allocation, as further described in Note 5.</w:t>
      </w:r>
    </w:p>
    <w:p>
      <w:pPr>
        <w:spacing w:after="0" w:line="158" w:lineRule="exact"/>
        <w:rPr>
          <w:rFonts w:ascii="Times New Roman" w:cs="Times New Roman" w:eastAsia="Times New Roman" w:hAnsi="Times New Roman"/>
          <w:sz w:val="18"/>
          <w:szCs w:val="18"/>
          <w:color w:val="auto"/>
        </w:rPr>
      </w:pPr>
    </w:p>
    <w:p>
      <w:pPr>
        <w:jc w:val="both"/>
        <w:ind w:left="660" w:hanging="652"/>
        <w:spacing w:after="0" w:line="258"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Intangible assets, net</w:t>
      </w:r>
      <w:r>
        <w:rPr>
          <w:rFonts w:ascii="Times New Roman" w:cs="Times New Roman" w:eastAsia="Times New Roman" w:hAnsi="Times New Roman"/>
          <w:sz w:val="18"/>
          <w:szCs w:val="18"/>
          <w:color w:val="auto"/>
        </w:rPr>
        <w:t>—Represents the adjustments to eliminate Qorvo’s historical net intangible assets carrying value and estimate the fair value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intangible assets acquired in the Transactions. Preliminary identifiable intangible assets in the Pro Forma Financial Statements are provided in the table above. The amortization related to these identifiable intangible assets is reflected as a transaction adjustment in the Pro Forma Statements of Operations, as further described in Note 5. The identifiable intangible assets and related amortization are preliminary and are based on management’s estimates after consideration of similar transactions.</w:t>
      </w:r>
    </w:p>
    <w:p>
      <w:pPr>
        <w:spacing w:after="0" w:line="183" w:lineRule="exact"/>
        <w:rPr>
          <w:rFonts w:ascii="Times New Roman" w:cs="Times New Roman" w:eastAsia="Times New Roman" w:hAnsi="Times New Roman"/>
          <w:sz w:val="18"/>
          <w:szCs w:val="18"/>
          <w:color w:val="auto"/>
        </w:rPr>
      </w:pPr>
    </w:p>
    <w:p>
      <w:pPr>
        <w:jc w:val="both"/>
        <w:ind w:left="660" w:hanging="652"/>
        <w:spacing w:after="0" w:line="257"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Deferred income taxes</w:t>
      </w:r>
      <w:r>
        <w:rPr>
          <w:rFonts w:ascii="Times New Roman" w:cs="Times New Roman" w:eastAsia="Times New Roman" w:hAnsi="Times New Roman"/>
          <w:sz w:val="18"/>
          <w:szCs w:val="18"/>
          <w:color w:val="auto"/>
        </w:rPr>
        <w:t>—Represents the adjustment to the deferred tax assets and the deferred tax liability balance associated with the incremental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differences in the book and tax basis created from the preliminary purchase price allocation, primarily resulting from the preliminary fair value of intangible assets. Deferred taxes are established based on a blended statutory tax rate based on jurisdiction where income is generated. The effective tax rate of Skyworks following the Transactions could be significantly different (even higher or lower) depending on post-acquisition activities, including the geographical mix of income. This determination is preliminary and subject to change based upon the final determination of the closing date fair value, primarily of the identifiable intangible assets.</w:t>
      </w:r>
    </w:p>
    <w:p>
      <w:pPr>
        <w:spacing w:after="0" w:line="182" w:lineRule="exact"/>
        <w:rPr>
          <w:rFonts w:ascii="Times New Roman" w:cs="Times New Roman" w:eastAsia="Times New Roman" w:hAnsi="Times New Roman"/>
          <w:sz w:val="18"/>
          <w:szCs w:val="18"/>
          <w:color w:val="auto"/>
        </w:rPr>
      </w:pPr>
    </w:p>
    <w:p>
      <w:pPr>
        <w:ind w:left="660" w:hanging="652"/>
        <w:spacing w:after="0" w:line="284"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Merger costs</w:t>
      </w:r>
      <w:r>
        <w:rPr>
          <w:rFonts w:ascii="Times New Roman" w:cs="Times New Roman" w:eastAsia="Times New Roman" w:hAnsi="Times New Roman"/>
          <w:sz w:val="18"/>
          <w:szCs w:val="18"/>
          <w:color w:val="auto"/>
        </w:rPr>
        <w:t>—A transaction accounting adjustment was made for the estimated $157 million in merger costs to be incurred by Skyworks.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adjustment was assumed to be recorded in accounts payable as of April 3, 2026.</w:t>
      </w:r>
    </w:p>
    <w:p>
      <w:pPr>
        <w:spacing w:after="0" w:line="158" w:lineRule="exact"/>
        <w:rPr>
          <w:rFonts w:ascii="Times New Roman" w:cs="Times New Roman" w:eastAsia="Times New Roman" w:hAnsi="Times New Roman"/>
          <w:sz w:val="18"/>
          <w:szCs w:val="18"/>
          <w:color w:val="auto"/>
        </w:rPr>
      </w:pPr>
    </w:p>
    <w:p>
      <w:pPr>
        <w:jc w:val="both"/>
        <w:ind w:left="660" w:hanging="652"/>
        <w:spacing w:after="0" w:line="257"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Retention cash bonuses</w:t>
      </w:r>
      <w:r>
        <w:rPr>
          <w:rFonts w:ascii="Times New Roman" w:cs="Times New Roman" w:eastAsia="Times New Roman" w:hAnsi="Times New Roman"/>
          <w:sz w:val="18"/>
          <w:szCs w:val="18"/>
          <w:color w:val="auto"/>
        </w:rPr>
        <w:t>—Related to the Mergers, Skyworks and Qorvo have each established retention cash bonus programs for its respective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employees. While the Skyworks retention program includes that grants to certain individuals, if any, will be in the form of equity, certain details of the programs have yet to be determined, and the entire program is assumed to be cash awards for purposes of the pro forma financial statements. Awards under Skyworks’ program vest 50% at closing and 50% six months thereafter, and awards under Qorvo’s program vest 60% at closing and 40% six months thereafter. For the purposes of this Pro Forma Balance Sheet, the accrued compensation and benefits reflects the maximum amount payable under the retention bonus programs.</w:t>
      </w:r>
    </w:p>
    <w:p>
      <w:pPr>
        <w:spacing w:after="0" w:line="182" w:lineRule="exact"/>
        <w:rPr>
          <w:rFonts w:ascii="Times New Roman" w:cs="Times New Roman" w:eastAsia="Times New Roman" w:hAnsi="Times New Roman"/>
          <w:sz w:val="18"/>
          <w:szCs w:val="18"/>
          <w:color w:val="auto"/>
        </w:rPr>
      </w:pPr>
    </w:p>
    <w:p>
      <w:pPr>
        <w:jc w:val="both"/>
        <w:ind w:left="660" w:hanging="652"/>
        <w:spacing w:after="0" w:line="267"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Deferred compensation</w:t>
      </w:r>
      <w:r>
        <w:rPr>
          <w:rFonts w:ascii="Times New Roman" w:cs="Times New Roman" w:eastAsia="Times New Roman" w:hAnsi="Times New Roman"/>
          <w:sz w:val="18"/>
          <w:szCs w:val="18"/>
          <w:color w:val="auto"/>
        </w:rPr>
        <w:t>—Qorvo has a non-qualified deferred compensation plan that requires a lump-sum payout upon change in control 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election of the eligible employees and members of the Qorvo’s board. The </w:t>
      </w:r>
      <w:r>
        <w:rPr>
          <w:rFonts w:ascii="Times New Roman" w:cs="Times New Roman" w:eastAsia="Times New Roman" w:hAnsi="Times New Roman"/>
          <w:sz w:val="18"/>
          <w:szCs w:val="18"/>
          <w:i w:val="1"/>
          <w:iCs w:val="1"/>
          <w:color w:val="auto"/>
        </w:rPr>
        <w:t>Transaction Accounting</w:t>
      </w:r>
      <w:r>
        <w:rPr>
          <w:rFonts w:ascii="Times New Roman" w:cs="Times New Roman" w:eastAsia="Times New Roman" w:hAnsi="Times New Roman"/>
          <w:sz w:val="18"/>
          <w:szCs w:val="18"/>
          <w:color w:val="auto"/>
        </w:rPr>
        <w:t xml:space="preserve"> adjustment of $17 million relates to the portion of deferred compensation obligation that is being paid out as a result of the change in control.</w:t>
      </w:r>
    </w:p>
    <w:p>
      <w:pPr>
        <w:spacing w:after="0" w:line="173" w:lineRule="exact"/>
        <w:rPr>
          <w:rFonts w:ascii="Times New Roman" w:cs="Times New Roman" w:eastAsia="Times New Roman" w:hAnsi="Times New Roman"/>
          <w:sz w:val="18"/>
          <w:szCs w:val="18"/>
          <w:color w:val="auto"/>
        </w:rPr>
      </w:pPr>
    </w:p>
    <w:p>
      <w:pPr>
        <w:ind w:left="660" w:hanging="652"/>
        <w:spacing w:after="0" w:line="284"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Represents the net adjustment to the estimated fair value of Qorvo’s senior notes assumed in connection with the transactions, based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aggregate principal amount of such senior notes as of May 20, 2026.</w:t>
      </w:r>
    </w:p>
    <w:p>
      <w:pPr>
        <w:spacing w:after="0" w:line="158"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Historical shareholders’ equity</w:t>
      </w:r>
      <w:r>
        <w:rPr>
          <w:rFonts w:ascii="Times New Roman" w:cs="Times New Roman" w:eastAsia="Times New Roman" w:hAnsi="Times New Roman"/>
          <w:sz w:val="18"/>
          <w:szCs w:val="18"/>
          <w:color w:val="auto"/>
        </w:rPr>
        <w:t>—The historical shareholder’s equity of Qorvo will be eliminated as part of the Mergers.</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For the purposes of these Pro Forma Financial Statements, we assume the entire cash consideration will be funded through new debt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$2,860 million; however, we expect cash consideration will be funded through a combination of new debt and cash accumulated through cash provided by operating activities. The financing transaction adjustment, which includes issuance and liability management costs of $25 million assumed to be paid in cash, was assumed to be recorded on April 3, 2026, for this Pro Forma Balance Sheet.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Pro Forma Earnings Per Share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combined basic and diluted earnings per share for the periods presented are based on the combined weighted average basic and diluted common stock of Skyworks and Qorvo. As of the beginning of the periods presented, the historical weighted average basic and diluted shares of Qorvo were assumed to be replaced by the common stock issued and share settlement of stock-based compensation by Skyworks at the effective time of the Mergers as discussed in Note 4. The number of issued and outstanding shares of Qorvo common stock was estimated at 88,013,673 based on the shares outstanding on May 1, 2026. Each share of Qorvo common stock outstanding will receive 0.96 share of Skyworks common stock, yielding a pro forma adjustment of 84,493,126 shares of basic and diluted earnings per share.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16231B"/>
    <w:multiLevelType w:val="hybridMultilevel"/>
    <w:lvl w:ilvl="0">
      <w:lvlJc w:val="left"/>
      <w:lvlText w:val="x"/>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1)"/>
      <w:numFmt w:val="lowerRoman"/>
      <w:start w:val="2"/>
    </w:lvl>
  </w:abstractNum>
  <w:abstractNum w:abstractNumId="3">
    <w:nsid w:val="66EF438D"/>
    <w:multiLevelType w:val="hybridMultilevel"/>
    <w:lvl w:ilvl="0">
      <w:lvlJc w:val="left"/>
      <w:lvlText w:val="(%1)"/>
      <w:numFmt w:val="lowerLetter"/>
      <w:start w:val="4"/>
    </w:lvl>
  </w:abstractNum>
  <w:abstractNum w:abstractNumId="4">
    <w:nsid w:val="140E0F76"/>
    <w:multiLevelType w:val="hybridMultilevel"/>
    <w:lvl w:ilvl="0">
      <w:lvlJc w:val="left"/>
      <w:lvlText w:val="(%1)"/>
      <w:numFmt w:val="decimal"/>
      <w:start w:val="1"/>
    </w:lvl>
  </w:abstractNum>
  <w:abstractNum w:abstractNumId="5">
    <w:nsid w:val="3352255A"/>
    <w:multiLevelType w:val="hybridMultilevel"/>
    <w:lvl w:ilvl="0">
      <w:lvlJc w:val="left"/>
      <w:lvlText w:val="(%1)"/>
      <w:numFmt w:val="decimal"/>
      <w:start w:val="1"/>
    </w:lvl>
  </w:abstractNum>
  <w:abstractNum w:abstractNumId="6">
    <w:nsid w:val="109CF92E"/>
    <w:multiLevelType w:val="hybridMultilevel"/>
    <w:lvl w:ilvl="0">
      <w:lvlJc w:val="left"/>
      <w:lvlText w:val="(%1)"/>
      <w:numFmt w:val="decimal"/>
      <w:start w:val="1"/>
    </w:lvl>
  </w:abstractNum>
  <w:abstractNum w:abstractNumId="7">
    <w:nsid w:val="DED7263"/>
    <w:multiLevelType w:val="hybridMultilevel"/>
    <w:lvl w:ilvl="0">
      <w:lvlJc w:val="left"/>
      <w:lvlText w:val="(%1)"/>
      <w:numFmt w:val="decimal"/>
      <w:start w:val="1"/>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1]"/>
      <w:numFmt w:val="lowerLetter"/>
      <w:start w:val="1"/>
    </w:lvl>
  </w:abstractNum>
  <w:abstractNum w:abstractNumId="13">
    <w:nsid w:val="25E45D32"/>
    <w:multiLevelType w:val="hybridMultilevel"/>
    <w:lvl w:ilvl="0">
      <w:lvlJc w:val="left"/>
      <w:lvlText w:val="[%1]"/>
      <w:numFmt w:val="lowerLetter"/>
      <w:start w:val="4"/>
    </w:lvl>
  </w:abstractNum>
  <w:abstractNum w:abstractNumId="14">
    <w:nsid w:val="519B500D"/>
    <w:multiLevelType w:val="hybridMultilevel"/>
    <w:lvl w:ilvl="0">
      <w:lvlJc w:val="left"/>
      <w:lvlText w:val="[%1]"/>
      <w:numFmt w:val="lowerLetter"/>
      <w:start w:val="1"/>
    </w:lvl>
  </w:abstractNum>
  <w:abstractNum w:abstractNumId="15">
    <w:nsid w:val="431BD7B7"/>
    <w:multiLevelType w:val="hybridMultilevel"/>
    <w:lvl w:ilvl="0">
      <w:lvlJc w:val="left"/>
      <w:lvlText w:val="[%1]"/>
      <w:numFmt w:val="lowerLetter"/>
      <w:start w:val="4"/>
    </w:lvl>
  </w:abstractNum>
  <w:abstractNum w:abstractNumId="16">
    <w:nsid w:val="3F2DBA31"/>
    <w:multiLevelType w:val="hybridMultilevel"/>
    <w:lvl w:ilvl="0">
      <w:lvlJc w:val="left"/>
      <w:lvlText w:val="[%1]"/>
      <w:numFmt w:val="lowerLetter"/>
      <w:start w:val="1"/>
    </w:lvl>
    <w:lvl w:ilvl="1">
      <w:lvlJc w:val="left"/>
      <w:lvlText w:val="[%2]"/>
      <w:numFmt w:val="decimal"/>
      <w:start w:val="1"/>
    </w:lvl>
  </w:abstractNum>
  <w:abstractNum w:abstractNumId="17">
    <w:nsid w:val="7C83E458"/>
    <w:multiLevelType w:val="hybridMultilevel"/>
    <w:lvl w:ilvl="0">
      <w:lvlJc w:val="left"/>
      <w:lvlText w:val="[%1]"/>
      <w:numFmt w:val="lowerLetter"/>
      <w:start w:val="7"/>
    </w:lvl>
  </w:abstractNum>
  <w:abstractNum w:abstractNumId="18">
    <w:nsid w:val="257130A3"/>
    <w:multiLevelType w:val="hybridMultilevel"/>
    <w:lvl w:ilvl="0">
      <w:lvlJc w:val="left"/>
      <w:lvlText w:val="[%1]"/>
      <w:numFmt w:val="lowerLetter"/>
      <w:start w:val="1"/>
    </w:lvl>
    <w:lvl w:ilvl="1">
      <w:lvlJc w:val="left"/>
      <w:lvlText w:val="[%2]"/>
      <w:numFmt w:val="decimal"/>
      <w:start w:val="1"/>
    </w:lvl>
  </w:abstractNum>
  <w:abstractNum w:abstractNumId="19">
    <w:nsid w:val="62BBD95A"/>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2026-05-20T15:59:27Z</dcterms:created>
  <dcterms:modified xsi:type="dcterms:W3CDTF">2026-05-20T15:59:27Z</dcterms:modified>
</cp:coreProperties>
</file>