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6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ind w:left="0" w:right="0" w:firstLine="360"/>
        <w:jc w:val="left"/>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29, 2024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0" w:after="0"/>
        <w:ind w:left="0" w:right="0" w:firstLine="360"/>
        <w:jc w:val="left"/>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For the transition period from __________to__________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001-05560 </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Skyworks Solutions, Inc.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7269" w:type="dxa"/>
        <w:jc w:val="center"/>
        <w:tblInd w:w="0" w:type="dxa"/>
        <w:tblLayout w:type="fixed"/>
        <w:tblCellMar>
          <w:top w:w="28" w:type="dxa"/>
          <w:left w:w="28" w:type="dxa"/>
          <w:bottom w:w="28" w:type="dxa"/>
          <w:right w:w="28" w:type="dxa"/>
        </w:tblCellMar>
      </w:tblPr>
      <w:tblGrid>
        <w:gridCol w:w="795"/>
        <w:gridCol w:w="699"/>
        <w:gridCol w:w="699"/>
        <w:gridCol w:w="699"/>
        <w:gridCol w:w="699"/>
        <w:gridCol w:w="727"/>
        <w:gridCol w:w="109"/>
        <w:gridCol w:w="109"/>
        <w:gridCol w:w="109"/>
        <w:gridCol w:w="766"/>
        <w:gridCol w:w="766"/>
        <w:gridCol w:w="1092"/>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04-2302115</w:t>
            </w:r>
          </w:p>
        </w:tc>
      </w:tr>
      <w:tr>
        <w:trPr/>
        <w:tc>
          <w:tcPr>
            <w:tcW w:w="4318"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5260 California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92617</w:t>
            </w:r>
          </w:p>
        </w:tc>
      </w:tr>
      <w:tr>
        <w:trPr/>
        <w:tc>
          <w:tcPr>
            <w:tcW w:w="431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18"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tbl>
      <w:tblPr>
        <w:tblW w:w="4537" w:type="dxa"/>
        <w:jc w:val="center"/>
        <w:tblInd w:w="0" w:type="dxa"/>
        <w:tblLayout w:type="fixed"/>
        <w:tblCellMar>
          <w:top w:w="28" w:type="dxa"/>
          <w:left w:w="28" w:type="dxa"/>
          <w:bottom w:w="28" w:type="dxa"/>
          <w:right w:w="28" w:type="dxa"/>
        </w:tblCellMar>
      </w:tblPr>
      <w:tblGrid>
        <w:gridCol w:w="124"/>
        <w:gridCol w:w="109"/>
        <w:gridCol w:w="109"/>
        <w:gridCol w:w="476"/>
        <w:gridCol w:w="476"/>
        <w:gridCol w:w="481"/>
        <w:gridCol w:w="795"/>
        <w:gridCol w:w="795"/>
        <w:gridCol w:w="80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(949)</w:t>
            </w:r>
          </w:p>
        </w:tc>
        <w:tc>
          <w:tcPr>
            <w:tcW w:w="2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231-3000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7824" w:type="dxa"/>
        <w:jc w:val="center"/>
        <w:tblInd w:w="0" w:type="dxa"/>
        <w:tblLayout w:type="fixed"/>
        <w:tblCellMar>
          <w:top w:w="28" w:type="dxa"/>
          <w:left w:w="28" w:type="dxa"/>
          <w:bottom w:w="28" w:type="dxa"/>
          <w:right w:w="28" w:type="dxa"/>
        </w:tblCellMar>
      </w:tblPr>
      <w:tblGrid>
        <w:gridCol w:w="566"/>
        <w:gridCol w:w="498"/>
        <w:gridCol w:w="498"/>
        <w:gridCol w:w="498"/>
        <w:gridCol w:w="498"/>
        <w:gridCol w:w="498"/>
        <w:gridCol w:w="484"/>
        <w:gridCol w:w="484"/>
        <w:gridCol w:w="486"/>
        <w:gridCol w:w="970"/>
        <w:gridCol w:w="970"/>
        <w:gridCol w:w="1374"/>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$0.25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SWKS</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6"/>
        </w:rPr>
        <w:t>Yes</w:t>
      </w:r>
      <w:r>
        <w:rPr>
          <w:color w:val="000000"/>
        </w:rPr>
        <w:t xml:space="preserve"> ☐ </w:t>
      </w:r>
      <w:r>
        <w:rPr>
          <w:rFonts w:ascii="Times New Roman;sans-serif" w:hAnsi="Times New Roman;sans-serif"/>
          <w:b w:val="false"/>
          <w:color w:val="000000"/>
          <w:sz w:val="16"/>
        </w:rPr>
        <w:t>No</w:t>
      </w:r>
    </w:p>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14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99"/>
        <w:gridCol w:w="499"/>
        <w:gridCol w:w="501"/>
        <w:gridCol w:w="604"/>
        <w:gridCol w:w="604"/>
        <w:gridCol w:w="606"/>
        <w:gridCol w:w="704"/>
        <w:gridCol w:w="704"/>
        <w:gridCol w:w="707"/>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Accelerated filer </w:t>
            </w:r>
            <w:r>
              <w:rPr>
                <w:color w:val="000000"/>
              </w:rPr>
              <w: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Non-accelerated filer </w:t>
            </w:r>
            <w:r>
              <w:rPr>
                <w:color w:val="000000"/>
              </w:rPr>
              <w:t>☐</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is a shell company (as defined in Rule 12b-2 of the Exchange Act). </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No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 of April 25, 2024, the registrant had 160,446,602 shares of common stock, par value $0.25 per share,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SKYWORKS SOLUTIONS,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QUARTERLY REPORT ON FORM 10-Q</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 ENDED MARCH 29,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TABLE OF CONTENTS</w:t>
      </w:r>
    </w:p>
    <w:tbl>
      <w:tblPr>
        <w:tblW w:w="10094" w:type="dxa"/>
        <w:jc w:val="left"/>
        <w:tblInd w:w="0" w:type="dxa"/>
        <w:tblLayout w:type="fixed"/>
        <w:tblCellMar>
          <w:top w:w="28" w:type="dxa"/>
          <w:left w:w="28" w:type="dxa"/>
          <w:bottom w:w="28" w:type="dxa"/>
          <w:right w:w="28" w:type="dxa"/>
        </w:tblCellMar>
      </w:tblPr>
      <w:tblGrid>
        <w:gridCol w:w="3302"/>
        <w:gridCol w:w="2899"/>
        <w:gridCol w:w="2904"/>
        <w:gridCol w:w="288"/>
        <w:gridCol w:w="288"/>
        <w:gridCol w:w="413"/>
      </w:tblGrid>
      <w:tr>
        <w:trPr/>
        <w:tc>
          <w:tcPr>
            <w:tcW w:w="3302"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 NO.</w:t>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10">
              <w:r>
                <w:rPr>
                  <w:rStyle w:val="InternetLink"/>
                  <w:rFonts w:ascii="Times New Roman;sans-serif" w:hAnsi="Times New Roman;sans-serif"/>
                  <w:b w:val="false"/>
                  <w:color w:val="0000FF"/>
                  <w:sz w:val="16"/>
                  <w:u w:val="single"/>
                </w:rPr>
                <w:t>PART I. FINANCIAL INFORMATION</w:t>
              </w:r>
            </w:hyperlink>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13">
              <w:r>
                <w:rPr>
                  <w:rStyle w:val="InternetLink"/>
                  <w:rFonts w:ascii="Times New Roman;sans-serif" w:hAnsi="Times New Roman;sans-serif"/>
                  <w:b w:val="false"/>
                  <w:color w:val="000080"/>
                  <w:sz w:val="16"/>
                  <w:u w:val="single"/>
                </w:rPr>
                <w:t>ITEM 1:</w:t>
              </w:r>
            </w:hyperlink>
            <w:hyperlink w:anchor="i4f918421f0d544c8ab00828769399a28_13">
              <w:r>
                <w:rPr>
                  <w:rStyle w:val="InternetLink"/>
                  <w:rFonts w:ascii="Times New Roman;sans-serif" w:hAnsi="Times New Roman;sans-serif"/>
                  <w:b w:val="false"/>
                  <w:color w:val="000080"/>
                  <w:sz w:val="16"/>
                  <w:u w:val="single"/>
                </w:rPr>
                <w:t xml:space="preserve"> FINANCIAL STATEMENTS (UNAUDITED)</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10">
              <w:r>
                <w:rPr>
                  <w:rStyle w:val="InternetLink"/>
                  <w:rFonts w:ascii="Times New Roman;sans-serif" w:hAnsi="Times New Roman;sans-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16">
              <w:r>
                <w:rPr>
                  <w:rStyle w:val="InternetLink"/>
                  <w:rFonts w:ascii="Times New Roman;sans-serif" w:hAnsi="Times New Roman;sans-serif"/>
                  <w:b w:val="false"/>
                  <w:color w:val="0000FF"/>
                  <w:sz w:val="16"/>
                  <w:u w:val="single"/>
                </w:rPr>
                <w:t>CONSOLIDATED STATEMENTS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16">
              <w:r>
                <w:rPr>
                  <w:rStyle w:val="InternetLink"/>
                  <w:rFonts w:ascii="Times New Roman;sans-serif" w:hAnsi="Times New Roman;sans-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19">
              <w:r>
                <w:rPr>
                  <w:rStyle w:val="InternetLink"/>
                  <w:rFonts w:ascii="Times New Roman;sans-serif" w:hAnsi="Times New Roman;sans-serif"/>
                  <w:b w:val="false"/>
                  <w:color w:val="0000FF"/>
                  <w:sz w:val="16"/>
                  <w:u w:val="single"/>
                </w:rPr>
                <w:t>CONSOLIDATED STATEMENTS OF COMPREHENSIVE INCOME</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19">
              <w:r>
                <w:rPr>
                  <w:rStyle w:val="InternetLink"/>
                  <w:rFonts w:ascii="Times New Roman;sans-serif" w:hAnsi="Times New Roman;sans-serif"/>
                  <w:b w:val="false"/>
                  <w:color w:val="0000FF"/>
                  <w:sz w:val="18"/>
                  <w:u w:val="single"/>
                </w:rPr>
                <w:t>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22">
              <w:r>
                <w:rPr>
                  <w:rStyle w:val="InternetLink"/>
                  <w:rFonts w:ascii="Times New Roman;sans-serif" w:hAnsi="Times New Roman;sans-serif"/>
                  <w:b w:val="false"/>
                  <w:color w:val="0000FF"/>
                  <w:sz w:val="16"/>
                  <w:u w:val="single"/>
                </w:rPr>
                <w:t>CONSOLIDATED BALANCE SHEETS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22">
              <w:r>
                <w:rPr>
                  <w:rStyle w:val="InternetLink"/>
                  <w:rFonts w:ascii="Times New Roman;sans-serif" w:hAnsi="Times New Roman;sans-serif"/>
                  <w:b w:val="false"/>
                  <w:color w:val="0000FF"/>
                  <w:sz w:val="18"/>
                  <w:u w:val="single"/>
                </w:rPr>
                <w:t>4</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28">
              <w:r>
                <w:rPr>
                  <w:rStyle w:val="InternetLink"/>
                  <w:rFonts w:ascii="Times New Roman;sans-serif" w:hAnsi="Times New Roman;sans-serif"/>
                  <w:b w:val="false"/>
                  <w:color w:val="0000FF"/>
                  <w:sz w:val="16"/>
                  <w:u w:val="single"/>
                </w:rPr>
                <w:t>CONSOLIDATED STATEMENTS OF CASH FLOWS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28">
              <w:r>
                <w:rPr>
                  <w:rStyle w:val="InternetLink"/>
                  <w:rFonts w:ascii="Times New Roman;sans-serif" w:hAnsi="Times New Roman;sans-serif"/>
                  <w:b w:val="false"/>
                  <w:color w:val="0000FF"/>
                  <w:sz w:val="18"/>
                  <w:u w:val="single"/>
                </w:rPr>
                <w:t>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31">
              <w:r>
                <w:rPr>
                  <w:rStyle w:val="InternetLink"/>
                  <w:rFonts w:ascii="Times New Roman;sans-serif" w:hAnsi="Times New Roman;sans-serif"/>
                  <w:b w:val="false"/>
                  <w:color w:val="0000FF"/>
                  <w:sz w:val="16"/>
                  <w:u w:val="single"/>
                </w:rPr>
                <w:t>CONSOLIDATED STATEMENTS OF STOCKHOLDERS' EQUITY</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31">
              <w:r>
                <w:rPr>
                  <w:rStyle w:val="InternetLink"/>
                  <w:rFonts w:ascii="Times New Roman;sans-serif" w:hAnsi="Times New Roman;sans-serif"/>
                  <w:b w:val="false"/>
                  <w:color w:val="0000FF"/>
                  <w:sz w:val="18"/>
                  <w:u w:val="single"/>
                </w:rPr>
                <w:t>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34">
              <w:r>
                <w:rPr>
                  <w:rStyle w:val="InternetLink"/>
                  <w:rFonts w:ascii="Times New Roman;sans-serif" w:hAnsi="Times New Roman;sans-serif"/>
                  <w:b w:val="false"/>
                  <w:color w:val="0000FF"/>
                  <w:sz w:val="16"/>
                  <w:u w:val="single"/>
                </w:rPr>
                <w:t>NOTES TO CONSOLIDATED FINANCIAL STATEMENTS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34">
              <w:r>
                <w:rPr>
                  <w:rStyle w:val="InternetLink"/>
                  <w:rFonts w:ascii="Times New Roman;sans-serif" w:hAnsi="Times New Roman;sans-serif"/>
                  <w:b w:val="false"/>
                  <w:color w:val="0000FF"/>
                  <w:sz w:val="18"/>
                  <w:u w:val="single"/>
                </w:rPr>
                <w:t>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73">
              <w:r>
                <w:rPr>
                  <w:rStyle w:val="InternetLink"/>
                  <w:rFonts w:ascii="Times New Roman;sans-serif" w:hAnsi="Times New Roman;sans-serif"/>
                  <w:b w:val="false"/>
                  <w:color w:val="0000FF"/>
                  <w:sz w:val="16"/>
                  <w:u w:val="single"/>
                </w:rPr>
                <w:t>ITEM 2: MANAGEMENT’S DISCUSSION AND ANALYSIS OF FINANCIAL CONDITION AND RESULTS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73">
              <w:r>
                <w:rPr>
                  <w:rStyle w:val="InternetLink"/>
                  <w:rFonts w:ascii="Times New Roman;sans-serif" w:hAnsi="Times New Roman;sans-serif"/>
                  <w:b w:val="false"/>
                  <w:color w:val="0000FF"/>
                  <w:sz w:val="18"/>
                  <w:u w:val="single"/>
                </w:rPr>
                <w:t>15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85">
              <w:r>
                <w:rPr>
                  <w:rStyle w:val="InternetLink"/>
                  <w:rFonts w:ascii="Times New Roman;sans-serif" w:hAnsi="Times New Roman;sans-serif"/>
                  <w:b w:val="false"/>
                  <w:color w:val="0000FF"/>
                  <w:sz w:val="16"/>
                  <w:u w:val="single"/>
                </w:rPr>
                <w:t>ITEM 3: QUANTITATIVE AND QUALITATIVE DISCLOSURES ABOUT MARKET RISK</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85">
              <w:r>
                <w:rPr>
                  <w:rStyle w:val="InternetLink"/>
                  <w:rFonts w:ascii="Times New Roman;sans-serif" w:hAnsi="Times New Roman;sans-serif"/>
                  <w:b w:val="false"/>
                  <w:color w:val="0000FF"/>
                  <w:sz w:val="18"/>
                  <w:u w:val="single"/>
                </w:rPr>
                <w:t>20</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88">
              <w:r>
                <w:rPr>
                  <w:rStyle w:val="InternetLink"/>
                  <w:rFonts w:ascii="Times New Roman;sans-serif" w:hAnsi="Times New Roman;sans-serif"/>
                  <w:b w:val="false"/>
                  <w:color w:val="0000FF"/>
                  <w:sz w:val="16"/>
                  <w:u w:val="single"/>
                </w:rPr>
                <w:t>ITEM 4: CONTROLS AND PROCEDURES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88">
              <w:r>
                <w:rPr>
                  <w:rStyle w:val="InternetLink"/>
                  <w:rFonts w:ascii="Times New Roman;sans-serif" w:hAnsi="Times New Roman;sans-serif"/>
                  <w:b w:val="false"/>
                  <w:color w:val="0000FF"/>
                  <w:sz w:val="18"/>
                  <w:u w:val="single"/>
                </w:rPr>
                <w:t>21</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91">
              <w:r>
                <w:rPr>
                  <w:rStyle w:val="InternetLink"/>
                  <w:rFonts w:ascii="Times New Roman;sans-serif" w:hAnsi="Times New Roman;sans-serif"/>
                  <w:b w:val="false"/>
                  <w:color w:val="000080"/>
                  <w:sz w:val="16"/>
                  <w:u w:val="single"/>
                </w:rPr>
                <w:t xml:space="preserve">PART II. </w:t>
              </w:r>
            </w:hyperlink>
            <w:hyperlink w:anchor="i4f918421f0d544c8ab00828769399a28_91">
              <w:r>
                <w:rPr>
                  <w:rStyle w:val="InternetLink"/>
                  <w:rFonts w:ascii="Times New Roman;sans-serif" w:hAnsi="Times New Roman;sans-serif"/>
                  <w:b w:val="false"/>
                  <w:color w:val="000080"/>
                  <w:sz w:val="16"/>
                  <w:u w:val="single"/>
                </w:rPr>
                <w:t>OTHER INFORMATION</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94">
              <w:r>
                <w:rPr>
                  <w:rStyle w:val="InternetLink"/>
                  <w:rFonts w:ascii="Times New Roman;sans-serif" w:hAnsi="Times New Roman;sans-serif"/>
                  <w:b w:val="false"/>
                  <w:color w:val="0000FF"/>
                  <w:sz w:val="18"/>
                  <w:u w:val="single"/>
                </w:rPr>
                <w:t>22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94">
              <w:r>
                <w:rPr>
                  <w:rStyle w:val="InternetLink"/>
                  <w:rFonts w:ascii="Times New Roman;sans-serif" w:hAnsi="Times New Roman;sans-serif"/>
                  <w:b w:val="false"/>
                  <w:color w:val="000080"/>
                  <w:sz w:val="16"/>
                  <w:u w:val="single"/>
                </w:rPr>
                <w:t xml:space="preserve">ITEM 1: </w:t>
              </w:r>
            </w:hyperlink>
            <w:hyperlink w:anchor="i4f918421f0d544c8ab00828769399a28_94">
              <w:r>
                <w:rPr>
                  <w:rStyle w:val="InternetLink"/>
                  <w:rFonts w:ascii="Times New Roman;sans-serif" w:hAnsi="Times New Roman;sans-serif"/>
                  <w:b w:val="false"/>
                  <w:color w:val="000080"/>
                  <w:sz w:val="16"/>
                  <w:u w:val="single"/>
                </w:rPr>
                <w:t>LEGAL PROCEEDINGS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94">
              <w:r>
                <w:rPr>
                  <w:rStyle w:val="InternetLink"/>
                  <w:rFonts w:ascii="Times New Roman;sans-serif" w:hAnsi="Times New Roman;sans-serif"/>
                  <w:b w:val="false"/>
                  <w:color w:val="0000FF"/>
                  <w:sz w:val="18"/>
                  <w:u w:val="single"/>
                </w:rPr>
                <w:t>22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97">
              <w:r>
                <w:rPr>
                  <w:rStyle w:val="InternetLink"/>
                  <w:rFonts w:ascii="Times New Roman;sans-serif" w:hAnsi="Times New Roman;sans-serif"/>
                  <w:b w:val="false"/>
                  <w:color w:val="0000FF"/>
                  <w:sz w:val="16"/>
                  <w:u w:val="single"/>
                </w:rPr>
                <w:t>ITEM 1A: RISK FACTORS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97">
              <w:r>
                <w:rPr>
                  <w:rStyle w:val="InternetLink"/>
                  <w:rFonts w:ascii="Times New Roman;sans-serif" w:hAnsi="Times New Roman;sans-serif"/>
                  <w:b w:val="false"/>
                  <w:color w:val="0000FF"/>
                  <w:sz w:val="18"/>
                  <w:u w:val="single"/>
                </w:rPr>
                <w:t>22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100">
              <w:r>
                <w:rPr>
                  <w:rStyle w:val="InternetLink"/>
                  <w:rFonts w:ascii="Times New Roman;sans-serif" w:hAnsi="Times New Roman;sans-serif"/>
                  <w:b w:val="false"/>
                  <w:color w:val="0000FF"/>
                  <w:sz w:val="16"/>
                  <w:u w:val="single"/>
                </w:rPr>
                <w:t>ITEM 2: UNREGISTERED SALES OF EQUITY SECURITIES AND USE OF PROCEEDS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100">
              <w:r>
                <w:rPr>
                  <w:rStyle w:val="InternetLink"/>
                  <w:rFonts w:ascii="Times New Roman;sans-serif" w:hAnsi="Times New Roman;sans-serif"/>
                  <w:b w:val="false"/>
                  <w:color w:val="0000FF"/>
                  <w:sz w:val="18"/>
                  <w:u w:val="single"/>
                </w:rPr>
                <w:t>22</w:t>
              </w:r>
            </w:hyperlink>
          </w:p>
        </w:tc>
      </w:tr>
      <w:tr>
        <w:trPr/>
        <w:tc>
          <w:tcPr>
            <w:tcW w:w="910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10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106">
              <w:r>
                <w:rPr>
                  <w:rStyle w:val="InternetLink"/>
                  <w:rFonts w:ascii="Times New Roman;sans-serif" w:hAnsi="Times New Roman;sans-serif"/>
                  <w:b w:val="false"/>
                  <w:color w:val="0000FF"/>
                  <w:sz w:val="16"/>
                  <w:u w:val="single"/>
                </w:rPr>
                <w:t>ITEM 6: EXHIBITS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106">
              <w:r>
                <w:rPr>
                  <w:rStyle w:val="InternetLink"/>
                  <w:rFonts w:ascii="Times New Roman;sans-serif" w:hAnsi="Times New Roman;sans-serif"/>
                  <w:b w:val="false"/>
                  <w:color w:val="0000FF"/>
                  <w:sz w:val="18"/>
                  <w:u w:val="single"/>
                </w:rPr>
                <w:t>23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918421f0d544c8ab00828769399a28_109">
              <w:r>
                <w:rPr>
                  <w:rStyle w:val="InternetLink"/>
                  <w:rFonts w:ascii="Times New Roman;sans-serif" w:hAnsi="Times New Roman;sans-serif"/>
                  <w:b w:val="false"/>
                  <w:color w:val="0000FF"/>
                  <w:sz w:val="16"/>
                  <w:u w:val="single"/>
                </w:rPr>
                <w:t>SIGNATURES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18421f0d544c8ab00828769399a28_109">
              <w:r>
                <w:rPr>
                  <w:rStyle w:val="InternetLink"/>
                  <w:rFonts w:ascii="Times New Roman;sans-serif" w:hAnsi="Times New Roman;sans-serif"/>
                  <w:b w:val="false"/>
                  <w:color w:val="0000FF"/>
                  <w:sz w:val="18"/>
                  <w:u w:val="single"/>
                </w:rPr>
                <w:t>24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millions, except per share amounts) </w:t>
      </w:r>
    </w:p>
    <w:tbl>
      <w:tblPr>
        <w:tblW w:w="10205" w:type="dxa"/>
        <w:jc w:val="left"/>
        <w:tblInd w:w="0" w:type="dxa"/>
        <w:tblLayout w:type="fixed"/>
        <w:tblCellMar>
          <w:top w:w="28" w:type="dxa"/>
          <w:left w:w="28" w:type="dxa"/>
          <w:bottom w:w="28" w:type="dxa"/>
          <w:right w:w="28" w:type="dxa"/>
        </w:tblCellMar>
      </w:tblPr>
      <w:tblGrid>
        <w:gridCol w:w="1533"/>
        <w:gridCol w:w="1302"/>
        <w:gridCol w:w="1297"/>
        <w:gridCol w:w="244"/>
        <w:gridCol w:w="890"/>
        <w:gridCol w:w="126"/>
        <w:gridCol w:w="109"/>
        <w:gridCol w:w="109"/>
        <w:gridCol w:w="109"/>
        <w:gridCol w:w="244"/>
        <w:gridCol w:w="890"/>
        <w:gridCol w:w="126"/>
        <w:gridCol w:w="109"/>
        <w:gridCol w:w="109"/>
        <w:gridCol w:w="109"/>
        <w:gridCol w:w="244"/>
        <w:gridCol w:w="890"/>
        <w:gridCol w:w="126"/>
        <w:gridCol w:w="109"/>
        <w:gridCol w:w="109"/>
        <w:gridCol w:w="109"/>
        <w:gridCol w:w="243"/>
        <w:gridCol w:w="885"/>
        <w:gridCol w:w="184"/>
      </w:tblGrid>
      <w:tr>
        <w:trPr/>
        <w:tc>
          <w:tcPr>
            <w:tcW w:w="153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 (benefits)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millions) </w:t>
      </w:r>
    </w:p>
    <w:tbl>
      <w:tblPr>
        <w:tblW w:w="10069" w:type="dxa"/>
        <w:jc w:val="left"/>
        <w:tblInd w:w="0" w:type="dxa"/>
        <w:tblLayout w:type="fixed"/>
        <w:tblCellMar>
          <w:top w:w="28" w:type="dxa"/>
          <w:left w:w="28" w:type="dxa"/>
          <w:bottom w:w="28" w:type="dxa"/>
          <w:right w:w="28" w:type="dxa"/>
        </w:tblCellMar>
      </w:tblPr>
      <w:tblGrid>
        <w:gridCol w:w="1406"/>
        <w:gridCol w:w="1233"/>
        <w:gridCol w:w="1245"/>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87"/>
        <w:gridCol w:w="838"/>
        <w:gridCol w:w="209"/>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investments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adjustments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969"/>
        <w:gridCol w:w="2200"/>
        <w:gridCol w:w="2175"/>
        <w:gridCol w:w="228"/>
        <w:gridCol w:w="828"/>
        <w:gridCol w:w="117"/>
        <w:gridCol w:w="109"/>
        <w:gridCol w:w="109"/>
        <w:gridCol w:w="109"/>
        <w:gridCol w:w="253"/>
        <w:gridCol w:w="919"/>
        <w:gridCol w:w="189"/>
      </w:tblGrid>
      <w:tr>
        <w:trPr/>
        <w:tc>
          <w:tcPr>
            <w:tcW w:w="2969"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7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allowances of $0.9 and $0.8, respectively</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liabilities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no par value: 25.0 shares authorized, no shares issued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$0.25 par value: 525.0 shares authorized; 160.4 shares issued and outstanding at March 29, 2024, and 159.5 shares issued and outstanding at September 29, 2023</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w:t>
      </w:r>
    </w:p>
    <w:tbl>
      <w:tblPr>
        <w:tblW w:w="9669" w:type="dxa"/>
        <w:jc w:val="left"/>
        <w:tblInd w:w="0" w:type="dxa"/>
        <w:tblLayout w:type="fixed"/>
        <w:tblCellMar>
          <w:top w:w="28" w:type="dxa"/>
          <w:left w:w="28" w:type="dxa"/>
          <w:bottom w:w="28" w:type="dxa"/>
          <w:right w:w="28" w:type="dxa"/>
        </w:tblCellMar>
      </w:tblPr>
      <w:tblGrid>
        <w:gridCol w:w="2429"/>
        <w:gridCol w:w="2138"/>
        <w:gridCol w:w="2152"/>
        <w:gridCol w:w="250"/>
        <w:gridCol w:w="910"/>
        <w:gridCol w:w="129"/>
        <w:gridCol w:w="109"/>
        <w:gridCol w:w="109"/>
        <w:gridCol w:w="109"/>
        <w:gridCol w:w="287"/>
        <w:gridCol w:w="838"/>
        <w:gridCol w:w="209"/>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 and issuance costs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long-term assets and liabilities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intangibles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marketable securities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 payroll tax withholdings on equity awards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 stock repurchase program</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exercise of stock options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employee stock purchase plan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disclosures:</w:t>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Incentives paid in common stock</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investing in capital expenditures, accrued but not paid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obtained in exchange for new lease liabilities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pPr>
      <w:r>
        <w:rPr>
          <w:rFonts w:ascii="Times New Roman;sans-serif" w:hAnsi="Times New Roman;sans-serif"/>
          <w:b/>
          <w:color w:val="000000"/>
          <w:sz w:val="20"/>
        </w:rPr>
        <w:t>CONSOLIDATED STATEMENTS OF STOCKHOLDERS’ EQUITY</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419"/>
        <w:gridCol w:w="316"/>
        <w:gridCol w:w="318"/>
        <w:gridCol w:w="358"/>
        <w:gridCol w:w="205"/>
        <w:gridCol w:w="206"/>
        <w:gridCol w:w="109"/>
        <w:gridCol w:w="109"/>
        <w:gridCol w:w="109"/>
        <w:gridCol w:w="200"/>
        <w:gridCol w:w="475"/>
        <w:gridCol w:w="111"/>
        <w:gridCol w:w="109"/>
        <w:gridCol w:w="109"/>
        <w:gridCol w:w="109"/>
        <w:gridCol w:w="210"/>
        <w:gridCol w:w="210"/>
        <w:gridCol w:w="211"/>
        <w:gridCol w:w="109"/>
        <w:gridCol w:w="109"/>
        <w:gridCol w:w="109"/>
        <w:gridCol w:w="199"/>
        <w:gridCol w:w="413"/>
        <w:gridCol w:w="111"/>
        <w:gridCol w:w="109"/>
        <w:gridCol w:w="109"/>
        <w:gridCol w:w="109"/>
        <w:gridCol w:w="199"/>
        <w:gridCol w:w="565"/>
        <w:gridCol w:w="110"/>
        <w:gridCol w:w="109"/>
        <w:gridCol w:w="109"/>
        <w:gridCol w:w="109"/>
        <w:gridCol w:w="196"/>
        <w:gridCol w:w="693"/>
        <w:gridCol w:w="109"/>
        <w:gridCol w:w="109"/>
        <w:gridCol w:w="109"/>
        <w:gridCol w:w="109"/>
        <w:gridCol w:w="279"/>
        <w:gridCol w:w="579"/>
        <w:gridCol w:w="156"/>
        <w:gridCol w:w="109"/>
        <w:gridCol w:w="109"/>
        <w:gridCol w:w="109"/>
        <w:gridCol w:w="198"/>
        <w:gridCol w:w="699"/>
        <w:gridCol w:w="171"/>
      </w:tblGrid>
      <w:tr>
        <w:trPr/>
        <w:tc>
          <w:tcPr>
            <w:tcW w:w="4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 of 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Value of 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Total stockholders</w:t>
            </w:r>
            <w:r>
              <w:rPr>
                <w:color w:val="000000"/>
              </w:rPr>
              <w:t xml:space="preserve">’ </w:t>
            </w:r>
            <w:r>
              <w:rPr>
                <w:rFonts w:ascii="Times New Roman;sans-serif" w:hAnsi="Times New Roman;sans-serif"/>
                <w:b/>
                <w:color w:val="000000"/>
                <w:sz w:val="14"/>
              </w:rPr>
              <w:t>equity</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29, 2023</w:t>
            </w:r>
          </w:p>
        </w:tc>
        <w:tc>
          <w:tcPr>
            <w:tcW w:w="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6,082.7 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and settlement of share-based awards, net of shares withheld for taxes</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29, 2023</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6,227.2 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5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and settlement of share-based awards, net of shares withheld for taxes</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March 29, 2024</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6,359.2 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2022</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and settlement of share-based awards, net of shares withheld for taxes</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30, 2022</w:t>
            </w:r>
          </w:p>
        </w:tc>
        <w:tc>
          <w:tcPr>
            <w:tcW w:w="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5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and settlement of share-based awards, net of shares withheld for taxes</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March 31, 2023</w:t>
            </w:r>
          </w:p>
        </w:tc>
        <w:tc>
          <w:tcPr>
            <w:tcW w:w="5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5,732.9 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BASIS OF PRESENTATION, AND SUMMARY OF SIGNIFICANT ACCOUNTING POLICIES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Skyworks Solutions, Inc., together with its consolidated subsidiaries (“Skyworks” or the “Company”), is empowering the wireless networking revolution. The Company’s analog and mixed-signal semiconductors are connecting people, places, and things, spanning a number of new applications within the aerospace, automotive, broadband, cellular infrastructure, connected home, defense, entertainment and gaming, industrial, medical, smartphone, tablet, and wearable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have been prepared pursuant to the rules and regulations of the Securities and Exchange Commission (“SEC”) for interim financial reporting. Certain information and footnote disclosures, normally included in annual consolidated financial statements prepared in accordance with accounting principles generally accepted in the United States of America (“GAAP”), have been condensed or omitted pursuant to those rules and regulations. However, in management’s opinion, the financial information reflects all adjustments, including those of a normal recurring nature, necessary to present fairly the results of operations, financial position, and cash flows of the Company for the periods presented. The results of operations, financial position, and cash flows for the Company during the interim periods are not necessarily indicative of those expected for the full year. This information should be read in conjunction with the Company’s financial statements and notes thereto contained in the Company’s Annual Report on Form 10-K for the fiscal year ended September 29, 2023, filed with the SEC on November 17, 2023, as amended by Amendment No. 1 to such Annual Report on Form 10-K, filed with the SEC on January 26, 2024 (“2023 10-K”). Certain items in the prior period financial statements have been reclassified to conform to the current period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exists and in estimating future cash flows for any necessary impairment testing. Actual results could differ significantly from these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the Friday closest to September 30. The fiscal year ending on September 27, 2024 consists of 52 weeks (“fiscal 2024”). The fiscal year ended on September 29, 2023 consisted of 52 weeks (“fiscal 2023”). The three and six months ended March 29, 2024, and March 31, 2023, each consisted of 13 weeks and 26 weeks, respectively.</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i/>
          <w:color w:val="000000"/>
          <w:sz w:val="20"/>
        </w:rPr>
        <w:t>Property, Plant, and Equipment</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carried at cost less accumulated depreciation, with significant renewals and betterments being capitalized and retired equipment written off in the respective periods. Maintenance and repairs are expensed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estimated useful lives, which range from five to forty years for buildings and improvements and from five to ten years for machinery and equipment. Leasehold improvements are depreciated over the lesser of the economic life or the life of the associated 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29, 2024, the Company changed its accounting estimate for the expected useful lives of certain machinery and equipment. The Company evaluated its current asset base and reassessed the estimated useful lives of certain machinery and equipment in connection with its recent usage of older equipment, including considering the technological and physical obsolescence of such machinery and equipment. Based on its ability to re-use equipment across generations of process technologies and historical usage trends, the Company determined that the expected useful lives for certain machinery and equipment should be increased by up to two years to reflect more closely the estimated economic lives of those assets. This change in estimate was applied prospectively effective during the first quarter of fiscal 2024 and resulted in a decrease in depreciation expense of $18.9 million and $37.7 million for the three and six months ended March 29, 2024, respectively. This benefit decreased cost of goods sold by $1.8 million for each of the three and six months ended March 29, 2024, respectively, decreased research and development expenses by $2.5 million and $4.9 million for the three and six months ended March 29, 2024, respectively, and decreased ending inventory by $31.0 million as of March 29, 2024. As a result of this change in accounting estimate, net income increased by $4.3 million and $6.7 million and diluted earnings per share increased by $0.03 and $0.04 for the three and six months ended March 29,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2023-07, “Segment Reporting (Topic 280): Improvements to Reportable Segment Disclosure” (“ASU 2023-07”). ASU 2023-07 requires disclosure of incremental segment information on an annual and interim basis. ASU 2023-07 is effective for fiscal years beginning after December 15, 2023, and interim periods within fiscal years beginning after December 15, 2024, on a retrospective basis. Early adoption is permitted. The Company is currently evaluating the impact of ASU 2023-07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is currently evaluating the impact of ASU 2023-09 on its consolidated financial statements and related disclosures.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    REVENUE RECOGNITION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by geographic area is as follows (in millions):</w:t>
      </w:r>
    </w:p>
    <w:tbl>
      <w:tblPr>
        <w:tblW w:w="8897" w:type="dxa"/>
        <w:jc w:val="left"/>
        <w:tblInd w:w="0" w:type="dxa"/>
        <w:tblLayout w:type="fixed"/>
        <w:tblCellMar>
          <w:top w:w="28" w:type="dxa"/>
          <w:left w:w="28" w:type="dxa"/>
          <w:bottom w:w="28" w:type="dxa"/>
          <w:right w:w="28" w:type="dxa"/>
        </w:tblCellMar>
      </w:tblPr>
      <w:tblGrid>
        <w:gridCol w:w="985"/>
        <w:gridCol w:w="863"/>
        <w:gridCol w:w="867"/>
        <w:gridCol w:w="250"/>
        <w:gridCol w:w="910"/>
        <w:gridCol w:w="129"/>
        <w:gridCol w:w="109"/>
        <w:gridCol w:w="109"/>
        <w:gridCol w:w="109"/>
        <w:gridCol w:w="250"/>
        <w:gridCol w:w="910"/>
        <w:gridCol w:w="129"/>
        <w:gridCol w:w="109"/>
        <w:gridCol w:w="109"/>
        <w:gridCol w:w="109"/>
        <w:gridCol w:w="250"/>
        <w:gridCol w:w="910"/>
        <w:gridCol w:w="129"/>
        <w:gridCol w:w="109"/>
        <w:gridCol w:w="109"/>
        <w:gridCol w:w="109"/>
        <w:gridCol w:w="249"/>
        <w:gridCol w:w="904"/>
        <w:gridCol w:w="181"/>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Asia-Pacific</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revenue by sales channel is as follows (in millions):</w:t>
      </w:r>
    </w:p>
    <w:tbl>
      <w:tblPr>
        <w:tblW w:w="7727" w:type="dxa"/>
        <w:jc w:val="left"/>
        <w:tblInd w:w="0" w:type="dxa"/>
        <w:tblLayout w:type="fixed"/>
        <w:tblCellMar>
          <w:top w:w="28" w:type="dxa"/>
          <w:left w:w="28" w:type="dxa"/>
          <w:bottom w:w="28" w:type="dxa"/>
          <w:right w:w="28" w:type="dxa"/>
        </w:tblCellMar>
      </w:tblPr>
      <w:tblGrid>
        <w:gridCol w:w="559"/>
        <w:gridCol w:w="492"/>
        <w:gridCol w:w="494"/>
        <w:gridCol w:w="250"/>
        <w:gridCol w:w="910"/>
        <w:gridCol w:w="129"/>
        <w:gridCol w:w="109"/>
        <w:gridCol w:w="109"/>
        <w:gridCol w:w="109"/>
        <w:gridCol w:w="250"/>
        <w:gridCol w:w="910"/>
        <w:gridCol w:w="129"/>
        <w:gridCol w:w="109"/>
        <w:gridCol w:w="109"/>
        <w:gridCol w:w="109"/>
        <w:gridCol w:w="250"/>
        <w:gridCol w:w="910"/>
        <w:gridCol w:w="129"/>
        <w:gridCol w:w="109"/>
        <w:gridCol w:w="109"/>
        <w:gridCol w:w="109"/>
        <w:gridCol w:w="249"/>
        <w:gridCol w:w="904"/>
        <w:gridCol w:w="181"/>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Distributors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customers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 from external customers is generated principally from the sale of semiconductor products that facilitate various wireless communication applications. Accordingly, the Company considers its product offerings to be similar in nature and therefore not segregated for reporting purposes.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MARKETABLE SECURITIES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portfolio of available-for-sale marketable securities consists of the following (in millions):    </w:t>
      </w:r>
    </w:p>
    <w:tbl>
      <w:tblPr>
        <w:tblW w:w="10188" w:type="dxa"/>
        <w:jc w:val="left"/>
        <w:tblInd w:w="0" w:type="dxa"/>
        <w:tblLayout w:type="fixed"/>
        <w:tblCellMar>
          <w:top w:w="28" w:type="dxa"/>
          <w:left w:w="28" w:type="dxa"/>
          <w:bottom w:w="28" w:type="dxa"/>
          <w:right w:w="28" w:type="dxa"/>
        </w:tblCellMar>
      </w:tblPr>
      <w:tblGrid>
        <w:gridCol w:w="1222"/>
        <w:gridCol w:w="1075"/>
        <w:gridCol w:w="1078"/>
        <w:gridCol w:w="327"/>
        <w:gridCol w:w="793"/>
        <w:gridCol w:w="169"/>
        <w:gridCol w:w="109"/>
        <w:gridCol w:w="109"/>
        <w:gridCol w:w="109"/>
        <w:gridCol w:w="407"/>
        <w:gridCol w:w="986"/>
        <w:gridCol w:w="212"/>
        <w:gridCol w:w="109"/>
        <w:gridCol w:w="109"/>
        <w:gridCol w:w="109"/>
        <w:gridCol w:w="375"/>
        <w:gridCol w:w="721"/>
        <w:gridCol w:w="193"/>
        <w:gridCol w:w="109"/>
        <w:gridCol w:w="109"/>
        <w:gridCol w:w="109"/>
        <w:gridCol w:w="451"/>
        <w:gridCol w:w="867"/>
        <w:gridCol w:w="331"/>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Noncurrent</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securities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 and notes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Neither gross unrealized gains and losses nor realized gains and losses were material as of March 29, 2024, or September 29,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FAIR VALUE</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and Recorded at Fair Value on a Recurring Basis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Level 1 - Quoted prices in active markets for identical assets or liabilities. </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Level 2 - Observable inputs other than Level 1 prices, such as quoted prices for similar assets or liabilities, quoted prices in markets with insufficient volume or infrequent transactions (less-active markets), or model-driven valuations in which all significant inputs are observable or can be derived principally from, or corroborated with, observable market data.</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Level 3 - Fair value is derived from valuation techniques in which one or more significant inputs are unobservable, including assumptions and judgments made by the Company.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consisted of the following (in millions):         </w:t>
      </w:r>
    </w:p>
    <w:tbl>
      <w:tblPr>
        <w:tblW w:w="10205" w:type="dxa"/>
        <w:jc w:val="left"/>
        <w:tblInd w:w="0" w:type="dxa"/>
        <w:tblLayout w:type="fixed"/>
        <w:tblCellMar>
          <w:top w:w="28" w:type="dxa"/>
          <w:left w:w="28" w:type="dxa"/>
          <w:bottom w:w="28" w:type="dxa"/>
          <w:right w:w="28" w:type="dxa"/>
        </w:tblCellMar>
      </w:tblPr>
      <w:tblGrid>
        <w:gridCol w:w="476"/>
        <w:gridCol w:w="385"/>
        <w:gridCol w:w="391"/>
        <w:gridCol w:w="196"/>
        <w:gridCol w:w="691"/>
        <w:gridCol w:w="109"/>
        <w:gridCol w:w="109"/>
        <w:gridCol w:w="109"/>
        <w:gridCol w:w="109"/>
        <w:gridCol w:w="196"/>
        <w:gridCol w:w="691"/>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406"/>
        <w:gridCol w:w="155"/>
      </w:tblGrid>
      <w:tr>
        <w:trPr/>
        <w:tc>
          <w:tcPr>
            <w:tcW w:w="4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3"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and government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Corporate bonds and notes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Cash equivalents included in Levels 1 and 2 consist of money market funds and U.S. Treasury and government securities purchased with less than ninety days until maturity.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Assets Measured and Recorded at Fair Value on a Nonrecurring Basis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During the three months ended March 29, 2024, there were no indicators of impairment identified. During the six months ended March 29, 2024, the Company abandoned a previously capitalized in-process research and development (“IPR&amp;D”) project and recorded an impairment charge of $16.1 million. During the three and six months ended March 31, 2023, the Company recorded impairment charges of $17.0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76" w:before="0" w:after="120"/>
        <w:jc w:val="both"/>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estimated fair value of debt consists of the following (in millions):</w:t>
      </w:r>
    </w:p>
    <w:tbl>
      <w:tblPr>
        <w:tblW w:w="10053" w:type="dxa"/>
        <w:jc w:val="left"/>
        <w:tblInd w:w="0" w:type="dxa"/>
        <w:tblLayout w:type="fixed"/>
        <w:tblCellMar>
          <w:top w:w="28" w:type="dxa"/>
          <w:left w:w="28" w:type="dxa"/>
          <w:bottom w:w="28" w:type="dxa"/>
          <w:right w:w="28" w:type="dxa"/>
        </w:tblCellMar>
      </w:tblPr>
      <w:tblGrid>
        <w:gridCol w:w="924"/>
        <w:gridCol w:w="809"/>
        <w:gridCol w:w="817"/>
        <w:gridCol w:w="338"/>
        <w:gridCol w:w="987"/>
        <w:gridCol w:w="174"/>
        <w:gridCol w:w="109"/>
        <w:gridCol w:w="109"/>
        <w:gridCol w:w="109"/>
        <w:gridCol w:w="392"/>
        <w:gridCol w:w="1145"/>
        <w:gridCol w:w="202"/>
        <w:gridCol w:w="109"/>
        <w:gridCol w:w="109"/>
        <w:gridCol w:w="109"/>
        <w:gridCol w:w="338"/>
        <w:gridCol w:w="987"/>
        <w:gridCol w:w="174"/>
        <w:gridCol w:w="109"/>
        <w:gridCol w:w="109"/>
        <w:gridCol w:w="109"/>
        <w:gridCol w:w="384"/>
        <w:gridCol w:w="1121"/>
        <w:gridCol w:w="280"/>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 Senior Notes due 2026</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Senior Notes due 2031</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under Senior Notes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5.     INVENTORY</w:t>
      </w:r>
      <w:r>
        <w:rPr>
          <w:color w:val="000000"/>
        </w:rPr>
        <w:t xml:space="preserve">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consists of the following (in millions): </w:t>
      </w:r>
    </w:p>
    <w:tbl>
      <w:tblPr>
        <w:tblW w:w="4723" w:type="dxa"/>
        <w:jc w:val="left"/>
        <w:tblInd w:w="0" w:type="dxa"/>
        <w:tblLayout w:type="fixed"/>
        <w:tblCellMar>
          <w:top w:w="28" w:type="dxa"/>
          <w:left w:w="28" w:type="dxa"/>
          <w:bottom w:w="28" w:type="dxa"/>
          <w:right w:w="28" w:type="dxa"/>
        </w:tblCellMar>
      </w:tblPr>
      <w:tblGrid>
        <w:gridCol w:w="527"/>
        <w:gridCol w:w="462"/>
        <w:gridCol w:w="467"/>
        <w:gridCol w:w="291"/>
        <w:gridCol w:w="849"/>
        <w:gridCol w:w="150"/>
        <w:gridCol w:w="109"/>
        <w:gridCol w:w="109"/>
        <w:gridCol w:w="109"/>
        <w:gridCol w:w="308"/>
        <w:gridCol w:w="1118"/>
        <w:gridCol w:w="22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1,119.7 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6.     PROPERTY, PLANT, AND EQUIPMENT, NET</w:t>
      </w:r>
      <w:r>
        <w:rPr>
          <w:color w:val="000000"/>
        </w:rPr>
        <w:t xml:space="preserve">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consists of the following (in millions): </w:t>
      </w:r>
    </w:p>
    <w:tbl>
      <w:tblPr>
        <w:tblW w:w="6880" w:type="dxa"/>
        <w:jc w:val="left"/>
        <w:tblInd w:w="0" w:type="dxa"/>
        <w:tblLayout w:type="fixed"/>
        <w:tblCellMar>
          <w:top w:w="28" w:type="dxa"/>
          <w:left w:w="28" w:type="dxa"/>
          <w:bottom w:w="28" w:type="dxa"/>
          <w:right w:w="28" w:type="dxa"/>
        </w:tblCellMar>
      </w:tblPr>
      <w:tblGrid>
        <w:gridCol w:w="1310"/>
        <w:gridCol w:w="1149"/>
        <w:gridCol w:w="1155"/>
        <w:gridCol w:w="250"/>
        <w:gridCol w:w="910"/>
        <w:gridCol w:w="129"/>
        <w:gridCol w:w="109"/>
        <w:gridCol w:w="109"/>
        <w:gridCol w:w="109"/>
        <w:gridCol w:w="308"/>
        <w:gridCol w:w="1118"/>
        <w:gridCol w:w="22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gross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4,171.7 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7.     GOODWILL AND INTANGIBLE ASSETS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to the carrying amount of goodwill during the three and six months ended March 29,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tests its goodwill for impairment annually as of the first day of its fourth fiscal quarter and in interim periods if certain events occur indicating the carrying value of goodwill may be impaired. There were no indicators of impairment noted during the three and six months ended March 29,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(in millions):</w:t>
      </w:r>
    </w:p>
    <w:tbl>
      <w:tblPr>
        <w:tblW w:w="10453" w:type="dxa"/>
        <w:jc w:val="left"/>
        <w:tblInd w:w="0" w:type="dxa"/>
        <w:tblLayout w:type="fixed"/>
        <w:tblCellMar>
          <w:top w:w="28" w:type="dxa"/>
          <w:left w:w="28" w:type="dxa"/>
          <w:bottom w:w="28" w:type="dxa"/>
          <w:right w:w="28" w:type="dxa"/>
        </w:tblCellMar>
      </w:tblPr>
      <w:tblGrid>
        <w:gridCol w:w="516"/>
        <w:gridCol w:w="334"/>
        <w:gridCol w:w="336"/>
        <w:gridCol w:w="360"/>
        <w:gridCol w:w="360"/>
        <w:gridCol w:w="361"/>
        <w:gridCol w:w="211"/>
        <w:gridCol w:w="766"/>
        <w:gridCol w:w="109"/>
        <w:gridCol w:w="109"/>
        <w:gridCol w:w="109"/>
        <w:gridCol w:w="109"/>
        <w:gridCol w:w="239"/>
        <w:gridCol w:w="717"/>
        <w:gridCol w:w="125"/>
        <w:gridCol w:w="109"/>
        <w:gridCol w:w="109"/>
        <w:gridCol w:w="109"/>
        <w:gridCol w:w="211"/>
        <w:gridCol w:w="766"/>
        <w:gridCol w:w="109"/>
        <w:gridCol w:w="109"/>
        <w:gridCol w:w="109"/>
        <w:gridCol w:w="109"/>
        <w:gridCol w:w="211"/>
        <w:gridCol w:w="766"/>
        <w:gridCol w:w="109"/>
        <w:gridCol w:w="109"/>
        <w:gridCol w:w="109"/>
        <w:gridCol w:w="109"/>
        <w:gridCol w:w="239"/>
        <w:gridCol w:w="717"/>
        <w:gridCol w:w="125"/>
        <w:gridCol w:w="109"/>
        <w:gridCol w:w="109"/>
        <w:gridCol w:w="109"/>
        <w:gridCol w:w="211"/>
        <w:gridCol w:w="76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25"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Amortization</w:t>
              <w:br/>
              <w:t>Period (Years)</w:t>
            </w:r>
          </w:p>
        </w:tc>
        <w:tc>
          <w:tcPr>
            <w:tcW w:w="39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1186" w:type="dxa"/>
            <w:gridSpan w:val="3"/>
            <w:tcBorders/>
            <w:tcMar>
              <w:top w:w="0" w:type="dxa"/>
              <w:left w:w="0" w:type="dxa"/>
              <w:bottom w:w="0" w:type="dxa"/>
              <w:right w:w="0" w:type="dxa"/>
            </w:tcMar>
            <w:vAlign w:val="center"/>
          </w:tcPr>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and other</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licenses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Fully amortized intangible assets are eliminated from both the gross and accumulated amortization amounts in the first quarter of each fiscal year. During each of the three and six months ended March 29, 2024, $55.7 million of IPR&amp;D assets were transferred to definite-lived intangible assets, and are being amortized over their useful lives of 8 years. During the three and six months ended March 31, 2023, $1.8 million and $9.5 million of IPR&amp;D assets were transferred to definite-lived intangible assets, and are being amortized over their useful lives of 12 years, respectively. Amortization expense related to definite-lived intangible assets was $45.5 million and $93.6 million for the three and six months ended March 29, 2024, respectively. Amortization expense related to definite-lived intangible assets was $51.4 million and $123.4 million for the three and six months ended March 31, 2023, respectively.</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Annual amortization expense for the next five fiscal years related to definite-lived intangible assets, excluding IPR&amp;D, is expected to be as follows (in millions):</w:t>
      </w:r>
    </w:p>
    <w:tbl>
      <w:tblPr>
        <w:tblW w:w="9509" w:type="dxa"/>
        <w:jc w:val="left"/>
        <w:tblInd w:w="0" w:type="dxa"/>
        <w:tblLayout w:type="fixed"/>
        <w:tblCellMar>
          <w:top w:w="28" w:type="dxa"/>
          <w:left w:w="28" w:type="dxa"/>
          <w:bottom w:w="28" w:type="dxa"/>
          <w:right w:w="28" w:type="dxa"/>
        </w:tblCellMar>
      </w:tblPr>
      <w:tblGrid>
        <w:gridCol w:w="690"/>
        <w:gridCol w:w="606"/>
        <w:gridCol w:w="609"/>
        <w:gridCol w:w="342"/>
        <w:gridCol w:w="829"/>
        <w:gridCol w:w="17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Remaining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of the following components (in millions):</w:t>
      </w:r>
    </w:p>
    <w:tbl>
      <w:tblPr>
        <w:tblW w:w="8494" w:type="dxa"/>
        <w:jc w:val="left"/>
        <w:tblInd w:w="0" w:type="dxa"/>
        <w:tblLayout w:type="fixed"/>
        <w:tblCellMar>
          <w:top w:w="28" w:type="dxa"/>
          <w:left w:w="28" w:type="dxa"/>
          <w:bottom w:w="28" w:type="dxa"/>
          <w:right w:w="28" w:type="dxa"/>
        </w:tblCellMar>
      </w:tblPr>
      <w:tblGrid>
        <w:gridCol w:w="836"/>
        <w:gridCol w:w="734"/>
        <w:gridCol w:w="740"/>
        <w:gridCol w:w="282"/>
        <w:gridCol w:w="644"/>
        <w:gridCol w:w="363"/>
        <w:gridCol w:w="109"/>
        <w:gridCol w:w="109"/>
        <w:gridCol w:w="109"/>
        <w:gridCol w:w="274"/>
        <w:gridCol w:w="664"/>
        <w:gridCol w:w="352"/>
        <w:gridCol w:w="109"/>
        <w:gridCol w:w="109"/>
        <w:gridCol w:w="109"/>
        <w:gridCol w:w="274"/>
        <w:gridCol w:w="664"/>
        <w:gridCol w:w="352"/>
        <w:gridCol w:w="109"/>
        <w:gridCol w:w="109"/>
        <w:gridCol w:w="109"/>
        <w:gridCol w:w="271"/>
        <w:gridCol w:w="657"/>
        <w:gridCol w:w="406"/>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income taxes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Company’s effective tax rate and the 21.0% United States federal statutory rate for the three and six months ended March 29, 2024 and March 31, 2023 resulted primarily from foreign earnings taxed at rates lower than the federal statutory rate, a benefit from foreign-derived intangible income deduction (“FDII”), and research and experimentation and foreign tax credits earned, partially offset by a tax on global intangible low-taxed income (“GILTI”), and tax expense related to share-based compensation shortfalls.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U.S. government enacted the Inflation Reduction Act, which imposes a corporate alternative minimum tax (“CAMT”) of 15% on corporations with three-year average annual adjusted financial statement income exceeding $1.0 billion. The Company is subject to the provisions of CAMT in fiscal 2024. CAMT had no impact to the Company’s consolidated financial statements for the three and six months ended March 29,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9.    COMMITMENTS AND CONTINGENCIES</w:t>
      </w:r>
      <w:r>
        <w:rPr>
          <w:color w:val="000000"/>
        </w:rPr>
        <w:t xml:space="preserve">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the status of legal proceedings and other contingencies on an ongoing basis to assess whether loss contingencies should be recognized and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Guarantees and Indemnities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purchases materials primarily pursuant to individual purchase orders, some of which have underlying master purchase agreements. Some of these purchase commitments are cancellable,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its exposure. As such, the Company believes that purchase commitments as of any particular date may not be a reliable indicator of future commitments.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maintains certain minimum purchase commitments under long-term capacity reservation agreements primarily with foundries for the purchase of wafers. Under these agreements, </w:t>
      </w:r>
      <w:r>
        <w:rPr>
          <w:rFonts w:ascii="Times New Roman;sans-serif" w:hAnsi="Times New Roman;sans-serif"/>
          <w:b w:val="false"/>
          <w:color w:val="000000"/>
          <w:sz w:val="20"/>
          <w:shd w:fill="FFFFFF" w:val="clear"/>
        </w:rPr>
        <w:t xml:space="preserve">the Company has agreed to pay a combination of refundable deposits and prepayments to the suppliers in exchange for reserved manufacturing production capacity over the term of the agreements. </w:t>
      </w:r>
      <w:r>
        <w:rPr>
          <w:rFonts w:ascii="Times New Roman;sans-serif" w:hAnsi="Times New Roman;sans-serif"/>
          <w:b w:val="false"/>
          <w:color w:val="000000"/>
          <w:sz w:val="20"/>
        </w:rPr>
        <w:t>As of March 29, 2024, the remaining deposits and prepayments under the long-term capacity reservation agreements were $41.7 million and $1.3 million, respectively, recorded within other current assets and $100.0 million and $15.8 million, respectively, recorded within other long-term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STOCKHOLDERS’ EQUITY</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Stock Repurchase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Board of Directors approved a stock repurchase program (“January 31, 2023 stock repurchase program”), pursuant to which the Company is authorized to repurchase up to $2.0 billion of its common stock from time to time through February 1, 2025, on the open market or in privately negotiated transactions, in compliance with applicable securities laws and other legal requirements. The January 31, 2023 stock repurchase program succeeds in its entirety the stock repurchase program approved by the Board of Directors on January 26, 2021 (“January 26, 2021 stock repurchase program”). The timing and amount of any shares of the Company’s common stock that are repurchased under the January 31, 2023 stock repurchase program will be determined by the Company’s management based on its evaluation of market conditions and other factors. The January 31, 2023 stock repurchase program may be suspended or discontinued at any time. The Company currently expects to fund the January 31, 2023 stock repurchase program using the Company’s working capital.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March 29, 2024, the Company did not repurchase any shares of its common stock pursuant to the January 31, 2023 stock repurchase program. As of March 29, 2024, $2.0 billion remained available under the January 31, 2023 stock repurchase program.</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paid $9.1 million (including commissions) in connection with the repurchase of 0.1 million shares of its common stock (paying an average price of $91.08 per share). During the six months ended March 31, 2023, the Company paid $175.3 million (including commissions) in connection with the repurchase of 1.9 million shares of its common stock (paying an average price of $90.60 per share), all of which shares were repurchased pursuant to the January 26, 2021 stock repurchase program.</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Dividends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2024, the Company announced that the Board of Directors had declared a cash dividend on the Company’s common stock of $0.68 per share. This dividend is payable on June 11, 2024, to the Company’s stockholders of record as of the close of business on May 21, 2024.</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Dividends charged to retained earnings were as follows (in millions, except per share data):</w:t>
      </w:r>
    </w:p>
    <w:tbl>
      <w:tblPr>
        <w:tblW w:w="6543" w:type="dxa"/>
        <w:jc w:val="center"/>
        <w:tblInd w:w="0" w:type="dxa"/>
        <w:tblLayout w:type="fixed"/>
        <w:tblCellMar>
          <w:top w:w="28" w:type="dxa"/>
          <w:left w:w="28" w:type="dxa"/>
          <w:bottom w:w="28" w:type="dxa"/>
          <w:right w:w="28" w:type="dxa"/>
        </w:tblCellMar>
      </w:tblPr>
      <w:tblGrid>
        <w:gridCol w:w="510"/>
        <w:gridCol w:w="448"/>
        <w:gridCol w:w="451"/>
        <w:gridCol w:w="217"/>
        <w:gridCol w:w="526"/>
        <w:gridCol w:w="112"/>
        <w:gridCol w:w="109"/>
        <w:gridCol w:w="109"/>
        <w:gridCol w:w="109"/>
        <w:gridCol w:w="270"/>
        <w:gridCol w:w="790"/>
        <w:gridCol w:w="139"/>
        <w:gridCol w:w="109"/>
        <w:gridCol w:w="109"/>
        <w:gridCol w:w="109"/>
        <w:gridCol w:w="217"/>
        <w:gridCol w:w="526"/>
        <w:gridCol w:w="112"/>
        <w:gridCol w:w="109"/>
        <w:gridCol w:w="109"/>
        <w:gridCol w:w="109"/>
        <w:gridCol w:w="267"/>
        <w:gridCol w:w="782"/>
        <w:gridCol w:w="195"/>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Fiscal Years Ended</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Amount</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dividends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share-based compensation expense by line item in the Consolidated Statements of Operations (in millions):</w:t>
      </w:r>
    </w:p>
    <w:tbl>
      <w:tblPr>
        <w:tblW w:w="9181" w:type="dxa"/>
        <w:jc w:val="center"/>
        <w:tblInd w:w="0" w:type="dxa"/>
        <w:tblLayout w:type="fixed"/>
        <w:tblCellMar>
          <w:top w:w="28" w:type="dxa"/>
          <w:left w:w="28" w:type="dxa"/>
          <w:bottom w:w="28" w:type="dxa"/>
          <w:right w:w="28" w:type="dxa"/>
        </w:tblCellMar>
      </w:tblPr>
      <w:tblGrid>
        <w:gridCol w:w="1086"/>
        <w:gridCol w:w="953"/>
        <w:gridCol w:w="960"/>
        <w:gridCol w:w="327"/>
        <w:gridCol w:w="793"/>
        <w:gridCol w:w="169"/>
        <w:gridCol w:w="109"/>
        <w:gridCol w:w="109"/>
        <w:gridCol w:w="109"/>
        <w:gridCol w:w="327"/>
        <w:gridCol w:w="793"/>
        <w:gridCol w:w="169"/>
        <w:gridCol w:w="109"/>
        <w:gridCol w:w="109"/>
        <w:gridCol w:w="109"/>
        <w:gridCol w:w="327"/>
        <w:gridCol w:w="793"/>
        <w:gridCol w:w="169"/>
        <w:gridCol w:w="109"/>
        <w:gridCol w:w="109"/>
        <w:gridCol w:w="109"/>
        <w:gridCol w:w="321"/>
        <w:gridCol w:w="779"/>
        <w:gridCol w:w="23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(in millions, except per share amounts):</w:t>
      </w:r>
    </w:p>
    <w:tbl>
      <w:tblPr>
        <w:tblW w:w="10115" w:type="dxa"/>
        <w:jc w:val="left"/>
        <w:tblInd w:w="0" w:type="dxa"/>
        <w:tblLayout w:type="fixed"/>
        <w:tblCellMar>
          <w:top w:w="28" w:type="dxa"/>
          <w:left w:w="28" w:type="dxa"/>
          <w:bottom w:w="28" w:type="dxa"/>
          <w:right w:w="28" w:type="dxa"/>
        </w:tblCellMar>
      </w:tblPr>
      <w:tblGrid>
        <w:gridCol w:w="1420"/>
        <w:gridCol w:w="1248"/>
        <w:gridCol w:w="1262"/>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87"/>
        <w:gridCol w:w="838"/>
        <w:gridCol w:w="209"/>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equity-based awards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common stock equivalents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three and six months ended March 29, 2024, and March 31, 2023,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SUPPLEMENTAL FINANCIAL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 of the following (in millions):</w:t>
      </w:r>
    </w:p>
    <w:tbl>
      <w:tblPr>
        <w:tblW w:w="5412" w:type="dxa"/>
        <w:jc w:val="left"/>
        <w:tblInd w:w="0" w:type="dxa"/>
        <w:tblLayout w:type="fixed"/>
        <w:tblCellMar>
          <w:top w:w="28" w:type="dxa"/>
          <w:left w:w="28" w:type="dxa"/>
          <w:bottom w:w="28" w:type="dxa"/>
          <w:right w:w="28" w:type="dxa"/>
        </w:tblCellMar>
      </w:tblPr>
      <w:tblGrid>
        <w:gridCol w:w="777"/>
        <w:gridCol w:w="681"/>
        <w:gridCol w:w="687"/>
        <w:gridCol w:w="291"/>
        <w:gridCol w:w="849"/>
        <w:gridCol w:w="150"/>
        <w:gridCol w:w="109"/>
        <w:gridCol w:w="109"/>
        <w:gridCol w:w="109"/>
        <w:gridCol w:w="355"/>
        <w:gridCol w:w="1036"/>
        <w:gridCol w:w="259"/>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 of the following (in millions):</w:t>
      </w:r>
    </w:p>
    <w:tbl>
      <w:tblPr>
        <w:tblW w:w="6341" w:type="dxa"/>
        <w:jc w:val="left"/>
        <w:tblInd w:w="0" w:type="dxa"/>
        <w:tblLayout w:type="fixed"/>
        <w:tblCellMar>
          <w:top w:w="28" w:type="dxa"/>
          <w:left w:w="28" w:type="dxa"/>
          <w:bottom w:w="28" w:type="dxa"/>
          <w:right w:w="28" w:type="dxa"/>
        </w:tblCellMar>
      </w:tblPr>
      <w:tblGrid>
        <w:gridCol w:w="1112"/>
        <w:gridCol w:w="979"/>
        <w:gridCol w:w="983"/>
        <w:gridCol w:w="291"/>
        <w:gridCol w:w="849"/>
        <w:gridCol w:w="150"/>
        <w:gridCol w:w="109"/>
        <w:gridCol w:w="109"/>
        <w:gridCol w:w="109"/>
        <w:gridCol w:w="355"/>
        <w:gridCol w:w="1036"/>
        <w:gridCol w:w="259"/>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customer liabilities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2. MANAGEMENT</w:t>
      </w:r>
      <w:r>
        <w:rPr>
          <w:color w:val="000000"/>
        </w:rPr>
        <w:t>’</w:t>
      </w:r>
      <w:r>
        <w:rPr>
          <w:rFonts w:ascii="Times New Roman;sans-serif" w:hAnsi="Times New Roman;sans-serif"/>
          <w:b/>
          <w:color w:val="000000"/>
          <w:sz w:val="20"/>
        </w:rPr>
        <w:t>S DISCUSSION AND ANALYSIS OF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and other documents we have filed with the SEC contain forward-looking statements within the meaning of Section 27A of the Securities Act of 1933, as amended (the “Securities Act”), and Section 21E of the Securities and Exchange Act of 1934, as amended (the “Exchange Act”), and are subject to the “safe harbor” created by those sections. Any statements that are not statements of historical fact should be considered to be forward-looking statements. Words such as “anticipates,” “believes,” “continues,” “could,” “estimates,” “expects,” “intends,” “may,” “plans,” “potential,” “predicts,” “projects,” “seeks,”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the possible impacts of geopolitical conflicts,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our management as of the date the statement is first made, such statements can only be based on facts and factors then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in the 2023 10-K, under the heading “Risk Factors” and in the other documents filed by us with the SEC in evaluating our forward-looking statements. We have no plans, and undertake no obligation, to revise or update our forward-looking statements to reflect any event or circumstance that may arise after the date of the initial filing of this Quarterly Report on Form 10-Q. We caution readers not to place undue reliance upon any such forward-looking statements, which speak only as of the date made.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document, the words “we,” “our,” “ours,” “us,” and “the Company” refer only to Skyworks Solutions, Inc., and its subsidiaries and not any other person or entity.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Three and Six Months Ended March 29, 2024, and March 31, 2023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results of our operations expressed as a percentage of net revenue:</w:t>
      </w:r>
    </w:p>
    <w:tbl>
      <w:tblPr>
        <w:tblW w:w="10205" w:type="dxa"/>
        <w:jc w:val="left"/>
        <w:tblInd w:w="0" w:type="dxa"/>
        <w:tblLayout w:type="fixed"/>
        <w:tblCellMar>
          <w:top w:w="28" w:type="dxa"/>
          <w:left w:w="28" w:type="dxa"/>
          <w:bottom w:w="28" w:type="dxa"/>
          <w:right w:w="28" w:type="dxa"/>
        </w:tblCellMar>
      </w:tblPr>
      <w:tblGrid>
        <w:gridCol w:w="1487"/>
        <w:gridCol w:w="1244"/>
        <w:gridCol w:w="1236"/>
        <w:gridCol w:w="308"/>
        <w:gridCol w:w="308"/>
        <w:gridCol w:w="643"/>
        <w:gridCol w:w="139"/>
        <w:gridCol w:w="139"/>
        <w:gridCol w:w="139"/>
        <w:gridCol w:w="308"/>
        <w:gridCol w:w="308"/>
        <w:gridCol w:w="643"/>
        <w:gridCol w:w="109"/>
        <w:gridCol w:w="109"/>
        <w:gridCol w:w="109"/>
        <w:gridCol w:w="308"/>
        <w:gridCol w:w="308"/>
        <w:gridCol w:w="646"/>
        <w:gridCol w:w="124"/>
        <w:gridCol w:w="124"/>
        <w:gridCol w:w="124"/>
        <w:gridCol w:w="308"/>
        <w:gridCol w:w="308"/>
        <w:gridCol w:w="726"/>
      </w:tblGrid>
      <w:tr>
        <w:trPr/>
        <w:tc>
          <w:tcPr>
            <w:tcW w:w="148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 (benefits)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together with our consolidated subsidiaries, are empowering the wireless networking revolution. Our highly innovative analog and mixed-signal semiconductors are connecting people, places, and things spanning a number of new and previously unimagined applications within the aerospace, automotive, broadband, cellular infrastructure, connected home, defense, entertainment and gaming, industrial, medical, smartphone, tablet, and wearable markets.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29, 2024, the following key factors contributed to our overall results of operations, financial position, and cash flows: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Net revenue decreased to $1,046.0 million for the three months ended March 29, 2024, as compared to $1,153.1 million for the corresponding period in fiscal 2023, driven primarily by a decrease in demand for our non-mobile analog and mixed-signal products.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ending cash, cash equivalents, and marketable securities balance increased to $1,221.3 million. The increase in cash, cash equivalents, and marketable securities during the three months ended March 29, 2024, was primarily due to cash generated from operations of $300.2 million, partially offset by dividend payments of $109.1 million, and capital expenditures of $27.6 million. </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Net Revenue</w:t>
      </w:r>
    </w:p>
    <w:tbl>
      <w:tblPr>
        <w:tblW w:w="8424" w:type="dxa"/>
        <w:jc w:val="left"/>
        <w:tblInd w:w="0" w:type="dxa"/>
        <w:tblLayout w:type="fixed"/>
        <w:tblCellMar>
          <w:top w:w="28" w:type="dxa"/>
          <w:left w:w="28" w:type="dxa"/>
          <w:bottom w:w="28" w:type="dxa"/>
          <w:right w:w="28" w:type="dxa"/>
        </w:tblCellMar>
      </w:tblPr>
      <w:tblGrid>
        <w:gridCol w:w="538"/>
        <w:gridCol w:w="472"/>
        <w:gridCol w:w="474"/>
        <w:gridCol w:w="250"/>
        <w:gridCol w:w="910"/>
        <w:gridCol w:w="129"/>
        <w:gridCol w:w="235"/>
        <w:gridCol w:w="235"/>
        <w:gridCol w:w="236"/>
        <w:gridCol w:w="250"/>
        <w:gridCol w:w="910"/>
        <w:gridCol w:w="129"/>
        <w:gridCol w:w="109"/>
        <w:gridCol w:w="109"/>
        <w:gridCol w:w="109"/>
        <w:gridCol w:w="250"/>
        <w:gridCol w:w="910"/>
        <w:gridCol w:w="129"/>
        <w:gridCol w:w="235"/>
        <w:gridCol w:w="235"/>
        <w:gridCol w:w="236"/>
        <w:gridCol w:w="249"/>
        <w:gridCol w:w="904"/>
        <w:gridCol w:w="18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and sell our products directly to OEMs of communications and electronics products, third-party original design manufacturers and contract manufacturers, and indirectly through electronic components distributors.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revenue for the three and six months ended March 29, 2024, as compared with the corresponding periods in fiscal 2023, was driven primarily by a decrease in demand for our non-mobile analog and mixed-signal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tbl>
      <w:tblPr>
        <w:tblW w:w="8514" w:type="dxa"/>
        <w:jc w:val="left"/>
        <w:tblInd w:w="0" w:type="dxa"/>
        <w:tblLayout w:type="fixed"/>
        <w:tblCellMar>
          <w:top w:w="28" w:type="dxa"/>
          <w:left w:w="28" w:type="dxa"/>
          <w:bottom w:w="28" w:type="dxa"/>
          <w:right w:w="28" w:type="dxa"/>
        </w:tblCellMar>
      </w:tblPr>
      <w:tblGrid>
        <w:gridCol w:w="538"/>
        <w:gridCol w:w="472"/>
        <w:gridCol w:w="474"/>
        <w:gridCol w:w="248"/>
        <w:gridCol w:w="724"/>
        <w:gridCol w:w="318"/>
        <w:gridCol w:w="249"/>
        <w:gridCol w:w="249"/>
        <w:gridCol w:w="251"/>
        <w:gridCol w:w="248"/>
        <w:gridCol w:w="724"/>
        <w:gridCol w:w="318"/>
        <w:gridCol w:w="109"/>
        <w:gridCol w:w="109"/>
        <w:gridCol w:w="109"/>
        <w:gridCol w:w="248"/>
        <w:gridCol w:w="724"/>
        <w:gridCol w:w="318"/>
        <w:gridCol w:w="249"/>
        <w:gridCol w:w="249"/>
        <w:gridCol w:w="251"/>
        <w:gridCol w:w="218"/>
        <w:gridCol w:w="791"/>
        <w:gridCol w:w="32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gross profit for the three and six months ended March 29, 2024, as compared with the corresponding periods in fiscal 2023, was primarily the result of an unfavorable product mix, lower unit volumes, and lower average selling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9254" w:type="dxa"/>
        <w:jc w:val="left"/>
        <w:tblInd w:w="0" w:type="dxa"/>
        <w:tblLayout w:type="fixed"/>
        <w:tblCellMar>
          <w:top w:w="28" w:type="dxa"/>
          <w:left w:w="28" w:type="dxa"/>
          <w:bottom w:w="28" w:type="dxa"/>
          <w:right w:w="28" w:type="dxa"/>
        </w:tblCellMar>
      </w:tblPr>
      <w:tblGrid>
        <w:gridCol w:w="837"/>
        <w:gridCol w:w="735"/>
        <w:gridCol w:w="738"/>
        <w:gridCol w:w="248"/>
        <w:gridCol w:w="724"/>
        <w:gridCol w:w="318"/>
        <w:gridCol w:w="235"/>
        <w:gridCol w:w="235"/>
        <w:gridCol w:w="236"/>
        <w:gridCol w:w="248"/>
        <w:gridCol w:w="724"/>
        <w:gridCol w:w="318"/>
        <w:gridCol w:w="109"/>
        <w:gridCol w:w="109"/>
        <w:gridCol w:w="109"/>
        <w:gridCol w:w="248"/>
        <w:gridCol w:w="724"/>
        <w:gridCol w:w="318"/>
        <w:gridCol w:w="235"/>
        <w:gridCol w:w="235"/>
        <w:gridCol w:w="236"/>
        <w:gridCol w:w="246"/>
        <w:gridCol w:w="720"/>
        <w:gridCol w:w="369"/>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direct personnel costs including share-based compensation expense, costs for pre-production evaluation, and testing of new devices, non-production masks, engineering prototypes, and design tool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expenses for the three months ended March 29, 2024, as compared with the corresponding period in fiscal 2023, was primarily related to an increase in certain headcount-related expenses, including share-based compensation, as a result of our increased investment in developing new technologies and products.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research and development expenses for the six months ended March 29, 2024, as compared with the corresponding period in fiscal 2023, was primarily related to a decrease in depreciation expense as a result of extending the useful lives of certain machinery and equipment. For information regarding this change in accounting estimate, refer to Note 1 of the Notes to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w:t>
      </w:r>
    </w:p>
    <w:tbl>
      <w:tblPr>
        <w:tblW w:w="9943" w:type="dxa"/>
        <w:jc w:val="left"/>
        <w:tblInd w:w="0" w:type="dxa"/>
        <w:tblLayout w:type="fixed"/>
        <w:tblCellMar>
          <w:top w:w="28" w:type="dxa"/>
          <w:left w:w="28" w:type="dxa"/>
          <w:bottom w:w="28" w:type="dxa"/>
          <w:right w:w="28" w:type="dxa"/>
        </w:tblCellMar>
      </w:tblPr>
      <w:tblGrid>
        <w:gridCol w:w="1087"/>
        <w:gridCol w:w="954"/>
        <w:gridCol w:w="958"/>
        <w:gridCol w:w="274"/>
        <w:gridCol w:w="664"/>
        <w:gridCol w:w="352"/>
        <w:gridCol w:w="235"/>
        <w:gridCol w:w="235"/>
        <w:gridCol w:w="236"/>
        <w:gridCol w:w="274"/>
        <w:gridCol w:w="664"/>
        <w:gridCol w:w="352"/>
        <w:gridCol w:w="109"/>
        <w:gridCol w:w="109"/>
        <w:gridCol w:w="109"/>
        <w:gridCol w:w="248"/>
        <w:gridCol w:w="724"/>
        <w:gridCol w:w="318"/>
        <w:gridCol w:w="235"/>
        <w:gridCol w:w="235"/>
        <w:gridCol w:w="236"/>
        <w:gridCol w:w="246"/>
        <w:gridCol w:w="720"/>
        <w:gridCol w:w="369"/>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selling, general, and administrative expenses for the three and six months ended March 29, 2024, as compared with the corresponding periods in fiscal 2023, was primarily related to a decrease in headcount-related expenses, including share-based compensation and a decrease in professional services costs.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Amortization of Intangibles</w:t>
      </w:r>
    </w:p>
    <w:tbl>
      <w:tblPr>
        <w:tblW w:w="9396" w:type="dxa"/>
        <w:jc w:val="center"/>
        <w:tblInd w:w="0" w:type="dxa"/>
        <w:tblLayout w:type="fixed"/>
        <w:tblCellMar>
          <w:top w:w="28" w:type="dxa"/>
          <w:left w:w="28" w:type="dxa"/>
          <w:bottom w:w="28" w:type="dxa"/>
          <w:right w:w="28" w:type="dxa"/>
        </w:tblCellMar>
      </w:tblPr>
      <w:tblGrid>
        <w:gridCol w:w="859"/>
        <w:gridCol w:w="754"/>
        <w:gridCol w:w="757"/>
        <w:gridCol w:w="306"/>
        <w:gridCol w:w="590"/>
        <w:gridCol w:w="393"/>
        <w:gridCol w:w="249"/>
        <w:gridCol w:w="249"/>
        <w:gridCol w:w="251"/>
        <w:gridCol w:w="306"/>
        <w:gridCol w:w="590"/>
        <w:gridCol w:w="393"/>
        <w:gridCol w:w="109"/>
        <w:gridCol w:w="109"/>
        <w:gridCol w:w="109"/>
        <w:gridCol w:w="306"/>
        <w:gridCol w:w="590"/>
        <w:gridCol w:w="393"/>
        <w:gridCol w:w="249"/>
        <w:gridCol w:w="249"/>
        <w:gridCol w:w="251"/>
        <w:gridCol w:w="271"/>
        <w:gridCol w:w="657"/>
        <w:gridCol w:w="406"/>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(94.7)%</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amortization expense for the three and six months ended March 29, 2024, as compared with the corresponding periods in fiscal 2023, was primarily due to certain intangible assets that were acquired in prior fiscal years reaching the end of their useful lives.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Restructuring, Impairment, and Other Charges (Benefits)</w:t>
      </w:r>
    </w:p>
    <w:tbl>
      <w:tblPr>
        <w:tblW w:w="10205" w:type="dxa"/>
        <w:jc w:val="center"/>
        <w:tblInd w:w="0" w:type="dxa"/>
        <w:tblLayout w:type="fixed"/>
        <w:tblCellMar>
          <w:top w:w="28" w:type="dxa"/>
          <w:left w:w="28" w:type="dxa"/>
          <w:bottom w:w="28" w:type="dxa"/>
          <w:right w:w="28" w:type="dxa"/>
        </w:tblCellMar>
      </w:tblPr>
      <w:tblGrid>
        <w:gridCol w:w="1304"/>
        <w:gridCol w:w="1145"/>
        <w:gridCol w:w="1084"/>
        <w:gridCol w:w="259"/>
        <w:gridCol w:w="573"/>
        <w:gridCol w:w="334"/>
        <w:gridCol w:w="268"/>
        <w:gridCol w:w="268"/>
        <w:gridCol w:w="270"/>
        <w:gridCol w:w="254"/>
        <w:gridCol w:w="615"/>
        <w:gridCol w:w="326"/>
        <w:gridCol w:w="109"/>
        <w:gridCol w:w="109"/>
        <w:gridCol w:w="109"/>
        <w:gridCol w:w="254"/>
        <w:gridCol w:w="615"/>
        <w:gridCol w:w="326"/>
        <w:gridCol w:w="244"/>
        <w:gridCol w:w="244"/>
        <w:gridCol w:w="246"/>
        <w:gridCol w:w="252"/>
        <w:gridCol w:w="610"/>
        <w:gridCol w:w="387"/>
      </w:tblGrid>
      <w:tr>
        <w:trPr/>
        <w:tc>
          <w:tcPr>
            <w:tcW w:w="130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 (benefits)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 (benefits) for the three months ended March 29, 2024 was not material. Restructuring, impairment, and other charges (benefits) for the six months ended March 29, 2024 was primarily related to the abandonment of a previously capitalized IPR&amp;D project.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impairment, and other charges (benefits) for the three and six months ended March 31, 2023 was primarily due to asset impairment charges of certain assets held for sale.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tbl>
      <w:tblPr>
        <w:tblW w:w="8512" w:type="dxa"/>
        <w:jc w:val="left"/>
        <w:tblInd w:w="0" w:type="dxa"/>
        <w:tblLayout w:type="fixed"/>
        <w:tblCellMar>
          <w:top w:w="28" w:type="dxa"/>
          <w:left w:w="28" w:type="dxa"/>
          <w:bottom w:w="28" w:type="dxa"/>
          <w:right w:w="28" w:type="dxa"/>
        </w:tblCellMar>
      </w:tblPr>
      <w:tblGrid>
        <w:gridCol w:w="538"/>
        <w:gridCol w:w="472"/>
        <w:gridCol w:w="474"/>
        <w:gridCol w:w="306"/>
        <w:gridCol w:w="590"/>
        <w:gridCol w:w="393"/>
        <w:gridCol w:w="249"/>
        <w:gridCol w:w="249"/>
        <w:gridCol w:w="251"/>
        <w:gridCol w:w="274"/>
        <w:gridCol w:w="664"/>
        <w:gridCol w:w="352"/>
        <w:gridCol w:w="109"/>
        <w:gridCol w:w="109"/>
        <w:gridCol w:w="109"/>
        <w:gridCol w:w="274"/>
        <w:gridCol w:w="664"/>
        <w:gridCol w:w="352"/>
        <w:gridCol w:w="249"/>
        <w:gridCol w:w="249"/>
        <w:gridCol w:w="251"/>
        <w:gridCol w:w="271"/>
        <w:gridCol w:w="657"/>
        <w:gridCol w:w="40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for the three and six months ended March 29, 2024, as compared with the corresponding periods in fiscal 2023, was due to the repayment of the outstanding balance on the Term Loans (as defined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9307" w:type="dxa"/>
        <w:jc w:val="left"/>
        <w:tblInd w:w="0" w:type="dxa"/>
        <w:tblLayout w:type="fixed"/>
        <w:tblCellMar>
          <w:top w:w="28" w:type="dxa"/>
          <w:left w:w="28" w:type="dxa"/>
          <w:bottom w:w="28" w:type="dxa"/>
          <w:right w:w="28" w:type="dxa"/>
        </w:tblCellMar>
      </w:tblPr>
      <w:tblGrid>
        <w:gridCol w:w="826"/>
        <w:gridCol w:w="725"/>
        <w:gridCol w:w="728"/>
        <w:gridCol w:w="306"/>
        <w:gridCol w:w="590"/>
        <w:gridCol w:w="393"/>
        <w:gridCol w:w="249"/>
        <w:gridCol w:w="249"/>
        <w:gridCol w:w="251"/>
        <w:gridCol w:w="274"/>
        <w:gridCol w:w="664"/>
        <w:gridCol w:w="352"/>
        <w:gridCol w:w="109"/>
        <w:gridCol w:w="109"/>
        <w:gridCol w:w="109"/>
        <w:gridCol w:w="274"/>
        <w:gridCol w:w="664"/>
        <w:gridCol w:w="352"/>
        <w:gridCol w:w="249"/>
        <w:gridCol w:w="249"/>
        <w:gridCol w:w="251"/>
        <w:gridCol w:w="271"/>
        <w:gridCol w:w="657"/>
        <w:gridCol w:w="406"/>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provision for income taxes of $9.6 million (which consisted of a benefit of $4.6 million and a provision of $14.2 million related to United States and foreign income taxes, respectively) and $30.0 million (which consisted of $7.5 million and $22.5 million related to United States and foreign income taxes, respectively) for the three and six months ended March 29, 2024, respectively.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income tax expense for the three and six months ended March 29, 2024, as compared with the corresponding periods in fiscal 2023, was primarily due to lower income from operations and a lower tax on GILTI, partially offset by an increase in the shortfall in tax deductions for share-based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tbl>
      <w:tblPr>
        <w:tblW w:w="7075" w:type="dxa"/>
        <w:jc w:val="left"/>
        <w:tblInd w:w="0" w:type="dxa"/>
        <w:tblLayout w:type="fixed"/>
        <w:tblCellMar>
          <w:top w:w="28" w:type="dxa"/>
          <w:left w:w="28" w:type="dxa"/>
          <w:bottom w:w="28" w:type="dxa"/>
          <w:right w:w="28" w:type="dxa"/>
        </w:tblCellMar>
      </w:tblPr>
      <w:tblGrid>
        <w:gridCol w:w="1494"/>
        <w:gridCol w:w="1312"/>
        <w:gridCol w:w="1319"/>
        <w:gridCol w:w="250"/>
        <w:gridCol w:w="910"/>
        <w:gridCol w:w="129"/>
        <w:gridCol w:w="109"/>
        <w:gridCol w:w="109"/>
        <w:gridCol w:w="109"/>
        <w:gridCol w:w="287"/>
        <w:gridCol w:w="838"/>
        <w:gridCol w:w="209"/>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provided by operating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consists of net income for the period adjusted for certain non-cash items and changes in certain operating assets and liabilities. The $109.9 million decrease in cash provided by operating activities during the six months ended March 29, 2024, as compared with the corresponding period in fiscal 2023, was primarily related to lower net income and depreciation, partially offset by favorable changes in working capital of $58.7 million, due primarily to a decrease in inventory.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used in investing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consists primarily of capital expenditures, cash paid to acquire intangible assets, and cash paid to purchase marketable securities, offset by cash received related to the sale or maturity of marketable securities. The $272.7 million decrease in cash used in investing activities during the six months ended March 29, 2024, as compared with the corresponding period in fiscal 2023, was primarily related to a decrease of $259.1 million in purchases of marketable securities and a decrease of $59.1 million in cash used for capital expenditures, partially offset by a decrease of $49.7 million in sales of marketable securities.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used in financing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consists primarily of proceeds and payments related to our long-term borrowings and cash transactions related to equity. The $57.2 million decrease in cash used in financing activities during the six months ended March 29, 2024, as compared with the corresponding period in fiscal 2023, was primarily related to a decrease of 175.3 million in stock repurchase activity, partially offset by an increase of $100.0 million for the repayment of debt, and an increase of $20.0 million in dividend payments.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marketable securities totaled $1,221.3 million as of March 29, 2024, representing an increase of $482.8 million from September 29,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outstanding $500.0 million of Notes Due 2026 and $500.0 million of Notes Due 2031 (the “Notes”). During the six months ended March 29, 2024, we repaid $300.0 million of outstanding borrowings under the term loans (the “Term Loans”) that the Company borrowed on July 26, 2021 under a $1.0 billion term loan facility (the “Term Loan Facility”). As of March 29, 2024, there were no borrowings outstanding under the Term Loan Facility. We have a Revolving Credit Agreement (the “Revolving Credit Agreement”) under which we may borrow up to $750.0 million for general corporate purposes and working capital needs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As of March 29, 2024, there were no borrowings outstanding under the revolving credit facility (the “Revolver”). The Revolving Credit Agreement expires July 26,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outstanding commitments, and other liquidity requirements associated with existing operations. However, we cannot be certain that our cash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invested cash balances primarily consist of highly liquid marketable securities that are available to meet near-term cash requirements including: money market funds, U.S. Treasury and government securities, and corporate bonds and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contractual obligations disclosure in the 2023 10-K has not materially changed since we filed that report.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overall financial market risks, such as changes in market liquidity, credit quality, investment risk, interest rate risk, and foreign exchange rate risk as described below.</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Investment and Interest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interest rate and general market risks relates to our investment portfolio. Our investment portfolio consists of cash and cash equivalents (money market funds and marketable securities purchased with less than ninety days until maturity) that total approximately $1,205.4 million, and marketable securities (U.S. Treasury and government securities and corporate bonds and notes) that total approximately $12.9 million and $3.0 million within short-term and long-term marketable securities, respectively, as of March 29,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main objectives of our investment activities are liquidity and preservation of capital. Our cash equivalent investments have short-term maturity periods that dampen the impact of market or interest rate risk. Our marketable securities have short-term maturity periods less than one year. Credit risk associated with our investments is not material because our investments are diversified across several types of securities with high credit ratings, which reduces the amount of credit exposure to any one investment.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results of operations for the three and six months ended March 29, 2024, a hypothetical reduction in the interest rates on our cash, cash equivalents, and other investments to zero would result in an immaterial reduction of interest income with a de minimis impact on income before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investment or interest rate risks currently pose material exposures to our business or results of operations.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Foreign Exchange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reasons, including, but not limited to, accounting considerations and the prohibitive economic cost of hedging particular exposures. For the three and six months ended March 29, 2024 and March 31, 2023, we had no outstanding foreign currency forward or options contracts with financial institutions.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March 29,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March 29, 2024, our chief executive officer and chief financial officer concluded that, as of such date, our disclosure controls and procedures were effective at the reasonable assurance level.</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i/>
          <w:color w:val="000000"/>
          <w:sz w:val="20"/>
        </w:rPr>
        <w:t>Changes in Internal Control Over Financial Reporting</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changes to our internal control over financial reporting (as defined in Rules 13a-15(f) and 15d-15(f) of the Exchange Act) that occurred during the second quarter of fiscal 2024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9 of the Notes to Consolidated Financial Statements for a detailed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on Form 10-Q, you should carefully consider the factors discussed in Part I, Item 1A Risk Factors in the 2023 10-K, which could materially affect our business, financial condition, or future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repurchases of common stock made during the three months ended March 29, 2024:</w:t>
      </w:r>
    </w:p>
    <w:tbl>
      <w:tblPr>
        <w:tblW w:w="10205" w:type="dxa"/>
        <w:jc w:val="left"/>
        <w:tblInd w:w="0" w:type="dxa"/>
        <w:tblLayout w:type="fixed"/>
        <w:tblCellMar>
          <w:top w:w="28" w:type="dxa"/>
          <w:left w:w="28" w:type="dxa"/>
          <w:bottom w:w="28" w:type="dxa"/>
          <w:right w:w="28" w:type="dxa"/>
        </w:tblCellMar>
      </w:tblPr>
      <w:tblGrid>
        <w:gridCol w:w="361"/>
        <w:gridCol w:w="318"/>
        <w:gridCol w:w="321"/>
        <w:gridCol w:w="489"/>
        <w:gridCol w:w="489"/>
        <w:gridCol w:w="490"/>
        <w:gridCol w:w="115"/>
        <w:gridCol w:w="115"/>
        <w:gridCol w:w="116"/>
        <w:gridCol w:w="455"/>
        <w:gridCol w:w="416"/>
        <w:gridCol w:w="418"/>
        <w:gridCol w:w="949"/>
        <w:gridCol w:w="949"/>
        <w:gridCol w:w="953"/>
        <w:gridCol w:w="948"/>
        <w:gridCol w:w="948"/>
        <w:gridCol w:w="1355"/>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(1)</w:t>
            </w:r>
          </w:p>
        </w:tc>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Approximate Dollar Value of Shares that May Yet Be Purchased Under the Plans or Programs (1) </w:t>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12/30/23 - 01/26/24</w:t>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billion</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01/27/24 - 02/23/24</w:t>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$105.57</w:t>
            </w:r>
          </w:p>
        </w:tc>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billion</w:t>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02/24/24 - 03/29/24</w:t>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billion</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68"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The stock repurchase program approved by the Board of Directors on January 31, 2023 authorized the repurchase of up to $2.0 billion of our common stock from time to time on the open market or in privately negotiated transactions, in compliance with applicable securities laws and other legal requirements, and expires on February 1, 2025.</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Represents shares repurchased by us at the fair market value of the common stock as of the applicable purchase date, in connection with the satisfaction of tax withholding obligations under equity award agreements.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40"/>
        <w:gridCol w:w="241"/>
        <w:gridCol w:w="2166"/>
        <w:gridCol w:w="2090"/>
        <w:gridCol w:w="1979"/>
        <w:gridCol w:w="170"/>
        <w:gridCol w:w="170"/>
        <w:gridCol w:w="171"/>
        <w:gridCol w:w="166"/>
        <w:gridCol w:w="150"/>
        <w:gridCol w:w="150"/>
        <w:gridCol w:w="227"/>
        <w:gridCol w:w="227"/>
        <w:gridCol w:w="191"/>
        <w:gridCol w:w="249"/>
        <w:gridCol w:w="214"/>
        <w:gridCol w:w="178"/>
        <w:gridCol w:w="277"/>
        <w:gridCol w:w="277"/>
        <w:gridCol w:w="400"/>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7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r>
          </w:p>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62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Description</w:t>
            </w:r>
          </w:p>
        </w:tc>
        <w:tc>
          <w:tcPr>
            <w:tcW w:w="5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1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Filed Herewith</w:t>
            </w:r>
          </w:p>
        </w:tc>
      </w:tr>
      <w:tr>
        <w:trPr/>
        <w:tc>
          <w:tcPr>
            <w:tcW w:w="753" w:type="dxa"/>
            <w:gridSpan w:val="3"/>
            <w:vMerge w:val="continue"/>
            <w:tcBorders/>
            <w:tcMar>
              <w:top w:w="0" w:type="dxa"/>
              <w:left w:w="0" w:type="dxa"/>
              <w:bottom w:w="0" w:type="dxa"/>
              <w:right w:w="0" w:type="dxa"/>
            </w:tcMar>
            <w:vAlign w:val="center"/>
          </w:tcPr>
          <w:p>
            <w:pPr>
              <w:pStyle w:val="Normal"/>
              <w:bidi w:val="0"/>
              <w:jc w:val="left"/>
              <w:rPr/>
            </w:pPr>
            <w:r>
              <w:rPr/>
            </w:r>
          </w:p>
        </w:tc>
        <w:tc>
          <w:tcPr>
            <w:tcW w:w="6235"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 No.</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Filing Date</w:t>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directorcashcom.htm">
              <w:r>
                <w:rPr>
                  <w:rStyle w:val="InternetLink"/>
                  <w:rFonts w:ascii="Times New Roman;sans-serif" w:hAnsi="Times New Roman;sans-serif"/>
                  <w:b w:val="false"/>
                  <w:color w:val="0000FF"/>
                  <w:sz w:val="20"/>
                  <w:u w:val="single"/>
                </w:rPr>
                <w:t>Cash Compensation Plan for Directors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4exhibit311.htm">
              <w:r>
                <w:rPr>
                  <w:rStyle w:val="InternetLink"/>
                  <w:rFonts w:ascii="Times New Roman;sans-serif" w:hAnsi="Times New Roman;sans-serif"/>
                  <w:b w:val="false"/>
                  <w:color w:val="0000FF"/>
                  <w:sz w:val="20"/>
                  <w:u w:val="single"/>
                </w:rPr>
                <w:t>Certification of the Company’s Chief Executive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4exhibit312.htm">
              <w:r>
                <w:rPr>
                  <w:rStyle w:val="InternetLink"/>
                  <w:rFonts w:ascii="Times New Roman;sans-serif" w:hAnsi="Times New Roman;sans-serif"/>
                  <w:b w:val="false"/>
                  <w:color w:val="0000FF"/>
                  <w:sz w:val="20"/>
                  <w:u w:val="single"/>
                </w:rPr>
                <w:t>Certification of the Company’s Chief Financial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4exhibit321.htm">
              <w:r>
                <w:rPr>
                  <w:rStyle w:val="InternetLink"/>
                  <w:rFonts w:ascii="Times New Roman;sans-serif" w:hAnsi="Times New Roman;sans-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4exhibit322.htm">
              <w:r>
                <w:rPr>
                  <w:rStyle w:val="InternetLink"/>
                  <w:rFonts w:ascii="Times New Roman;sans-serif" w:hAnsi="Times New Roman;sans-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f918421f0d544c8ab00828769399a2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7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9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280"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432"/>
        <w:gridCol w:w="432"/>
        <w:gridCol w:w="432"/>
        <w:gridCol w:w="1210"/>
        <w:gridCol w:w="1210"/>
        <w:gridCol w:w="17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SKYWORKS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Liam K. Griffin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Kris Sennesael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6" w:after="283"/>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before="5" w:after="283"/>
        <w:jc w:val="left"/>
        <w:rPr/>
      </w:pPr>
      <w:r>
        <w:rPr/>
      </w:r>
    </w:p>
    <w:p>
      <w:pPr>
        <w:pStyle w:val="TextBody"/>
        <w:bidi w:val="0"/>
        <w:spacing w:before="5" w:after="283"/>
        <w:jc w:val="left"/>
        <w:rPr/>
      </w:pPr>
      <w:r>
        <w:rPr/>
      </w:r>
    </w:p>
    <w:p>
      <w:pPr>
        <w:pStyle w:val="TextBody"/>
        <w:bidi w:val="0"/>
        <w:spacing w:lineRule="auto" w:line="331" w:before="103" w:after="283"/>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1" w:after="283"/>
        <w:jc w:val="center"/>
        <w:rPr>
          <w:rFonts w:ascii="Times New Roman;sans-serif" w:hAnsi="Times New Roman;sans-serif"/>
          <w:b/>
          <w:color w:val="000000"/>
          <w:sz w:val="20"/>
        </w:rPr>
      </w:pPr>
      <w:r>
        <w:rPr>
          <w:rFonts w:ascii="Times New Roman;sans-serif" w:hAnsi="Times New Roman;sans-serif"/>
          <w:b/>
          <w:color w:val="000000"/>
          <w:sz w:val="20"/>
        </w:rPr>
        <w:t>Cash Compensation Plan for Directors</w:t>
      </w:r>
    </w:p>
    <w:p>
      <w:pPr>
        <w:pStyle w:val="TextBody"/>
        <w:bidi w:val="0"/>
        <w:spacing w:before="3" w:after="283"/>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Directors who are not employees of Skyworks Solutions, Inc. (the “Company”), are paid an annual retainer of $90,000. Additional annual retainers are paid to any non-employee Chairman of the Board ($130,000); the Lead Independent Director, if one has been appointed ($50,000); the Chairman of the Audit Committee ($30,000); the Chairman of the Compensation Committee ($20,000); and the Chairman of the Nominating and Governance Committee ($15,000). Additional annual retainers are also paid to directors who serve on committees in roles other than as Chairman as follows: Audit Committee ($15,000); Compensation Committee ($10,000); and Nominating and Corporate Governance Committee ($7,500). All retainers are paid in quarterly installments. In addition, the Compensation Committee retains discretion to recommend to the full Board of Directors that additional cash payments be made to a non-employee director(s) for extraordinary service during a fiscal year.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CEO PURSUANT TO SECURITIES EXCHANGE ACT RULES 13a-14(a) OR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Liam K. Griffin,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9" w:type="dxa"/>
        <w:jc w:val="left"/>
        <w:tblInd w:w="0" w:type="dxa"/>
        <w:tblLayout w:type="fixed"/>
        <w:tblCellMar>
          <w:top w:w="28" w:type="dxa"/>
          <w:left w:w="28" w:type="dxa"/>
          <w:bottom w:w="28" w:type="dxa"/>
          <w:right w:w="28" w:type="dxa"/>
        </w:tblCellMar>
      </w:tblPr>
      <w:tblGrid>
        <w:gridCol w:w="200"/>
        <w:gridCol w:w="177"/>
        <w:gridCol w:w="178"/>
        <w:gridCol w:w="1110"/>
        <w:gridCol w:w="1110"/>
        <w:gridCol w:w="1116"/>
        <w:gridCol w:w="222"/>
        <w:gridCol w:w="222"/>
        <w:gridCol w:w="3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Liam K. Griffin</w:t>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w:t>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CFO PURSUANT TO SECURITIES EXCHANGE ACT RULES 13a-14(a) OR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Kris Sennesael,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021" w:type="dxa"/>
        <w:jc w:val="left"/>
        <w:tblInd w:w="0" w:type="dxa"/>
        <w:tblLayout w:type="fixed"/>
        <w:tblCellMar>
          <w:top w:w="28" w:type="dxa"/>
          <w:left w:w="28" w:type="dxa"/>
          <w:bottom w:w="28" w:type="dxa"/>
          <w:right w:w="28" w:type="dxa"/>
        </w:tblCellMar>
      </w:tblPr>
      <w:tblGrid>
        <w:gridCol w:w="200"/>
        <w:gridCol w:w="177"/>
        <w:gridCol w:w="178"/>
        <w:gridCol w:w="1363"/>
        <w:gridCol w:w="1363"/>
        <w:gridCol w:w="136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 Sennesael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Skyworks Solutions, Inc. (the “Company”) on Form 10-Q for the period ended March 29, 2024 as filed with the Securities and Exchange Commission on the date hereof (the “Report”), I, Liam K. Griffin, Chairman, Chief Executive Officer and President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120" w:after="283"/>
        <w:jc w:val="left"/>
        <w:rPr/>
      </w:pPr>
      <w:r>
        <w:rPr/>
      </w:r>
    </w:p>
    <w:tbl>
      <w:tblPr>
        <w:tblW w:w="4109" w:type="dxa"/>
        <w:jc w:val="left"/>
        <w:tblInd w:w="0" w:type="dxa"/>
        <w:tblLayout w:type="fixed"/>
        <w:tblCellMar>
          <w:top w:w="28" w:type="dxa"/>
          <w:left w:w="28" w:type="dxa"/>
          <w:bottom w:w="28" w:type="dxa"/>
          <w:right w:w="28" w:type="dxa"/>
        </w:tblCellMar>
      </w:tblPr>
      <w:tblGrid>
        <w:gridCol w:w="1315"/>
        <w:gridCol w:w="1152"/>
        <w:gridCol w:w="1642"/>
      </w:tblGrid>
      <w:tr>
        <w:trPr/>
        <w:tc>
          <w:tcPr>
            <w:tcW w:w="131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Liam K. Griffin</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 </w:t>
              <w:br/>
              <w:t>Chairman, Chief Executive Officer and President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Skyworks Solutions, Inc. (the “Company”) on Form 10-Q for the period ended March 29, 2024 as filed with the Securities and Exchange Commission on the date hereof (the “Report”), I, Kris Sennesael, Chief Financial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120" w:after="283"/>
        <w:jc w:val="left"/>
        <w:rPr/>
      </w:pPr>
      <w:r>
        <w:rPr/>
      </w:r>
    </w:p>
    <w:tbl>
      <w:tblPr>
        <w:tblW w:w="4154" w:type="dxa"/>
        <w:jc w:val="left"/>
        <w:tblInd w:w="0" w:type="dxa"/>
        <w:tblLayout w:type="fixed"/>
        <w:tblCellMar>
          <w:top w:w="28" w:type="dxa"/>
          <w:left w:w="28" w:type="dxa"/>
          <w:bottom w:w="28" w:type="dxa"/>
          <w:right w:w="28" w:type="dxa"/>
        </w:tblCellMar>
      </w:tblPr>
      <w:tblGrid>
        <w:gridCol w:w="1328"/>
        <w:gridCol w:w="1166"/>
        <w:gridCol w:w="1660"/>
      </w:tblGrid>
      <w:tr>
        <w:trPr/>
        <w:tc>
          <w:tcPr>
            <w:tcW w:w="132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Kris Sennesael</w:t>
            </w:r>
          </w:p>
        </w:tc>
      </w:tr>
      <w:tr>
        <w:trPr/>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w:t>
              <w:br/>
              <w:t>Senior Vice President and Chief Financial Officer</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11390</Words>
  <Characters>63160</Characters>
  <CharactersWithSpaces>73584</CharactersWithSpaces>
  <Paragraphs>2032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