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Givens Jason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42,311</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3,909</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83.91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1,818</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3,496</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6,686</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10,056</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3,967</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5,995</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1,155</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576</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1,282</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9,219</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in connection with the Issuer's acquisition of Qorvo, Inc. ("Qorvo") on October 5, 2026 (the "Merger"). Pursuant to the Agreement and Plan of Merger, dated October 27, 2025, by and among the Issuer, Comet Acquisition Corp., Comet Acquisition II, LLC and Qorvo (the "Merger Agreement"), each issued and outstanding share of Qorvo common stock held by the reporting person immediately prior to the effective time of the Merger (the "Effective Time") (including shares in respect of Accelerated Qorvo RSUs (as defined in the Merger Agreement)) was converted into the right to receive (i) 0.960 shares of the Issuer's common stock and (ii) $32.50 in cash, without interest. All fractional share holdings were paid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satisfy tax withholding obligations related to the issuance of unrestricted stock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contingent right to receive one (1)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RSUs acquired in connection with the Merger pursuant to the terms of the Merger Agreement with respect to each outstanding Adjusted RSU Award (as defined in the Merger Agreement) held by the reporting person immediately prior to the Effective Time (including any Adjusted RSU Award that was subject to performance-based vesting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on August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as follows: 1,748 on each of August 5,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as follows: 2,230, 2,228 and 2,228 on August 5,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as follows: 2,514 on each of August 5,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 on May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vest as follows: 2,998 and 2,997 on May 5, 2027 and 2028,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RSUs vest as follows: 578 and 577 on May 5, 2027 and 2028,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RSUs vest as follows: 288 on each of May 5,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RSUs vest on May 10,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RSUs vest as follows: 4,610 and 4,609 on June 4, 2028 and 2029,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Jason K. Givens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496" TargetMode="External"/><Relationship Id="rId5" Type="http://schemas.openxmlformats.org/officeDocument/2006/relationships/hyperlink" Target="http://www.sec.gov/cgi-bin/browse-edgar?action=getcompany&amp;CIK=0000004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1083</Words>
  <Characters>5577</Characters>
  <CharactersWithSpaces>6452</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