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328295</wp:posOffset>
            </wp:positionH>
            <wp:positionV relativeFrom="page">
              <wp:posOffset>688975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646430</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5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October 2,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8"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8"/>
          <w:szCs w:val="18"/>
          <w:color w:val="auto"/>
        </w:rPr>
        <w:t>TRANSITION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001-05560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Skyworks Solutions,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4"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jc w:val="center"/>
              <w:ind w:left="11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80" w:type="dxa"/>
            <w:vAlign w:val="bottom"/>
          </w:tcPr>
          <w:p>
            <w:pPr>
              <w:jc w:val="center"/>
              <w:ind w:right="539"/>
              <w:spacing w:after="0"/>
              <w:rPr>
                <w:sz w:val="20"/>
                <w:szCs w:val="20"/>
                <w:color w:val="auto"/>
              </w:rPr>
            </w:pPr>
            <w:r>
              <w:rPr>
                <w:rFonts w:ascii="Arial" w:cs="Arial" w:eastAsia="Arial" w:hAnsi="Arial"/>
                <w:sz w:val="18"/>
                <w:szCs w:val="18"/>
                <w:b w:val="1"/>
                <w:bCs w:val="1"/>
                <w:color w:val="auto"/>
                <w:w w:val="89"/>
              </w:rPr>
              <w:t>04-2302115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060" w:type="dxa"/>
            <w:vAlign w:val="bottom"/>
            <w:gridSpan w:val="3"/>
          </w:tcPr>
          <w:p>
            <w:pPr>
              <w:jc w:val="center"/>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1500" w:type="dxa"/>
            <w:vAlign w:val="bottom"/>
          </w:tcPr>
          <w:p>
            <w:pPr>
              <w:spacing w:after="0"/>
              <w:rPr>
                <w:sz w:val="18"/>
                <w:szCs w:val="18"/>
                <w:color w:val="auto"/>
              </w:rPr>
            </w:pPr>
          </w:p>
        </w:tc>
        <w:tc>
          <w:tcPr>
            <w:tcW w:w="3480" w:type="dxa"/>
            <w:vAlign w:val="bottom"/>
          </w:tcPr>
          <w:p>
            <w:pPr>
              <w:jc w:val="center"/>
              <w:ind w:right="559"/>
              <w:spacing w:after="0"/>
              <w:rPr>
                <w:sz w:val="20"/>
                <w:szCs w:val="20"/>
                <w:color w:val="auto"/>
              </w:rPr>
            </w:pPr>
            <w:r>
              <w:rPr>
                <w:rFonts w:ascii="Arial" w:cs="Arial" w:eastAsia="Arial" w:hAnsi="Arial"/>
                <w:sz w:val="16"/>
                <w:szCs w:val="16"/>
                <w:i w:val="1"/>
                <w:iCs w:val="1"/>
                <w:color w:val="auto"/>
                <w:w w:val="94"/>
              </w:rPr>
              <w:t>(I.R.S. Employer Identification No.)</w:t>
            </w:r>
          </w:p>
        </w:tc>
        <w:tc>
          <w:tcPr>
            <w:tcW w:w="0" w:type="dxa"/>
            <w:vAlign w:val="bottom"/>
          </w:tcPr>
          <w:p>
            <w:pPr>
              <w:spacing w:after="0"/>
              <w:rPr>
                <w:sz w:val="1"/>
                <w:szCs w:val="1"/>
                <w:color w:val="auto"/>
              </w:rPr>
            </w:pPr>
          </w:p>
        </w:tc>
      </w:tr>
      <w:tr>
        <w:trPr>
          <w:trHeight w:val="289"/>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5260 California</w:t>
            </w:r>
          </w:p>
        </w:tc>
        <w:tc>
          <w:tcPr>
            <w:tcW w:w="1540" w:type="dxa"/>
            <w:vAlign w:val="bottom"/>
            <w:vMerge w:val="restart"/>
          </w:tcPr>
          <w:p>
            <w:pPr>
              <w:ind w:left="740"/>
              <w:spacing w:after="0"/>
              <w:rPr>
                <w:sz w:val="20"/>
                <w:szCs w:val="20"/>
                <w:color w:val="auto"/>
              </w:rPr>
            </w:pPr>
            <w:r>
              <w:rPr>
                <w:rFonts w:ascii="Arial" w:cs="Arial" w:eastAsia="Arial" w:hAnsi="Arial"/>
                <w:sz w:val="18"/>
                <w:szCs w:val="18"/>
                <w:b w:val="1"/>
                <w:bCs w:val="1"/>
                <w:color w:val="auto"/>
                <w:w w:val="93"/>
              </w:rPr>
              <w:t>California</w:t>
            </w:r>
          </w:p>
        </w:tc>
        <w:tc>
          <w:tcPr>
            <w:tcW w:w="1500" w:type="dxa"/>
            <w:vAlign w:val="bottom"/>
          </w:tcPr>
          <w:p>
            <w:pPr>
              <w:spacing w:after="0"/>
              <w:rPr>
                <w:sz w:val="24"/>
                <w:szCs w:val="24"/>
                <w:color w:val="auto"/>
              </w:rPr>
            </w:pPr>
          </w:p>
        </w:tc>
        <w:tc>
          <w:tcPr>
            <w:tcW w:w="3480" w:type="dxa"/>
            <w:vAlign w:val="bottom"/>
            <w:vMerge w:val="restart"/>
          </w:tcPr>
          <w:p>
            <w:pPr>
              <w:jc w:val="center"/>
              <w:ind w:right="579"/>
              <w:spacing w:after="0"/>
              <w:rPr>
                <w:sz w:val="20"/>
                <w:szCs w:val="20"/>
                <w:color w:val="auto"/>
              </w:rPr>
            </w:pPr>
            <w:r>
              <w:rPr>
                <w:rFonts w:ascii="Arial" w:cs="Arial" w:eastAsia="Arial" w:hAnsi="Arial"/>
                <w:sz w:val="18"/>
                <w:szCs w:val="18"/>
                <w:b w:val="1"/>
                <w:bCs w:val="1"/>
                <w:color w:val="auto"/>
                <w:w w:val="91"/>
              </w:rPr>
              <w:t>92617</w:t>
            </w:r>
          </w:p>
        </w:tc>
        <w:tc>
          <w:tcPr>
            <w:tcW w:w="0" w:type="dxa"/>
            <w:vAlign w:val="bottom"/>
          </w:tcPr>
          <w:p>
            <w:pPr>
              <w:spacing w:after="0"/>
              <w:rPr>
                <w:sz w:val="1"/>
                <w:szCs w:val="1"/>
                <w:color w:val="auto"/>
              </w:rPr>
            </w:pPr>
          </w:p>
        </w:tc>
      </w:tr>
      <w:tr>
        <w:trPr>
          <w:trHeight w:val="233"/>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Avenue</w:t>
            </w:r>
          </w:p>
        </w:tc>
        <w:tc>
          <w:tcPr>
            <w:tcW w:w="2180" w:type="dxa"/>
            <w:vAlign w:val="bottom"/>
          </w:tcPr>
          <w:p>
            <w:pPr>
              <w:ind w:left="1440"/>
              <w:spacing w:after="0"/>
              <w:rPr>
                <w:sz w:val="20"/>
                <w:szCs w:val="20"/>
                <w:color w:val="auto"/>
              </w:rPr>
            </w:pPr>
            <w:r>
              <w:rPr>
                <w:rFonts w:ascii="Arial" w:cs="Arial" w:eastAsia="Arial" w:hAnsi="Arial"/>
                <w:sz w:val="18"/>
                <w:szCs w:val="18"/>
                <w:b w:val="1"/>
                <w:bCs w:val="1"/>
                <w:color w:val="auto"/>
              </w:rPr>
              <w:t>Irvine</w:t>
            </w:r>
          </w:p>
        </w:tc>
        <w:tc>
          <w:tcPr>
            <w:tcW w:w="15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20" w:type="dxa"/>
            <w:vAlign w:val="bottom"/>
            <w:gridSpan w:val="2"/>
          </w:tcPr>
          <w:p>
            <w:pPr>
              <w:jc w:val="center"/>
              <w:ind w:right="156"/>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1500" w:type="dxa"/>
            <w:vAlign w:val="bottom"/>
          </w:tcPr>
          <w:p>
            <w:pPr>
              <w:spacing w:after="0"/>
              <w:rPr>
                <w:sz w:val="17"/>
                <w:szCs w:val="17"/>
                <w:color w:val="auto"/>
              </w:rPr>
            </w:pPr>
          </w:p>
        </w:tc>
        <w:tc>
          <w:tcPr>
            <w:tcW w:w="3480" w:type="dxa"/>
            <w:vAlign w:val="bottom"/>
          </w:tcPr>
          <w:p>
            <w:pPr>
              <w:jc w:val="center"/>
              <w:ind w:right="579"/>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r>
        <w:trPr>
          <w:trHeight w:val="397"/>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right"/>
              <w:ind w:right="242"/>
              <w:spacing w:after="0"/>
              <w:rPr>
                <w:sz w:val="20"/>
                <w:szCs w:val="20"/>
                <w:color w:val="auto"/>
              </w:rPr>
            </w:pPr>
            <w:r>
              <w:rPr>
                <w:rFonts w:ascii="Arial" w:cs="Arial" w:eastAsia="Arial" w:hAnsi="Arial"/>
                <w:sz w:val="18"/>
                <w:szCs w:val="18"/>
                <w:b w:val="1"/>
                <w:bCs w:val="1"/>
                <w:color w:val="auto"/>
                <w:w w:val="94"/>
              </w:rPr>
              <w:t>(949) 231-3000</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520" w:type="dxa"/>
            <w:vAlign w:val="bottom"/>
            <w:gridSpan w:val="3"/>
          </w:tcPr>
          <w:p>
            <w:pPr>
              <w:jc w:val="center"/>
              <w:ind w:right="2419"/>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0" w:type="dxa"/>
            <w:vAlign w:val="bottom"/>
          </w:tcPr>
          <w:p>
            <w:pPr>
              <w:spacing w:after="0"/>
              <w:rPr>
                <w:sz w:val="1"/>
                <w:szCs w:val="1"/>
                <w:color w:val="auto"/>
              </w:rPr>
            </w:pPr>
          </w:p>
        </w:tc>
      </w:tr>
      <w:tr>
        <w:trPr>
          <w:trHeight w:val="501"/>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520" w:type="dxa"/>
            <w:vAlign w:val="bottom"/>
            <w:gridSpan w:val="3"/>
          </w:tcPr>
          <w:p>
            <w:pPr>
              <w:jc w:val="center"/>
              <w:ind w:right="243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Title of each class</w:t>
            </w:r>
          </w:p>
        </w:tc>
        <w:tc>
          <w:tcPr>
            <w:tcW w:w="1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Borders>
              <w:bottom w:val="single" w:sz="8" w:color="auto"/>
            </w:tcBorders>
          </w:tcPr>
          <w:p>
            <w:pPr>
              <w:jc w:val="center"/>
              <w:ind w:left="47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20" w:type="dxa"/>
            <w:vAlign w:val="bottom"/>
            <w:gridSpan w:val="2"/>
          </w:tcPr>
          <w:p>
            <w:pPr>
              <w:jc w:val="center"/>
              <w:ind w:right="936"/>
              <w:spacing w:after="0"/>
              <w:rPr>
                <w:sz w:val="20"/>
                <w:szCs w:val="20"/>
                <w:color w:val="auto"/>
              </w:rPr>
            </w:pPr>
            <w:r>
              <w:rPr>
                <w:rFonts w:ascii="Arial" w:cs="Arial" w:eastAsia="Arial" w:hAnsi="Arial"/>
                <w:sz w:val="14"/>
                <w:szCs w:val="14"/>
                <w:color w:val="auto"/>
                <w:w w:val="91"/>
              </w:rPr>
              <w:t>Common Stock, par value $0.25 per share</w:t>
            </w:r>
          </w:p>
        </w:tc>
        <w:tc>
          <w:tcPr>
            <w:tcW w:w="1500" w:type="dxa"/>
            <w:vAlign w:val="bottom"/>
          </w:tcPr>
          <w:p>
            <w:pPr>
              <w:jc w:val="center"/>
              <w:ind w:right="62"/>
              <w:spacing w:after="0"/>
              <w:rPr>
                <w:sz w:val="20"/>
                <w:szCs w:val="20"/>
                <w:color w:val="auto"/>
              </w:rPr>
            </w:pPr>
            <w:r>
              <w:rPr>
                <w:rFonts w:ascii="Arial" w:cs="Arial" w:eastAsia="Arial" w:hAnsi="Arial"/>
                <w:sz w:val="14"/>
                <w:szCs w:val="14"/>
                <w:color w:val="auto"/>
                <w:w w:val="96"/>
              </w:rPr>
              <w:t>SWKS</w:t>
            </w:r>
          </w:p>
        </w:tc>
        <w:tc>
          <w:tcPr>
            <w:tcW w:w="3480" w:type="dxa"/>
            <w:vAlign w:val="bottom"/>
          </w:tcPr>
          <w:p>
            <w:pPr>
              <w:jc w:val="center"/>
              <w:ind w:left="459"/>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3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34" w:lineRule="exact"/>
        <w:rPr>
          <w:sz w:val="24"/>
          <w:szCs w:val="24"/>
          <w:color w:val="auto"/>
        </w:rPr>
      </w:pPr>
    </w:p>
    <w:p>
      <w:pPr>
        <w:ind w:right="37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 Indicate by check mark if the registrant is not required to file reports pursuant to Section 13 or 15(d) of the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9"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9"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p>
      <w:pPr>
        <w:jc w:val="center"/>
        <w:spacing w:after="0" w:line="161" w:lineRule="exact"/>
        <w:tabs>
          <w:tab w:leader="none" w:pos="80" w:val="left"/>
          <w:tab w:leader="none" w:pos="320" w:val="left"/>
          <w:tab w:leader="none" w:pos="280" w:val="left"/>
          <w:tab w:leader="none" w:pos="340" w:val="left"/>
          <w:tab w:leader="none" w:pos="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rFonts w:ascii="MS PGothic" w:cs="MS PGothic" w:eastAsia="MS PGothic" w:hAnsi="MS PGothic"/>
          <w:sz w:val="14"/>
          <w:szCs w:val="14"/>
          <w:color w:val="auto"/>
        </w:rPr>
        <w:t xml:space="preserve">  ☐</w:t>
      </w:r>
    </w:p>
    <w:p>
      <w:pPr>
        <w:spacing w:after="0" w:line="136" w:lineRule="exact"/>
        <w:rPr>
          <w:sz w:val="24"/>
          <w:szCs w:val="24"/>
          <w:color w:val="auto"/>
        </w:rPr>
      </w:pPr>
    </w:p>
    <w:p>
      <w:pPr>
        <w:ind w:right="5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prepares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57" w:lineRule="exact"/>
        <w:rPr>
          <w:sz w:val="24"/>
          <w:szCs w:val="24"/>
          <w:color w:val="auto"/>
        </w:rPr>
      </w:pPr>
    </w:p>
    <w:p>
      <w:pPr>
        <w:jc w:val="both"/>
        <w:ind w:right="20"/>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March 27, 2020) was approximately $14.5 billion. The number of outstanding shares of the registrant’s common stock, par value $0.25 per share, as of November 11, 2020, was 166,081,720.</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9500" w:type="dxa"/>
            <w:vAlign w:val="bottom"/>
          </w:tcPr>
          <w:p>
            <w:pPr>
              <w:ind w:left="2240"/>
              <w:spacing w:after="0"/>
              <w:rPr>
                <w:sz w:val="20"/>
                <w:szCs w:val="20"/>
                <w:color w:val="auto"/>
              </w:rPr>
            </w:pPr>
            <w:r>
              <w:rPr>
                <w:rFonts w:ascii="Arial" w:cs="Arial" w:eastAsia="Arial" w:hAnsi="Arial"/>
                <w:sz w:val="14"/>
                <w:szCs w:val="14"/>
                <w:b w:val="1"/>
                <w:bCs w:val="1"/>
                <w:color w:val="auto"/>
              </w:rPr>
              <w:t>DOCUMENTS INCORPORATED BY REFERENCE</w:t>
            </w:r>
          </w:p>
        </w:tc>
        <w:tc>
          <w:tcPr>
            <w:tcW w:w="0" w:type="dxa"/>
            <w:vAlign w:val="bottom"/>
          </w:tcPr>
          <w:p>
            <w:pPr>
              <w:spacing w:after="0"/>
              <w:rPr>
                <w:sz w:val="1"/>
                <w:szCs w:val="1"/>
                <w:color w:val="auto"/>
              </w:rPr>
            </w:pPr>
          </w:p>
        </w:tc>
      </w:tr>
      <w:tr>
        <w:trPr>
          <w:trHeight w:val="335"/>
        </w:trPr>
        <w:tc>
          <w:tcPr>
            <w:tcW w:w="1740" w:type="dxa"/>
            <w:vAlign w:val="bottom"/>
          </w:tcPr>
          <w:p>
            <w:pPr>
              <w:ind w:left="180"/>
              <w:spacing w:after="0"/>
              <w:rPr>
                <w:sz w:val="20"/>
                <w:szCs w:val="20"/>
                <w:color w:val="auto"/>
              </w:rPr>
            </w:pPr>
            <w:r>
              <w:rPr>
                <w:rFonts w:ascii="Arial" w:cs="Arial" w:eastAsia="Arial" w:hAnsi="Arial"/>
                <w:sz w:val="18"/>
                <w:szCs w:val="18"/>
                <w:color w:val="auto"/>
              </w:rPr>
              <w:t>Part of Form 10-K</w:t>
            </w:r>
          </w:p>
        </w:tc>
        <w:tc>
          <w:tcPr>
            <w:tcW w:w="9500" w:type="dxa"/>
            <w:vAlign w:val="bottom"/>
          </w:tcPr>
          <w:p>
            <w:pPr>
              <w:ind w:left="240"/>
              <w:spacing w:after="0"/>
              <w:rPr>
                <w:sz w:val="20"/>
                <w:szCs w:val="20"/>
                <w:color w:val="auto"/>
              </w:rPr>
            </w:pPr>
            <w:r>
              <w:rPr>
                <w:rFonts w:ascii="Arial" w:cs="Arial" w:eastAsia="Arial" w:hAnsi="Arial"/>
                <w:sz w:val="18"/>
                <w:szCs w:val="18"/>
                <w:color w:val="auto"/>
              </w:rPr>
              <w:t>Documents from which portions are incorporated by reference</w:t>
            </w:r>
          </w:p>
        </w:tc>
        <w:tc>
          <w:tcPr>
            <w:tcW w:w="0" w:type="dxa"/>
            <w:vAlign w:val="bottom"/>
          </w:tcPr>
          <w:p>
            <w:pPr>
              <w:spacing w:after="0"/>
              <w:rPr>
                <w:sz w:val="1"/>
                <w:szCs w:val="1"/>
                <w:color w:val="auto"/>
              </w:rPr>
            </w:pPr>
          </w:p>
        </w:tc>
      </w:tr>
      <w:tr>
        <w:trPr>
          <w:trHeight w:val="176"/>
        </w:trPr>
        <w:tc>
          <w:tcPr>
            <w:tcW w:w="1740" w:type="dxa"/>
            <w:vAlign w:val="bottom"/>
            <w:vMerge w:val="restart"/>
          </w:tcPr>
          <w:p>
            <w:pPr>
              <w:ind w:left="180"/>
              <w:spacing w:after="0"/>
              <w:rPr>
                <w:sz w:val="20"/>
                <w:szCs w:val="20"/>
                <w:color w:val="auto"/>
              </w:rPr>
            </w:pPr>
            <w:r>
              <w:rPr>
                <w:rFonts w:ascii="Arial" w:cs="Arial" w:eastAsia="Arial" w:hAnsi="Arial"/>
                <w:sz w:val="18"/>
                <w:szCs w:val="18"/>
                <w:color w:val="auto"/>
              </w:rPr>
              <w:t>Part III</w:t>
            </w:r>
          </w:p>
        </w:tc>
        <w:tc>
          <w:tcPr>
            <w:tcW w:w="9500" w:type="dxa"/>
            <w:vAlign w:val="bottom"/>
          </w:tcPr>
          <w:p>
            <w:pPr>
              <w:ind w:left="240"/>
              <w:spacing w:after="0" w:line="176" w:lineRule="exact"/>
              <w:rPr>
                <w:sz w:val="20"/>
                <w:szCs w:val="20"/>
                <w:color w:val="auto"/>
              </w:rPr>
            </w:pPr>
            <w:r>
              <w:rPr>
                <w:rFonts w:ascii="Arial" w:cs="Arial" w:eastAsia="Arial" w:hAnsi="Arial"/>
                <w:sz w:val="18"/>
                <w:szCs w:val="18"/>
                <w:color w:val="auto"/>
                <w:w w:val="95"/>
              </w:rPr>
              <w:t>Portions of the Registrant’s Proxy Statement relating to the Registrant’s 2021 Annual Meeting of Stockholders (to be filed)</w:t>
            </w: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20"/>
                <w:szCs w:val="20"/>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rPr>
              <w:t>are incorporated by reference into Items 10, 11, 12, 13, and 14 of this Annual Report on Form 10-K.</w:t>
            </w:r>
          </w:p>
        </w:tc>
        <w:tc>
          <w:tcPr>
            <w:tcW w:w="0" w:type="dxa"/>
            <w:vAlign w:val="bottom"/>
          </w:tcPr>
          <w:p>
            <w:pPr>
              <w:spacing w:after="0"/>
              <w:rPr>
                <w:sz w:val="1"/>
                <w:szCs w:val="1"/>
                <w:color w:val="auto"/>
              </w:rPr>
            </w:pPr>
          </w:p>
        </w:tc>
      </w:tr>
      <w:tr>
        <w:trPr>
          <w:trHeight w:val="1019"/>
        </w:trPr>
        <w:tc>
          <w:tcPr>
            <w:tcW w:w="174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gridSpan w:val="9"/>
          </w:tcPr>
          <w:p>
            <w:pPr>
              <w:jc w:val="center"/>
              <w:ind w:right="3380"/>
              <w:spacing w:after="0"/>
              <w:rPr>
                <w:sz w:val="20"/>
                <w:szCs w:val="20"/>
                <w:color w:val="auto"/>
              </w:rPr>
            </w:pPr>
            <w:r>
              <w:rPr>
                <w:rFonts w:ascii="Arial" w:cs="Arial" w:eastAsia="Arial" w:hAnsi="Arial"/>
                <w:sz w:val="16"/>
                <w:szCs w:val="16"/>
                <w:color w:val="auto"/>
                <w:w w:val="97"/>
              </w:rPr>
              <w:t>SKYWORKS SOLUTIONS, INC.</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40" w:type="dxa"/>
            <w:vAlign w:val="bottom"/>
            <w:gridSpan w:val="10"/>
          </w:tcPr>
          <w:p>
            <w:pPr>
              <w:jc w:val="center"/>
              <w:ind w:right="3260"/>
              <w:spacing w:after="0"/>
              <w:rPr>
                <w:sz w:val="20"/>
                <w:szCs w:val="20"/>
                <w:color w:val="auto"/>
              </w:rPr>
            </w:pPr>
            <w:r>
              <w:rPr>
                <w:rFonts w:ascii="Arial" w:cs="Arial" w:eastAsia="Arial" w:hAnsi="Arial"/>
                <w:sz w:val="16"/>
                <w:szCs w:val="16"/>
                <w:color w:val="auto"/>
                <w:w w:val="97"/>
              </w:rPr>
              <w:t>ANNUAL REPORT ON FORM 10-K</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00" w:type="dxa"/>
            <w:vAlign w:val="bottom"/>
            <w:gridSpan w:val="11"/>
          </w:tcPr>
          <w:p>
            <w:pPr>
              <w:jc w:val="center"/>
              <w:ind w:right="2280"/>
              <w:spacing w:after="0"/>
              <w:rPr>
                <w:sz w:val="20"/>
                <w:szCs w:val="20"/>
                <w:color w:val="auto"/>
              </w:rPr>
            </w:pPr>
            <w:r>
              <w:rPr>
                <w:rFonts w:ascii="Arial" w:cs="Arial" w:eastAsia="Arial" w:hAnsi="Arial"/>
                <w:sz w:val="16"/>
                <w:szCs w:val="16"/>
                <w:color w:val="auto"/>
                <w:w w:val="95"/>
              </w:rPr>
              <w:t>FOR THE YEAR ENDED OCTOBER 2, 2020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9"/>
          </w:tcPr>
          <w:p>
            <w:pPr>
              <w:jc w:val="center"/>
              <w:ind w:right="3380"/>
              <w:spacing w:after="0"/>
              <w:rPr>
                <w:sz w:val="20"/>
                <w:szCs w:val="20"/>
                <w:color w:val="auto"/>
              </w:rPr>
            </w:pPr>
            <w:r>
              <w:rPr>
                <w:rFonts w:ascii="Arial" w:cs="Arial" w:eastAsia="Arial" w:hAnsi="Arial"/>
                <w:sz w:val="16"/>
                <w:szCs w:val="16"/>
                <w:color w:val="auto"/>
                <w:w w:val="96"/>
              </w:rPr>
              <w:t>TABLE OF CONTENTS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PAGE NO.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0" w:type="dxa"/>
            <w:vAlign w:val="bottom"/>
            <w:gridSpan w:val="26"/>
          </w:tcPr>
          <w:p>
            <w:pPr>
              <w:spacing w:after="0" w:line="161" w:lineRule="exact"/>
              <w:rPr>
                <w:sz w:val="20"/>
                <w:szCs w:val="20"/>
                <w:color w:val="auto"/>
              </w:rPr>
            </w:pPr>
            <w:r>
              <w:rPr>
                <w:rFonts w:ascii="Arial" w:cs="Arial" w:eastAsia="Arial" w:hAnsi="Arial"/>
                <w:sz w:val="16"/>
                <w:szCs w:val="16"/>
                <w:color w:val="0000FF"/>
              </w:rPr>
              <w:t>PART I</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4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5"/>
              </w:rPr>
              <w:t>ITEM 1: BUSINESS.</w:t>
            </w:r>
          </w:p>
        </w:tc>
        <w:tc>
          <w:tcPr>
            <w:tcW w:w="8780" w:type="dxa"/>
            <w:vAlign w:val="bottom"/>
            <w:gridSpan w:val="21"/>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9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6"/>
              </w:rPr>
              <w:t>ITEM 1A: RISK FACTORS.</w:t>
            </w:r>
          </w:p>
        </w:tc>
        <w:tc>
          <w:tcPr>
            <w:tcW w:w="8300" w:type="dxa"/>
            <w:vAlign w:val="bottom"/>
            <w:gridSpan w:val="19"/>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11</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3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6"/>
              </w:rPr>
              <w:t>ITEM 1B: UNRESOLVED STAFF COMMENTS.</w:t>
            </w:r>
          </w:p>
        </w:tc>
        <w:tc>
          <w:tcPr>
            <w:tcW w:w="690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25</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6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3"/>
              </w:rPr>
              <w:t>ITEM 2: PROPERTIES.</w:t>
            </w:r>
          </w:p>
        </w:tc>
        <w:tc>
          <w:tcPr>
            <w:tcW w:w="8600" w:type="dxa"/>
            <w:vAlign w:val="bottom"/>
            <w:gridSpan w:val="20"/>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25</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3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6"/>
              </w:rPr>
              <w:t>ITEM 3: LEGAL PROCEEDINGS.</w:t>
            </w:r>
          </w:p>
        </w:tc>
        <w:tc>
          <w:tcPr>
            <w:tcW w:w="7860" w:type="dxa"/>
            <w:vAlign w:val="bottom"/>
            <w:gridSpan w:val="18"/>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25</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Arial" w:cs="Arial" w:eastAsia="Arial" w:hAnsi="Arial"/>
                <w:sz w:val="16"/>
                <w:szCs w:val="16"/>
                <w:color w:val="0000FF"/>
              </w:rPr>
              <w:t>ITEM 4: MINE SAFETY DISCLOSURES</w:t>
            </w:r>
            <w:r>
              <w:rPr>
                <w:rFonts w:ascii="Arial" w:cs="Arial" w:eastAsia="Arial" w:hAnsi="Arial"/>
                <w:sz w:val="16"/>
                <w:szCs w:val="16"/>
                <w:color w:val="000000"/>
              </w:rPr>
              <w:t>.</w:t>
            </w:r>
          </w:p>
        </w:tc>
        <w:tc>
          <w:tcPr>
            <w:tcW w:w="1020" w:type="dxa"/>
            <w:vAlign w:val="bottom"/>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25</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0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PART II</w:t>
            </w:r>
          </w:p>
        </w:tc>
        <w:tc>
          <w:tcPr>
            <w:tcW w:w="7400" w:type="dxa"/>
            <w:vAlign w:val="bottom"/>
            <w:gridSpan w:val="15"/>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Arial" w:cs="Arial" w:eastAsia="Arial" w:hAnsi="Arial"/>
                <w:sz w:val="16"/>
                <w:szCs w:val="16"/>
                <w:color w:val="0000FF"/>
              </w:rPr>
              <w:t>ITEM 5: MARKET FOR REGISTRANT’S COMMON EQUITY, RELATED STOCKHOLDER MATTERS AND ISSUER PURCHASES OF EQUITY</w:t>
            </w:r>
          </w:p>
        </w:tc>
        <w:tc>
          <w:tcPr>
            <w:tcW w:w="1020" w:type="dxa"/>
            <w:vAlign w:val="bottom"/>
            <w:vMerge w:val="restart"/>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25</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SECURITIES.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8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ITEM 6: SELECTED FINANCIAL DATA.</w:t>
            </w:r>
          </w:p>
        </w:tc>
        <w:tc>
          <w:tcPr>
            <w:tcW w:w="7360" w:type="dxa"/>
            <w:vAlign w:val="bottom"/>
            <w:gridSpan w:val="14"/>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68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w w:val="98"/>
              </w:rPr>
              <w:t>ITEM 7: MANAGEMENT’S DISCUSSION AND ANALYSIS OF FINANCIAL CONDITION AND RESULTS OF OPERATIONS.</w:t>
            </w:r>
          </w:p>
        </w:tc>
        <w:tc>
          <w:tcPr>
            <w:tcW w:w="152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30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9"/>
              </w:rPr>
              <w:t>ITEM 7A: QUANTITATIVE AND QUALITATIVE DISCLOSURES ABOUT MARKET RISK.</w:t>
            </w:r>
          </w:p>
        </w:tc>
        <w:tc>
          <w:tcPr>
            <w:tcW w:w="390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660" w:type="dxa"/>
            <w:vAlign w:val="bottom"/>
            <w:tcBorders>
              <w:bottom w:val="single" w:sz="8" w:color="0000FF"/>
            </w:tcBorders>
            <w:gridSpan w:val="21"/>
          </w:tcPr>
          <w:p>
            <w:pPr>
              <w:spacing w:after="0"/>
              <w:rPr>
                <w:rFonts w:ascii="Arial" w:cs="Arial" w:eastAsia="Arial" w:hAnsi="Arial"/>
                <w:sz w:val="16"/>
                <w:szCs w:val="16"/>
                <w:color w:val="0000FF"/>
                <w:w w:val="98"/>
              </w:rPr>
            </w:pPr>
            <w:r>
              <w:rPr>
                <w:rFonts w:ascii="Arial" w:cs="Arial" w:eastAsia="Arial" w:hAnsi="Arial"/>
                <w:sz w:val="16"/>
                <w:szCs w:val="16"/>
                <w:color w:val="0000FF"/>
                <w:w w:val="98"/>
              </w:rPr>
              <w:t xml:space="preserve">ITEM 8: FINANCIAL </w:t>
            </w:r>
            <w:hyperlink w:anchor="page34">
              <w:r>
                <w:rPr>
                  <w:rFonts w:ascii="Arial" w:cs="Arial" w:eastAsia="Arial" w:hAnsi="Arial"/>
                  <w:sz w:val="16"/>
                  <w:szCs w:val="16"/>
                  <w:color w:val="0000FF"/>
                  <w:w w:val="98"/>
                </w:rPr>
                <w:t xml:space="preserve">ITEM 8: FINANCIAL STATEMENTS AND SUPPLEMENTARY DATA. </w:t>
              </w:r>
            </w:hyperlink>
            <w:r>
              <w:rPr>
                <w:rFonts w:ascii="Arial" w:cs="Arial" w:eastAsia="Arial" w:hAnsi="Arial"/>
                <w:sz w:val="16"/>
                <w:szCs w:val="16"/>
                <w:color w:val="0000FF"/>
                <w:w w:val="98"/>
              </w:rPr>
              <w:t>AND SUPPLEMENTARY DATA.</w:t>
            </w:r>
          </w:p>
        </w:tc>
        <w:tc>
          <w:tcPr>
            <w:tcW w:w="154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35</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84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w w:val="98"/>
              </w:rPr>
              <w:t>ITEM 9: CHANGES IN AND DISAGREEMENTS WITH ACCOUNTANTS ON ACCOUNTING AND FINANCIAL DISCLOSURE.</w:t>
            </w:r>
          </w:p>
        </w:tc>
        <w:tc>
          <w:tcPr>
            <w:tcW w:w="13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62</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Arial" w:cs="Arial" w:eastAsia="Arial" w:hAnsi="Arial"/>
                <w:sz w:val="16"/>
                <w:szCs w:val="16"/>
                <w:color w:val="0000FF"/>
              </w:rPr>
              <w:t>ITEM 9A: CONTROLS AND PROCEDURES.</w:t>
            </w:r>
          </w:p>
        </w:tc>
        <w:tc>
          <w:tcPr>
            <w:tcW w:w="1020" w:type="dxa"/>
            <w:vAlign w:val="bottom"/>
          </w:tcPr>
          <w:p>
            <w:pPr>
              <w:jc w:val="right"/>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62</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w w:val="98"/>
              </w:rPr>
              <w:t>ITEM 9B: OTHER INFORMATION.</w:t>
            </w:r>
          </w:p>
        </w:tc>
        <w:tc>
          <w:tcPr>
            <w:tcW w:w="640" w:type="dxa"/>
            <w:vAlign w:val="bottom"/>
            <w:tcBorders>
              <w:top w:val="single" w:sz="8" w:color="0000FF"/>
            </w:tcBorders>
            <w:gridSpan w:val="4"/>
          </w:tcPr>
          <w:p>
            <w:pPr>
              <w:spacing w:after="0"/>
              <w:rPr>
                <w:sz w:val="24"/>
                <w:szCs w:val="24"/>
                <w:color w:val="auto"/>
              </w:rPr>
            </w:pPr>
          </w:p>
        </w:tc>
        <w:tc>
          <w:tcPr>
            <w:tcW w:w="710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5"/>
              </w:rPr>
              <w:t>PART III</w:t>
            </w:r>
          </w:p>
        </w:tc>
        <w:tc>
          <w:tcPr>
            <w:tcW w:w="9600" w:type="dxa"/>
            <w:vAlign w:val="bottom"/>
            <w:gridSpan w:val="23"/>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Arial" w:cs="Arial" w:eastAsia="Arial" w:hAnsi="Arial"/>
                <w:sz w:val="16"/>
                <w:szCs w:val="16"/>
                <w:color w:val="0000FF"/>
              </w:rPr>
              <w:t>ITEM 10: DIRECTORS, EXECUTIVE OFFICERS AND CORPORATE GOVERNANCE.</w:t>
            </w:r>
          </w:p>
        </w:tc>
        <w:tc>
          <w:tcPr>
            <w:tcW w:w="102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94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ITEM 11: EXECUTIVE COMPENSATION.</w:t>
            </w:r>
          </w:p>
        </w:tc>
        <w:tc>
          <w:tcPr>
            <w:tcW w:w="4260" w:type="dxa"/>
            <w:vAlign w:val="bottom"/>
            <w:gridSpan w:val="8"/>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200" w:type="dxa"/>
            <w:vAlign w:val="bottom"/>
            <w:gridSpan w:val="26"/>
          </w:tcPr>
          <w:p>
            <w:pPr>
              <w:spacing w:after="0"/>
              <w:rPr>
                <w:sz w:val="20"/>
                <w:szCs w:val="20"/>
                <w:color w:val="auto"/>
              </w:rPr>
            </w:pPr>
            <w:r>
              <w:rPr>
                <w:rFonts w:ascii="Arial" w:cs="Arial" w:eastAsia="Arial" w:hAnsi="Arial"/>
                <w:sz w:val="16"/>
                <w:szCs w:val="16"/>
                <w:color w:val="0000FF"/>
              </w:rPr>
              <w:t>ITEM 12: SECURITY OWNERSHIP OF CERTAIN BENEFICIAL OWNERS AND MANAGEMENT AND RELATED STOCKHOLDER MATTERS.</w:t>
            </w:r>
          </w:p>
        </w:tc>
        <w:tc>
          <w:tcPr>
            <w:tcW w:w="102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94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ITEM 13: CERTAIN RELATIONSHIPS AND RELATED TRANSACTIONS, AND DIRECTOR INDEPENDENCE.</w:t>
            </w:r>
          </w:p>
        </w:tc>
        <w:tc>
          <w:tcPr>
            <w:tcW w:w="260" w:type="dxa"/>
            <w:vAlign w:val="bottom"/>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60" w:type="dxa"/>
            <w:vAlign w:val="bottom"/>
            <w:tcBorders>
              <w:top w:val="single" w:sz="8" w:color="0000FF"/>
            </w:tcBorders>
            <w:gridSpan w:val="20"/>
          </w:tcPr>
          <w:p>
            <w:pPr>
              <w:spacing w:after="0"/>
              <w:rPr>
                <w:sz w:val="20"/>
                <w:szCs w:val="20"/>
                <w:color w:val="auto"/>
              </w:rPr>
            </w:pPr>
            <w:r>
              <w:rPr>
                <w:rFonts w:ascii="Arial" w:cs="Arial" w:eastAsia="Arial" w:hAnsi="Arial"/>
                <w:sz w:val="16"/>
                <w:szCs w:val="16"/>
                <w:color w:val="0000FF"/>
              </w:rPr>
              <w:t>ITEM 14: PRINCIPAL ACCOUNTING FEES AND SERVICES.</w:t>
            </w:r>
          </w:p>
        </w:tc>
        <w:tc>
          <w:tcPr>
            <w:tcW w:w="2540" w:type="dxa"/>
            <w:vAlign w:val="bottom"/>
            <w:gridSpan w:val="6"/>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2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PART IV</w:t>
            </w:r>
          </w:p>
        </w:tc>
        <w:tc>
          <w:tcPr>
            <w:tcW w:w="5940" w:type="dxa"/>
            <w:vAlign w:val="bottom"/>
            <w:gridSpan w:val="1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3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8"/>
              </w:rPr>
              <w:t>ITEM 15: EXHIBITS, FINANCIAL STATEMENT SCHEDULES.</w:t>
            </w:r>
          </w:p>
        </w:tc>
        <w:tc>
          <w:tcPr>
            <w:tcW w:w="582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64</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8"/>
              </w:rPr>
              <w:t>ITEM 16: FORM 10-K SUMMARY</w:t>
            </w:r>
          </w:p>
        </w:tc>
        <w:tc>
          <w:tcPr>
            <w:tcW w:w="7800" w:type="dxa"/>
            <w:vAlign w:val="bottom"/>
            <w:gridSpan w:val="17"/>
          </w:tcPr>
          <w:p>
            <w:pPr>
              <w:spacing w:after="0"/>
              <w:rPr>
                <w:sz w:val="24"/>
                <w:szCs w:val="24"/>
                <w:color w:val="auto"/>
              </w:rPr>
            </w:pPr>
          </w:p>
        </w:tc>
        <w:tc>
          <w:tcPr>
            <w:tcW w:w="1020" w:type="dxa"/>
            <w:vAlign w:val="bottom"/>
          </w:tcPr>
          <w:p>
            <w:pPr>
              <w:jc w:val="right"/>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64</w:t>
              </w:r>
            </w:hyperlink>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200" w:type="dxa"/>
            <w:vAlign w:val="bottom"/>
            <w:gridSpan w:val="26"/>
          </w:tcPr>
          <w:p>
            <w:pPr>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SIGNATURES</w:t>
              </w:r>
            </w:hyperlink>
          </w:p>
        </w:tc>
        <w:tc>
          <w:tcPr>
            <w:tcW w:w="1020" w:type="dxa"/>
            <w:vAlign w:val="bottom"/>
          </w:tcPr>
          <w:p>
            <w:pPr>
              <w:jc w:val="right"/>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67</w:t>
              </w:r>
            </w:hyperlink>
          </w:p>
        </w:tc>
        <w:tc>
          <w:tcPr>
            <w:tcW w:w="0" w:type="dxa"/>
            <w:vAlign w:val="bottom"/>
          </w:tcPr>
          <w:p>
            <w:pPr>
              <w:spacing w:after="0"/>
              <w:rPr>
                <w:sz w:val="1"/>
                <w:szCs w:val="1"/>
                <w:color w:val="auto"/>
              </w:rPr>
            </w:pPr>
          </w:p>
        </w:tc>
      </w:tr>
      <w:tr>
        <w:trPr>
          <w:trHeight w:val="1458"/>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spacing w:after="0" w:line="20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develop and market new products, enhancements or technologies and the timing of these development and marketing plans;</w:t>
      </w:r>
    </w:p>
    <w:p>
      <w:pPr>
        <w:spacing w:after="0" w:line="128" w:lineRule="exact"/>
        <w:rPr>
          <w:rFonts w:ascii="Arial" w:cs="Arial" w:eastAsia="Arial" w:hAnsi="Arial"/>
          <w:sz w:val="17"/>
          <w:szCs w:val="17"/>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future revenues, and profitability;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possible impacts of the COVID-19 pandemic;</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size of the markets for our products and services;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rate and degree of market acceptance of our products;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success of other competing technologies that may become available.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(including in Item 1A, Risk Factors)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this document, the words “we”, “our”, “ours”, “us”, “Skyworks”, and “the Company” refer only to Skyworks Solutions, Inc., and its consolidated subsidiaries and not any other person or entity. In addition, the following is a list of industry standards that may be referenced throughout the document:</w:t>
      </w:r>
    </w:p>
    <w:p>
      <w:pPr>
        <w:spacing w:after="0" w:line="16" w:lineRule="exact"/>
        <w:rPr>
          <w:sz w:val="20"/>
          <w:szCs w:val="20"/>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5G (Fifth Generation): next-generation cellular network technology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ASoC (Analog System on Chip): combines the required electronic circuits of various computer components into a single, integrated chip</w:t>
      </w:r>
    </w:p>
    <w:p>
      <w:pPr>
        <w:spacing w:after="0" w:line="128" w:lineRule="exact"/>
        <w:rPr>
          <w:rFonts w:ascii="Arial" w:cs="Arial" w:eastAsia="Arial" w:hAnsi="Arial"/>
          <w:sz w:val="17"/>
          <w:szCs w:val="17"/>
          <w:color w:val="auto"/>
        </w:rPr>
      </w:pPr>
    </w:p>
    <w:p>
      <w:pPr>
        <w:ind w:left="820" w:hanging="488"/>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BAW (Bulk Acoustic Wave): electrical input signal is converted to an acoustic wave for filtering and converted back into an electrical signal by a metal-piezo-metal vertical structure</w:t>
      </w:r>
    </w:p>
    <w:p>
      <w:pPr>
        <w:spacing w:after="0" w:line="62"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BiFET (Bipolar Field Effect Transistor): integrates indium gallium phosphide–based heterojunction bipolar transistors with field effect transistors on the same gallium arsenide substrate</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DC (Direct Current): unidirectional flow of an electrical charge</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CMOS (Complementary Metal Oxide Semiconductor): a technology of constructing integrated circuits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GaAs (Gallium Arsenide): a compound of the elements gallium and arsenic that is used in the production of semiconductors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HBT (Heterojunction Bipolar Transistor): a type of bipolar junction transistor which uses differing semiconductor materials for the emitter and base regions, creating a heterojunction</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IoT (Internet of Things): the interconnection of uniquely identifiable embedded computing devices within the existing internet infrastructure</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LED (Light Emitting Diode): a two-lead semiconductor light source</w:t>
      </w:r>
    </w:p>
    <w:p>
      <w:pPr>
        <w:spacing w:after="0" w:line="117"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LTE (Long Term Evolution): 4th generation (“4G”) radio technologies designed to increase the capacity and speed of mobile telephone networks</w:t>
      </w:r>
    </w:p>
    <w:p>
      <w:pPr>
        <w:spacing w:after="0" w:line="62" w:lineRule="exact"/>
        <w:rPr>
          <w:rFonts w:ascii="Arial" w:cs="Arial" w:eastAsia="Arial" w:hAnsi="Arial"/>
          <w:sz w:val="18"/>
          <w:szCs w:val="18"/>
          <w:color w:val="auto"/>
        </w:rPr>
      </w:pPr>
    </w:p>
    <w:p>
      <w:pPr>
        <w:jc w:val="both"/>
        <w:ind w:left="820" w:right="20" w:hanging="488"/>
        <w:spacing w:after="0" w:line="263"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MIMO (Multiple In, Multiple Out): a method for multiplying the capacity of a radio link using multiple transmission and receiving antennas to exploit multipath propagation; more commonly, it refers to LTE, 5G, and Wi-Fi techniques to send more than one data signal (also known as data layers) with encoded information to increase capacity in modern telecommunications systems</w:t>
      </w:r>
    </w:p>
    <w:p>
      <w:pPr>
        <w:spacing w:after="0" w:line="75"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pHEMT (Pseudomorphic High Electron Mobility Transistor): a type of field effect transistor incorporating a junction between two materials with different band gaps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RF (Radio Frequency): electromagnetic wave frequencies that lie in the range extending from around 3 kHz to 300 GHz</w:t>
      </w:r>
    </w:p>
    <w:p>
      <w:pPr>
        <w:spacing w:after="0" w:line="117"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SAW (Surface Acoustic Wave): electrical input signal is converted to an acoustic wave for filtering and converted back into an electrical signal by interdigitated transducers on a piezoelectric substrate</w:t>
      </w:r>
    </w:p>
    <w:p>
      <w:pPr>
        <w:spacing w:after="0" w:line="62"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SOI (Silicon On Insulator): technology refers to the use of layered silicon-insulator-silicon substrate in place of conventional silicon substrates in semiconductor manufacturing</w:t>
      </w:r>
    </w:p>
    <w:p>
      <w:pPr>
        <w:spacing w:after="0" w:line="62"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TC-SAW (Temperature Compensated Surface Acoustic Wave): SAW filters that have been designed to reduce shift in frequency over temperature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5012055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Skyworks Solutions, Inc., together with its consolidated subsidiaries (“Skyworks” or the “Company”), is empowering the wireless networking revolution. The Company’s highly innovative analog semiconductors are connecting people, places, and things, spanning a number of new and previously unimagined applications within the aerospace, automotive, broadband, cellular infrastructure, connected home, entertainment and gaming, industrial, medical, military, smartphone, tablet, and wearable markets.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key customers include Amazon, Apple, Arris, Bose, Cisco, DJI, Ericsson, Foxconn, Garmin, Gemalto (a Thales company), General Electric, Fibocom, Google, Honeywell, Huawei, Itron, Lenovo, LG Electronics, Microsoft, Motorola, Netgear, Northrop Grumman, OPPO, Rockwell Collins, Samsung, Sierra Wireless, Sonos, Technicolor, VIVO, Xiaomi, and ZTE. Our competitors include Analog Devices, Broadcom, Cirrus Logic, Maxim Integrated Products, Murata Manufacturing, NXP Semiconductors, Qorvo, and Qualcomm.</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practicable after we electronically submit such material to the SEC. The information contained on our website is not incorporated by reference in this Annual Report. Our SEC filings are also available to the public at www.sec.gov.</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we acquired Avnera Corporation (“Avnera”) and expanded our leadership in wireless connectivity by adding ultra-low power analog circuits to enable smart interfaces via acoustic signal processing, sensors, and integrated software. The acquisition of Avnera enables us to capitalize on the rapid proliferation of audio functionality and its convergence with our advanced connectivity solutions. With our global sales channels, strong customer relationships and operational scale, we are leveraging Avnera’s innovative product portfolio and systems expertise to increase our footprint in automotive, industrial, home automation, enterprise, and high-end consumer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Wireless connectivity is exploding on a global basis. The COVID-19 pandemic has underscored the importance of our mission of connecting everyone and everything, all the time. Work-from-home, remote healthcare, virtual education, and other social distancing trends, driven in part by the pandemic, have propelled an extraordinary need for faster speeds, increased bandwidth and capacity, significantly lower latency, and more reliable and secure wireless connectivity.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5G is dramatically altering the world, creating a market for diverse and transformative applications, and changing how individuals live, work, play, and learn. Most of the world’s largest economies now have functioning commercial 5G networks, and the world’s leading smartphone manufacturers have released 5G-enabled devices. The transition from 4G to 5G has just started, and according to a June 2020 Ericsson “Mobility Report,” there are expected to be 2.8 billion mobile 5G subscriptions globally by the end of 2025.</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the same time, connectivity is expanding into an adjacent set of IoT markets. From smart homes to the smart grid and from industrial to wearables, the number of connected devices is rapidly proliferating. ABI Research IoT Market Tracker forecasts 117 billion IoT connections by 2026. Skyworks is enabling these opportunities with highly customized system solutions supporting a broad set of wireless protocols including cellular LTE, Wi-Fi, Bluetooth®, LoRa®, Thread and Zigbee®. In addition, next-generation Wi-Fi 6 products are emerging as the standard offering across enterprise, carrier, and retail segments and are expected to accelerate the deployment of IoT devices. ABI Research anticipates relatively swift adoption with 1.4 billion Wi-Fi 6E chipset shipments by 2025.</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Looking forward, we see significant growth opportunity for our industry and for Skyworks. The key catalysts for Skyworks will continue to be the insatiable demand for data and the profitable usage model, as each connection becomes more valuable and the world embraces 5G.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Solving Connectivity Challenges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highly integrated semiconductor solutions will play an increasingly pivotal role in the deployment of this next generation standard by resolving the daunting analog and RF complexities that are challenging the capabilities of existing hardware and the supporting network infrastructure. Meeting these design challenges requires broad competencies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signal transmission and conditioning, the ability to ensure seamless hand-offs between multiple standards, power management, voltage regulation, battery charging, advanced filtering, and tuning.</w:t>
      </w:r>
    </w:p>
    <w:p>
      <w:pPr>
        <w:spacing w:after="0" w:line="1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Skyworks is at the forefront of this sea change in connectivity, delivering the solutions that will enable the true potential of 5G and the IoT. We have a rich heritage in analog systems design and have spent years investing in key technologies and resources. Our strength is underpinned by world-class performance and scale across a broad array of capabilities that include advanced TC-SAW and BAW filters, an expanded family of MIMO, ultra-high band, and diversity receive modules and expanding into emerging technologies. From our breakthrough Sky5® unifying platform to our 5G small cell solutions, Skyworks’ approach across both infrastructure and user equipment facilitates powerful, high-speed end-to-end 5G connectivity.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Skyworks'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ambitious vision is to connect everyone and everything, all the time. To this end, key elements of our strategy include: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Industry-Leading Technology</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the industry migrates to more complex 5G architectures across a multitude of wireless applications, we are well positioned to help mobile device manufacturers handle growing levels of system complexity in the transmit and receive chain. The trend towards increasing front-end and analog design challenges in smartphones and other platforms plays directly into our core strengths and positions us to address these challenges. We believe that we offer the broadest portfolio of radio and analog solutions from the transceiver to the antenna as well as all required manufacturing process technologies. We also hold strong technology leadership positions in passive devices, advanced integration including proprietary shielding and 3-D die stacking as well as SAW, TC-SAW and BAW filters. Our product portfolio is reinforced by a library of approximately 3,950 worldwide patents and other intellectual property that we own and control. Together, our industry-leading technology enables us to deliver the highest levels of product performance and integration.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our scale and technology leadership, we are engaged with key original equipment manufacturers (“OEMs”), smartphone providers and baseband reference design partners. Our customers value our global supply chain, our innovative technology and our system engineering expertise, resulting in deep customer loyalty. We partner with our customers to support their long-term product road maps and are valued as a system solutions provider rather than just a point product vendor.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Diversification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diversifying our business in three areas: our addressed markets, our customer base, and our product offerings. By leveraging core analog and mixed signal technologies, we are expanding our family of solutions to a set of increasingly diverse end markets and customers. With the adoption of 5G and the opportunity to enable more applications, we are steadily growing our business beyond just mobile devices (where we support all top-tier manufacturers, including the leading smartphone suppliers and key baseband vendors) into additional high-performance analog markets, including automotive, home and factory automation, infrastructure, aerospace and defense, medical, smart energy, and wireless networking. In these markets we leverage our scale, intellectual property, and worldwide distribution network, which spans over 3,200 customers and over 2,500 analog components.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Delivering Operational Excellence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vertically integrate our supply chain where we can differentiate with highly specialized internal manufacturing capabilities or enter into alliances and strategic relationships for leading-edge technologies. This hybrid manufacturing model allows us to better balance our manufacturing capacity with the demand of the marketplace. Our internal capacity utilization remains high, resulting in stable gross margins and strong return on invested capital on a broader range of revenue.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Maintaining a Performance-Driven Culture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 people and corporate culture to be a major competitive advantage and a key driver of our overall strategy. We create key performance indicators that align employee efforts with corporate strategy and link responsibilities with performance measurement. Accountability is paramount, and we compensate our employees through a pay-for-performance methodology. We strive to be an employer-of-choice among peer companies and have created a work environment in which turnover is below geographic and industry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Generating Superior Operating Results and Shareholder Returns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seek to generate financial returns that are comparable to a highly diversified analog semiconductor company. Given our product volume and overall utilization we strive to achieve a best-in-class return on investment and operating income to reward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 portfolio consists of various solutions, including:</w:t>
      </w:r>
    </w:p>
    <w:p>
      <w:pPr>
        <w:spacing w:after="0" w:line="63" w:lineRule="exact"/>
        <w:rPr>
          <w:sz w:val="20"/>
          <w:szCs w:val="20"/>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Amplifiers: the modules that strengthen the signal so that it has sufficient energy to reach a base station</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Antenna Tuners: aperture and impedance tuning products that improve antenna performance across frequencies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Attenuators: circuits that allow a known source of power to be reduced by a predetermined factor (usually expressed as decibels)</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Circulators/Isolators: ferrite-based components commonly found on the output of high-power amplifiers used to protect receivers in wireless transmission systems</w:t>
      </w:r>
    </w:p>
    <w:p>
      <w:pPr>
        <w:ind w:left="820" w:right="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ASoC: an intelligent 2.4 GHz and 5GHz wireless radio integrated circuit that includes all the analog and digital functions optimized for building cognitive wireless audio headsets, headphones, and wireless speaker systems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DC/DC Converters: an electronic circuit which converts a source of direct current from one voltage level to another</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Demodulators: a device or an RF block used in receivers to extract the information that has been modulated onto a carrier or from the carrier itself</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Detectors: devices used to measure and control RF power in wireless systems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Diodes: semiconductor devices that pass current in one direction only</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Directional Couplers: transmission coupling devices for separately sampling the forward or backward wave in a transmission line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Diversity Receive Modules: devices used to improve receiver sensitivity in high data rate applications</w:t>
      </w:r>
    </w:p>
    <w:p>
      <w:pPr>
        <w:spacing w:after="0" w:line="9" w:lineRule="exact"/>
        <w:rPr>
          <w:rFonts w:ascii="Arial" w:cs="Arial" w:eastAsia="Arial" w:hAnsi="Arial"/>
          <w:sz w:val="18"/>
          <w:szCs w:val="18"/>
          <w:color w:val="auto"/>
        </w:rPr>
      </w:pPr>
    </w:p>
    <w:p>
      <w:pPr>
        <w:ind w:left="820" w:hanging="488"/>
        <w:spacing w:after="0" w:line="23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Filters: devices for recovering and separating mixed and modulated data in RF stages, including SAW, TC-SAW, and BAW filters</w:t>
      </w:r>
    </w:p>
    <w:p>
      <w:pPr>
        <w:ind w:left="820" w:right="20" w:hanging="488"/>
        <w:spacing w:after="0" w:line="249"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Front-end Modules: two or more functions co-packaged to optimize the performance, cost, and application suitability in products, including intermediate or radio frequency signal paths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Hybrid: a type of directional coupler used in radio and telecommunications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LED Drivers: devices which regulate the current through a light emitting diode or string of diodes for the purpose of creating light</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Noise Amplifiers: devices used to reduce system noise figure in the receive chain</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Mixers: devices that enable signals to be converted to a higher or lower frequency signal and thereby allowing the signals to be processed more effectively</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Modulators: devices that take a baseband input signal and output a radio frequency modulated signal</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Optocouplers/Optoisolators: semiconductor devices that allow signals to be transferred between circuits or systems while ensuring that the circuits or systems are electrically isolated from each other</w:t>
      </w:r>
    </w:p>
    <w:p>
      <w:pPr>
        <w:ind w:left="820" w:hanging="488"/>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Locked Loops: closed-loop feedback control system that maintains a generated signal in a fixed phase relationship to a reference signal</w:t>
      </w:r>
    </w:p>
    <w:p>
      <w:pPr>
        <w:spacing w:after="0" w:line="32" w:lineRule="exact"/>
        <w:rPr>
          <w:rFonts w:ascii="Arial" w:cs="Arial" w:eastAsia="Arial" w:hAnsi="Arial"/>
          <w:sz w:val="16"/>
          <w:szCs w:val="16"/>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Shifters: designed for use in power amplifier distortion compensation circuits in base station applications</w:t>
      </w:r>
    </w:p>
    <w:p>
      <w:pPr>
        <w:spacing w:after="0" w:line="9" w:lineRule="exact"/>
        <w:rPr>
          <w:rFonts w:ascii="Arial" w:cs="Arial" w:eastAsia="Arial" w:hAnsi="Arial"/>
          <w:sz w:val="18"/>
          <w:szCs w:val="18"/>
          <w:color w:val="auto"/>
        </w:rPr>
      </w:pPr>
    </w:p>
    <w:p>
      <w:pPr>
        <w:ind w:left="820" w:right="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Dividers/Combiners: utilized to equally split signals into in-phase signals as often found in balanced signal chains and local oscillator distribution networks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Receivers: electronic devices that change a radio signal from a transmitter into useful information</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Switches: components that perform the change between the transmit and receive function, as well as the band function for cellular handsets</w:t>
      </w:r>
    </w:p>
    <w:p>
      <w:pPr>
        <w:spacing w:after="0" w:line="32" w:lineRule="exact"/>
        <w:rPr>
          <w:rFonts w:ascii="Arial" w:cs="Arial" w:eastAsia="Arial" w:hAnsi="Arial"/>
          <w:sz w:val="16"/>
          <w:szCs w:val="16"/>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Synthesizers: devices that provide ultra-fine frequency resolution, fast switching speed, and low phase-noise performance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Technical Ceramics: polycrystalline oxide materials used for a wide variety of electrical, mechanical, thermal, and magnetic applications</w:t>
      </w:r>
    </w:p>
    <w:p>
      <w:pPr>
        <w:spacing w:after="0" w:line="20" w:lineRule="exact"/>
        <w:rPr>
          <w:rFonts w:ascii="Arial" w:cs="Arial" w:eastAsia="Arial" w:hAnsi="Arial"/>
          <w:sz w:val="17"/>
          <w:szCs w:val="17"/>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Voltage Controlled Oscillators/Synthesizers: fully integrated, high performance signal source for high dynamic range transceivers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Voltage Regulators: generate a fixed level which ideally remains constant over varying input voltage or load conditions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believe we possess broad technology capabilities and one of the most complete wireless communications product portfolios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733425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Marketing and Distribution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are sold globally through a direct sales force, electronic component distributors and independent sales representatives. Certain distributors have agreements with us which allow for certain sales returns, stock rotations and price protection on certain inventory if we lower the price of those products (see “Critical Accounting Estimates” in Part II, Item 7 - Management’s Discussion and Analysis of Financial Condition and Results of Operations and Note 2 to Item 8 of this Annual Report on Form 10-K for further detail on revenue reserves). As is customary in the semiconductor industry, our distributors may also market other products that compete with ours.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the technical and complex nature of our products and markets demand an extraordinary commitment to maintain close ongoing relationships with our customers. As such, we strive to expand the scope of our customer relationship to include design, engineering, manufacturing, procurement, logistics, and project management.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small number of OEMs historically has accounted for a significant portion of our net revenue. In the fiscal years ended October 2, 2020 (“fiscal 2020”), September 27, 2019 (“fiscal 2019”), and September 28, 2018 (“fiscal 2018”), Apple Inc. (“Apple”), through sales to multiple distributors, contract manufacturers and direct sales for multiple applications including smartphones, tablets, desktop and notebook computers, watches, and other devices, constituted more than ten percent of our net revenue. For further information regarding customer concentrations see Note 14 to Item 8 of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Proprietary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Conditions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and protection of our intellectual property. We participate in highly competitive markets against numerous competitors that may be able to adapt more quickly than we can to new or emerging technologies and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customer requirements, or may be able to devote greater resources to the development, promotion, and sale of their products than we can.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Erosion of average selling prices of established products is typical of the semiconductor industry. Consistent with trends in the industry, we anticipate that average selling prices for our established products will continue to decline over time. We mitigate the gross margin impact of declining average selling prices with efforts to increase unit volumes, reduce material costs and lower manufacturing costs of existing products and by introducing new and higher value-added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markets demand rapid technological advancements requiring a continuous effort to enhance existing products and develop new products and technologies. Accordingly, we maintain a high level of research and development activity. We invested $464.1 million, $424.1 million, and $404.5 million in research and development during fiscal 2020, fiscal 2019, and fiscal 2018, respectively. The growth in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 generation technologies and product opportunities. We maintain close collaborative relationships with many of our customers to help identify market demands and target our development efforts to meet those demands.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 source suppliers. We purchase materials and services primarily pursuant to individual purchase orders. However, we have entered into certain supply agreements for the purchase of raw materials or other manufacturing related services that specify minimum prices and purchase quantity based on our anticipated future requirements. Such amounts are reviewed and included in our contractual obligations and commitments as required. Certain of our suppliers consign raw materials to us at our manufacturing facilities to which we take title as needed in our manufacturing process. We believe we have adequate sources for the supply of raw materials and components for our manufacturing needs with suppliers located around the world.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 and Inventory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We also maintain Skyworks-owned finished goods inventory at certain customer “hub” locations. We do not recognize revenue until these customers consume the Skyworks-owned inventory from these hub locations.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subject to international, federal, state, and local legislation, regulations, and other requirements relating to the discharge of substances into the environment; the treatment, transport, and disposal of hazardous wastes; recycling and product packaging; worker health and safety; and other activities affecting the environment, our workforce, and the management of our manufacturing operations. In addition, most of our customers have mandated that our operations and our products comply with various “green” initiatives and workers’ rights initiatives initiated by such customers, industry groups in which such customers participate, or the jurisdictions in which such customers operate. We believe that our operations and facilities comply in all material respects with applicable environmental laws and worker health and safety laws. Our efforts to comply with environmental laws and worker health and safety laws (including laws or regulations promulgated in response to the ongoing COVID-19 pandemic, as discussed below in Item 1A, Risk Factors) could have material impacts on our capital expenditures, competitive position, or financial condition, though the magnitude and duration of such impacts are uncertain and difficult to quantify.</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also subject to import/export controls, tariffs, and other trade-related regulations and restrictions in the countries in which we have operations or otherwise do business. These controls, tariffs, regulations, and restrictions (including those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to, or affected by, United States-China relations, as discussed below in Item 1A, Risk Factors) have had, and we believe may continue to have, a material impact on our business, including our ability to sell products and to manufacture or source components.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fourth fiscal quarter ending in September. The lowest demand for our handset products generally occurs in our second fiscal quarter ending in March and the third fiscal quarter ending in June.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Skyworks’ workforce consists of approximately 10,000 employees located around the world, more than 99% of whom are full-time employees.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p>
      <w:pPr>
        <w:spacing w:after="0" w:line="238" w:lineRule="exact"/>
        <w:rPr>
          <w:sz w:val="20"/>
          <w:szCs w:val="20"/>
          <w:color w:val="auto"/>
        </w:rPr>
      </w:pPr>
    </w:p>
    <w:p>
      <w:pPr>
        <w:ind w:left="660" w:right="2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workforce was distributed geographically approximately as follows: 61% in Mexico, 21% in the United States, 17% in Asia, 1% in Canada, and less than 1% in Europe.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workforce was distributed by function approximately as follows: 51% in individual contributor manufacturing roles, 29% in engineering or technician roles, 10% in managerial roles, and 10% in professional or other administrative roles.</w:t>
      </w:r>
    </w:p>
    <w:p>
      <w:pPr>
        <w:ind w:left="66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3,550 of our employees in Mexico, 670 of our employees in Singapore, and 350 of our employees in Japan were covered by collective bargaining and other union agreements.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managing our business, we focus on attracting and retaining employees by providing compensation and benefits packages that are competitive within the applicable market, taking into account the job position’s location and responsibilities. Nearly all full-time employees across the globe are eligible to participate in one of the Company’s incentive plans, under which payments are tied to pre-established performance goals. In addition, we believe that developing our employees’ skillsets and decision-making abilities—through challenging project assignments, formal training, mentorship, and recognition —is key not only to our employees’ job satisfaction and our retention efforts, but also to maintaining a strong leadership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You should carefully consider the risks described below, some of which have manifested and any of which may occur in the future, in addition to the other information contained in this report before making an investment decision with respect to any of our securities. Our business, results of operations, and financial condition could be materially and adversely impacted by any of these risks, which could in turn adversely affect our stock price. Additional risks not currently known to us or other factors not perceived by us as material risks could also present significant risks to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operating a global business in many international jurisdictions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the global COVID-19 pandemic are adversely affecting our business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ongoing global COVID-19 pandemic—including both the resulting public health crisis as well as the measures being taken by governments, businesses, and individuals in an effort to limit COVID-19’s spread—has adversely affected, and continues to adversely affect, our business operations. The impacts of the COVID-19 pandemic on our business operations and workforce, and the duration of such impacts, are uncertain, constantly evolving, and difficult to quantify, but have thus far included, or in the future may include, the following:</w:t>
      </w:r>
    </w:p>
    <w:p>
      <w:pPr>
        <w:spacing w:after="0" w:line="79" w:lineRule="exact"/>
        <w:rPr>
          <w:sz w:val="20"/>
          <w:szCs w:val="20"/>
          <w:color w:val="auto"/>
        </w:rPr>
      </w:pPr>
    </w:p>
    <w:p>
      <w:pPr>
        <w:jc w:val="both"/>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large fluctuations in the demand for our products, including a significant decrease in overall demand in the initial stages of the pandemic followed more recently by substantial increases in demand for certain of our products. We may experience continued large fluctuations in demand or a reduction in the pricing of our products, either of which could be exacerbated by a continued or deepening global economic downturn or recession caused by the ongoing COVID-19 pandemic.</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April 2020, we suspended our operations in Mexicali, Mexico, for approximately two weeks pursuant to an order by the government of the state of Baja California, Mexico, resulting in the temporary reduction in our production levels. In the event that our manufacturing operations in Mexicali become subject to significant restrictions or are suspended again, or in the event that one or more of our other facilities is forced to suspend or limit its activities, including, but not limited to, as a result of such operations or activities not being considered to be an “essential” business under applicable laws, regulations, or orders (including “shelter at home” orders or other quarantine-related orders), we may experience further reductions in production levels, which would limit our ability to meet customer demand and impact our operating results.</w:t>
      </w:r>
    </w:p>
    <w:p>
      <w:pPr>
        <w:spacing w:after="0" w:line="3"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implemented certain measures at our facilities worldwide in an effort to protect our employees’ health and well-being (including social distancing, allowing many employees to work remotely, limiting the number of employees attending meetings, screening employees and visitors when entering facilities, educating employees about the virus and preventative measures, enhancing cleaning protocols, and suspending employee travel), some of which have reduced the overall efficiency of our operations and increased manufacturing costs. The expected duration of such protective measures remains uncertain, and we may be required to implement additional measures in the future, further impacting our business operations.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reduced production capacity as a result of employee quarantines, absenteeism, and attrition, as well as restrictions on certain of our employees’ ability to work. Additionally, we may experience negative impacts to our sales, marketing, research and development, and other critical business functions for similar reasons.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Given the difficulty of forecasting demand and supply needs, and given that our suppliers are facing similar challenges as a result of the pandemic, we have experienced, and may continue to experience, disruptions to our supply chain in connection with the sourcing of materials, components, equipment, assembly and test services, engineering support, and other services.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disruptions to global transportation networks, limiting or delaying our ability, and/or increasing our cost, to send or receive products and materials at one or more of our facilities, including as a result of trade restrictions, border closures, or disruptions in the operations of third-party carriers.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portions of our sales are concentrated among a limited number of customers. We may experience negative impacts to our business operations if one or more of these major customers were to significantly decrease its orders for our products due to disruptions to its business operations or other pandemic-related issues.</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operations, as well as the business operations of our customers, suppliers, and other third-party service providers, are subject to frequent and unpredictable changes in the political, regulatory, legal, or economic conditions in the jurisdictions in which they operate.</w:t>
      </w: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deterioration of worldwide credit and financial markets could limit the ability of our customers to pay for product purchases in a timely manner, or at all.</w:t>
      </w:r>
    </w:p>
    <w:p>
      <w:pPr>
        <w:ind w:left="660" w:right="20" w:hanging="328"/>
        <w:spacing w:after="0" w:line="323"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we are unable to fulfill our contractual obligations, lawsuits may be threatened or filed against us by customers or other third parties. In addition, force majeure clauses in our contracts could limit our ability to pursue remedies for certain third-party disruptions and delays.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customer and supplier relations, employee relations, cash flows, and financial condition. The resumption of normal business operations after any such interruptions may be delayed or constrained by lingering effects of COVID-19 on our customers, suppliers, and other third-party service providers. There can be no assurance that any decrease in sales resulting from COVID-19 will be offset by increased sales in subsequent periods.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degree to which COVID-19 impacts us will depend on future developments that are highly uncertain and cannot be predicted, including, but not limited to, the duration and spread of the pandemic, its severity, the actions to contain COVID-19 or treat its impact, the timing and magnitude of the U.S. government’s economic stimulus efforts, and how quickly and to what extent normal economic and operating conditions resume. Even after the COVID-19 pandemic has subsided as a public health matter, we may experience material adverse impacts to our business as a result of its adverse impact on the global economy.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risks of doing business internationally apply to all aspects of our operations.</w:t>
      </w:r>
    </w:p>
    <w:p>
      <w:pPr>
        <w:spacing w:after="0" w:line="1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derive significant revenues from customers located outside the United States, primarily in countries located in the Asia-Pacific region and Europe. We have suppliers located outside the United States, and third-party packaging, assembly, and test facilities and foundries located in the Asia-Pacific region. We also operate our own wafer fabrication facilities in Kadoma, Japan, and Osaka, Japan, as well as packaging, assembly, and test facilities in Mexicali, Mexico, and in Singapore (with a substantial majority of our finished products being assembled and tested in our Mexicali facility). Our international sales and operations are subject to a number of risks inherent in selling and operating abroad. These include, but are not limited to, risks regarding:</w:t>
      </w:r>
    </w:p>
    <w:p>
      <w:pPr>
        <w:spacing w:after="0" w:line="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 including increases or decreases in commodities prices related to such fluctuations,</w:t>
      </w:r>
    </w:p>
    <w:p>
      <w:pPr>
        <w:spacing w:after="0" w:line="23"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local economic and political conditions, including, but not limited to, social, economic, and political instability related to the uncertainty regarding the relationships between the United States and China, Russia, Mexico, North Korea, Middle Eastern countries, other foreign countries, and the international community at large, and related to the United Kingdom’s withdrawal from the European Union,</w:t>
      </w:r>
    </w:p>
    <w:p>
      <w:pPr>
        <w:jc w:val="both"/>
        <w:ind w:left="660" w:hanging="328"/>
        <w:spacing w:after="0" w:line="28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restrictive governmental actions (such as restrictions on transfer of funds, restrictions on individuals’ movement, including travel restrictions, quarantines, lockdowns, and curfews, and trade protection measures, including export duties, quotas, customs duties, border taxes, border closures, increased import or export controls, and tariffs), or actions by non-governmental individuals and groups (such as protests, insurgencies, and organized crime), that could negatively impact trade between, or increase the cost of operating in, the countries in which we do business,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market conditions and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collect accounts receivable,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non-compliance with, legal or regulatory import/export requirements, including restrictions on selling to certain customers or into certain jurisdictions,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acts of terrorism, widespread illness or other deterioration of public health conditions, and war,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misappropriation or other unauthorized transfers of our electronic information and breaches of our information systems, as well as the potential lack of adequate remedies in certain jurisdictions,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engaging distribution partners or obtaining sales or other business support in certain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or indirect government actions, subsidies, or policies aimed at supporting local industry,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laws and policies of the United States and other countries affecting trade, foreign investment and loans, foreign travel, and import or export licensing requirements,</w:t>
      </w: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from, or renegotiation of, existing trade agreements by the United States (or other jurisdictions) potentially affecting Mexico, China, and other countries in which we do business,</w:t>
      </w:r>
    </w:p>
    <w:p>
      <w:pPr>
        <w:ind w:left="66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current or future tax law or regulations or new interpretations thereof, by federal or state agencies or foreign governments (including changes in certain countries in Europe and elsewhere regarding corporate taxes, transfer pricing, and tax treaty provisions),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effective tax rate as a result of our overall profitability and mix of earnings in countries with differing statutory tax rates,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audits and examination of previously filed tax returns,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being exposed to legal proceedings and potential penalties in a foreign jurisdiction, and/or increased compliance expense, as a result of the numerous, and sometimes conflicting, legal regimes on matters as diverse as anti-corruption, anti-bribery, import/export controls, content requirements, trade restrictions, tariffs, taxation, sanctions, immigration, internal and disclosure control obligations, securities regulation, anti-competition, data privacy and protection (including, but not limited to, the European Union’s General Data Protection Regulation), employment, and labor relations,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under local laws to protect or enforce our intellectual property rights in a particular foreign jurisdiction.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 Limitations or changes in policy on phone subsidies in the United States, South Korea, Japan, China, and other countries may have additional negative impacts on our revenues.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may establish legal and regulatory regimes that differ materially from United States laws and regulations. Compliance with diverse legal requirements is costly and time-consuming and requires significant resources. Violations of one or more of these regulations in the conduct of our business could result in significant fines or monetary damages, criminal sanctions against us or our officers, prohibitions on doing business, unfavorable publicity and other reputation damage, restrictions on our ability to process information, and allegations by our clients that we have not performed our contractual obligations.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 China.</w:t>
      </w:r>
    </w:p>
    <w:p>
      <w:pPr>
        <w:spacing w:after="0" w:line="131"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Although we intend to expand our business and operations in China, our success in the Chinese markets may be adversely affected by China’s continuously evolving laws and regulations, including those relating to taxation, import and export tariffs and restrictions, currency controls, environmental regulations, indigenous innovation, and intellectual property rights and enforcement of those rights. Enforcement of existing laws or agreements may be inconsistent, and the potential issuance of new laws and regulations creates uncertainty. In addition, changes in the political environment, governmental policies or United States-China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 In particular, the imposition by the United States of tariffs on goods imported from China or deemed to be of Chinese origin and other government actions that restrict our ability to sell our products to Chinese customers or to manufacture or source components in China, and countermeasures imposed by China in response, could directly or indirectly adversely impact our manufacturing costs and the sales of our products in China and elsewhere. For example, during fiscal 2019, the U.S. Bureau of Industry and Security of the U.S. Department of Commerce placed Huawei Technology Co., Ltd., and certain of its affiliates (collectively, “Huawei”) on the Bureau’s Entity List (the “Entity List”), which resulted in our temporarily suspending shipments to Huawei. During fiscal 2020, the addition of other entities to the Entity List (with the prospect of more entities to be added in the future), together with changes to rules regarding the shipment of foreign direct products, again resulted in the suspension of shipments to Huawei. In the absence of further changes to applicable export laws and regulations, we will only be able to sell our products to Huawei and potentially other companies named on the Entity List pursuant to limited export licenses from the U.S. Department of Commerce. Further, the evolving labor market and increasing labor unrest in China may have a negative impact on our customers, which would result in a negative impact on our business, results of operations, and financial condition. Finally, China’s stated policy of reducing its dependence on foreign semiconductor manufacturers and other technology companies could result in reduced demand for our products in China and other key markets as well as reduced supply of critical materials for our products.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have an adverse impact on our operating results.</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subject to taxation in many different countries and localities worldwide. To the extent the tax laws and regulations in these various countries and localities could change, our tax liability in general could increase.</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22, 2017, the U.S. government enacted the Tax Cuts and Jobs Act (the “Tax Reform Act”), which significantly reformed the U.S. Internal Revenue Code of 1986, as amended, and has had, and may continue to have, a significant impact on our operations.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the changes in U.S. tax law require a number of complex calculations that previously were not required, our actual tax liability may differ materially from our income tax provisions, estimates, and accruals. Changes in our interpretations and assumptions, as well as additional guidance issued under these laws, could increase income tax liabilities and/or reduce certain tax benefits. It is also possible that Congress will enact legislation in connection with the COVID-19 pandemic in addition to the Families First Coronavirus Response Act and the Coronavirus Aid, Relief, and Economic Security Act enacted in March 2020, some of which could have an impact on our operations. In addition, it is uncertain if and to what extent various states will conform to the Tax Reform Act or other changes to tax law.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7"/>
          <w:szCs w:val="17"/>
          <w:color w:val="auto"/>
        </w:rPr>
        <w:t>Future changes in tax laws, regulations, and treaties, or the interpretation thereof, in addition to initiatives related to the Base Erosion and Profit Shifting Project of the Organisation for Economic Co-Operation and Development; the European Commission’s “state aid” investigations; and other developments could have an adverse effect on the taxation of international businesses, including our own. Furthermore, countries where we are subject to taxes, including the United States, evaluate their tax policies and rules on a regular basis, and we may see significant changes in legislation and regulations concerning taxation (including as a result of any changes proposed during the next U.S. presidential administration).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unable to predict what tax changes may be enacted in the future or what effect such changes would have on our business, but such changes could affect our effective tax rates in countries where we have operations and could have an adverse effect on our overall tax position in the future, along with increasing the complexity, burden, and cost of tax compliance.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development, manufacturing, and sale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be adversely affected by quarterly and annual fluctuations and market downturns.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others:</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widespread deployment of commercial 5G networks or in consumer adoption of 5G-enabled devices,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end-user demand for the products manufactured and sold by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competitive pricing pressures, including decreases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capacity levels and fluctuations in manufacturing yields,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and cost of materials and services from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market acceptance of our products and our customer’s products (including, but not limited to, market acceptance of new, emerging technologies),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 and technology introductions by competitors,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adoption of standards by standard-setting bodies and delays in the commercial deployment or consumer adoption of certain technologies,</w:t>
      </w: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government regulators to restrict or delay the availability of sufficient spectrum for wireless technologies, including technologies that utilize unlicensed spectrum and/or shared spectrum,</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consumers’ rates of replacement of smartphones and other devices that utilize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industry consolidation among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mix of products produced and sold,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disputes, including those concerning payments associated with the licensing and/or sale of intellectual property, and related remedies (e.g., monetary damages, injunctions, or exclusion orders affecting our or our customers’ products).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employ certain methods, assumptions, estimates, and other subjective judgments in order to apply our accounting policies and to project future performance, and such projections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 that differ significantly from previous estimates and projections. If our operating results fail to meet the expectations of analysts or investors, it could materially and adversely affect the price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small number of customers for a large portion of our sales.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Significant portions of our sales are concentrated among a limited number of customers. If we lost one or more of these major customers, or if one or more major customers significantly decreased its orders for our products, our business, results of operations, and financial condition could be materially and adversely impacted, which could adversely affect our stock price. In each of fiscal 2020, fiscal 2019, and fiscal 2018, one customer accounted for greater than ten percent of our net revenue. For further discussion see Note 14 to Item 8 of this Annual Report on Form 10-K.</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Original Equipment Manufacturers (“OEMs”) and Original Design Manufacturers (“ODMs”) to design our products into their end products.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are not sold directly to the end user but are components or subsystems of other products. As a result, we rely on OEMs and ODMs of wireless communications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processes are extremely complex, specialized, and subject to disruption.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our operations may be affected by lengthy or recurring disruptions of operations at any of our production facilities, as well as disruptions at facilities operated by our subcontractors or customers. These disruptions may result from electrical power outages,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 Our key facilities include, but are not limited to, our semiconductor wafer fabrication facilities in Newbury Park, California, and Woburn, Massachusetts, our SAW, TC-SAW, and BAW filter wafer fabrication facilities in Kadoma, Japan, and Osaka, Japan, and our assembly and test facilities in Mexicali, Mexico, and in Singapore.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improve manufacturing yields that contribute positively to our gross margin and profitability.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manufacture, assembly, and testing of our products.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foundries to provide silicon-based products and to supplement our gallium arsenide wafer manufacturing capacity. There are significant risks associated with reliance on third-party foundries, including:</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wafer supply, potential wafer shortages, and higher wafer prices,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ability to respond to unanticipated changes in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control over delivery schedules, manufacturing yields, production costs, process technologies, and quality assurance,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inaccessibility of, or delays in obtaining access to, key process technologies, materials, and IP blocks.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the third-party foundries may experience financial difficulties or changes in control, be unable to deliver products to us in a timely manner, be unwilling to invest in processes that meet our needs, or suffer damage or destruction to their facilities, particularly since some of them are located in areas prone to natural disasters. If any disruption of manufacturing capacity occurs, we may not have alternative manufacturing sources immediately available. We may therefore experience difficulties, delays, or additional costs in securing an adequate supply of our products, which could impair our ability to meet our customers’ needs and have a material adverse effect on our operating results.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own and operate assembly and test facilities, we still depend on subcontractors to package, assemble, and test certain of our products at cost-competitive rates. For those assembly and test subcontractors with whom we do not have long-term agreements, we typically procure services from these suppliers on a per-order basis. If any of our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assembly and test subcontractors, we could experience significant delays and/or costs in product shipments if we are required to find alternative assembly and test subcontractors for our components. Any problems that we may encounter with the delivery, quality, or cost of our products could damage our customer relationships and materially and adversely affect our business,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supply of raw materials and components.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precious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and we may not be able to purchase such supplies or material at a competitive cost. If a supplier were unable to meet our delivery schedules or if we lost a supplier or a supplier were unable to meet performance or quality specifications, our ability to satisfy customer obligations would be materially and adversely affected. 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operate our business if we are unable to attract and retain qualified personnel.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the source of our technological and product innovations, our key technical personnel represent a significant asset. Our success depends on our ability to continue to attract, retain, and motivate qualified personnel, including executive officers and other key management and technical personnel. The competition for management and technical personnel is intense in the semiconductor industry, and therefore we may not be able to continue to attract and retain the qualified management and other personnel necessary for the design, development, manufacture, and sale of our products. Our employees are highly sought after by our competitors and other companies, which in some cases may be able to offer compensation opportunities in excess of what we offer. We may have particular difficulty attracting and retaining key personnel during periods of poor operating performance and/or declines in the price of our common stock, given, among other factors, the use of equity-based compensation by us and our competitors. If we are unable to obtain required stockholder approval for future increases in the number of shares available under our long-term incentive plans, we may be limited in granting equity-based incentive awards, which may impair our efforts to attract and retain necessary personnel. Further, existing immigration laws, together with any changes to immigration policies or regulations in the United States, make it more difficult for us to recruit and retain highly skilled foreign national graduates of universities in the United States, limiting the pool of available talent. Travel bans, difficulties obtaining visas and other restrictions on international travel make it more difficult to effectively manage our international operations, collaborate as a global company, and service our international customer base. The increased ability for employees in our industry to work from home or in other remote work arrangements could increase employee mobility and turnover, potentially making it more difficult for us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compete in the job market. 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 or if our senior management team is unable to effectively implement our strategy.</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success depends, in large part, on the continued contributions of our senior management team, none of whom is bound by a written employment contract to remain with us for a specified period. The loss of any member of our senior management team could harm our ability to implement our business strategy and respond to the rapidly changing market conditions in which we operate. In addition, the loss of certain members of our senior management team could harm our relationships with key customers, which could negatively impact our future revenue,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uncertainties involving the ordering and shipment of, and payment for, our products.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sales are typically made pursuant to standard purchase orders and/or specified customer contracts for delivery of products and not under long-term supply arrangements with our customers. Our customers may seek to cancel or defer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This difficulty may be compounded when we sell to OEMs indirectly through distributors or contract manufacturers, or both, as our forecasts of demand will then be based on estimates provided by multiple parties. In addition, our customers and/or distributors may change their inventory practices on short notice for any reason. Many of our products are customized to the needs or specifications of a specific customer or have a limited number of potential buyers. The cancellation or deferral of product orders, the return of previously sold products, or overproduction due to a change in anticipated order volumes could result in us holding excess or obsolete inventory, which could result in inventory write-downs and, in turn, could have a material adverse effect on our financial condition. On the other hand, customers may require rapid increases in production on short notice, which could result in damaged customer relationships, increased liabilities, or harm to our reputation if we are unable to meet such increases in demand. Some of our customers have implemented vendor-managed inventory, consignment, or similar inventory programs that may result in an increase in the time between manufacture of, and payment for, our products.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a customer or distributor encounters financial difficulties of its own as a result of a change in demand or for any other reason, the customer’s or distributor’s ability to make timely payments against our accounts receivable could be impaired.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that capital needed for our business will not be available when we need it.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that our existing cash and cash equivalents and cash generated from operations are insufficient to fund our future activities (including, but not limited to, capital expenditures),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the future growth of our business is likely to require the expansion of our manufacturing facilities, the upgrade of our manufacturing equipment, strategic investments, and/or corporate acquisitions. The capital required to fund these investments may not be available in the future.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is highly cyclical and subject to significant downturns.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For example, it is difficult to predict what impact the outcomes of the U.S. presidential and congressional elections in November 2020 may have on economic conditions, consumer confidence, geopolitical turmoil, civil unrest, and future legislation and regulation. In addition, the rapid increase in consumer demand for certain devices and technologies that enable remote work, education, and entertainment as a result of the COVID-19 pandemic could limit future consumer demand for such products. Uncertainty and economic weakness could result in a market contraction and, as a result, our business, results of operations, and financial condition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impact our business, results of operations, and financial condition, which could adversely affect our stock price.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The wireless communications and analog semiconductor markets are characterized by significant competition.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wireless communications semiconductor industry, in general, and the other analog markets in which we compete are very competitive, which may cause pricing pressures, decreased gross margins, and rapid loss of market share. We compete with international and United States semiconductor manufacturers of all sizes in terms of resources and market share, including, but not limited to, Analog Devices, Broadcom, Cirrus Logic, Maxim Integrated Products, Murata Manufacturing, NXP Semiconductors, Qorvo, and Qualcomm.</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face significant competition in our markets and expect that intense price and product competition will continue.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communications electronics, the trend toward global expansion by foreign and domestic competitors and technological and public policy changes (including national or regional policies intended to develop and support localized competitors). We believe that the principal competitive factors for semiconductor suppliers in our markets include, among others:</w:t>
      </w:r>
    </w:p>
    <w:p>
      <w:pPr>
        <w:spacing w:after="0" w:line="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time-to-market and product ramps (including, but not limited to, high-volume product ramps),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new product innovation,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capture design wins in new growth markets, such as 5G,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of certain products, including “high reliability” solutions, to perform under stringent operating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cost and selling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features available in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alignment with customer performance specifications,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industry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relationships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and the protection and enforcement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partner with or participate in reference designs of baseband vendors,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access to manufacturing capacity, raw materials, supplies, and services at a competitive cost.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might not be able to successfully address these factors. Many of our competitors benefit from:</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 presence in key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 levels of customer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strong baseband partnership/participation in reference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broad product portfolio allowing them to bundle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ownership or control of key technology or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strong financial, sales and marketing, manufacturing, distribution, technical, or other resources.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certain competitors may be able to adapt more quickly than we can to new or emerging technologies and changes in customer requirements or may be able to devote greater resources to the development, promotion, and sale of their products than we can. As a result of industry consolidation, certain competitors may be able to further exploit such benefits to strengthen their competitive position.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or if the interoperability of our solution with the partner’s baseband products were to be restricted, our business could be adversely impacted.</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and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results of operations, and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competitive in the semiconductor industry depends upon our ability to constantly innovate.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integration, increased miniaturization, reduced power consumption, and wide fluctuations in product supply and demand. Our operating results depend largely on our ability to continue to cost-effectively introduce new and enhanced products on a timely basis. The successful development and commercialization of semiconductor devices and modules is highly complex and depends on numerous factors, including the ability:</w:t>
      </w:r>
    </w:p>
    <w:p>
      <w:pPr>
        <w:spacing w:after="0" w:line="5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anticipate customer and market requirements and changes in technology and industry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obtain sufficient manufacturing capacity within an international supply chain to meet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define new products that meet customer and market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complete development of new products and bring products to market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differentiate our products from offerings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achieve overall market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lengthen the time that a particular product is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source and maintain manufacturing materials,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obtain adequate multi-jurisdictional intellectual property protection for our new products.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manufacture current products, and to develop new products, depends on, among other factors, the viability and flexibility of our own internal information technology systems.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continually evaluate expenditures for planned product development and choose among alternatives based on our understanding of customer technical requirements, new industry standards, and expectations of future market growth and technologies. We may not be able to develop and introduce new or enhanced wireless communications and analog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results of operations, and financial condition could be materially and adversely affected.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in a timely manner and thereby remain competitive.</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remain competitive, we expect to continue to transition many of our products to increasingly smaller geometries and form factors. This transition often requires us to upgrade our capital equipment, modify the manufacturing processes for our products, design new products to more stringent standards, and redesign some existing products.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and packaging sub-contractors to transition to smaller geometry processes successfully. Our manufacturing partners may not be able to effectively manage the transition, or we may not be able to maintain our relationships with certain manufacturing partners. If our manufacturing partners or we experience significant delays in this transition or fail to efficiently implement this transition, our business, results of operations, and financial condition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Increasingly stringent environmental laws, rules, regulations, and customer expectations may require us to redesign our existing products and processes and could adversely affect our ability to cost-effectively produce our products.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climate change,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which will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jc w:val="both"/>
        <w:spacing w:after="0" w:line="289" w:lineRule="auto"/>
        <w:rPr>
          <w:sz w:val="20"/>
          <w:szCs w:val="20"/>
          <w:color w:val="auto"/>
        </w:rPr>
      </w:pPr>
      <w:r>
        <w:rPr>
          <w:rFonts w:ascii="Arial" w:cs="Arial" w:eastAsia="Arial" w:hAnsi="Arial"/>
          <w:sz w:val="16"/>
          <w:szCs w:val="16"/>
          <w:color w:val="auto"/>
        </w:rPr>
        <w:t>A number of domestic and foreign jurisdictions restrict or may seek to restrict the use of various substances, a number of which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 In addition, our customers may begin to require reports on our sourcing of other minerals or substances, which may impact our ongoing operations and increase our operating costs.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limitations or restrictions on water use, regulations on energy management and waste management, and other climate change-based rules and regulations, which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be successful we may need to make investments and acquisitions, integrate companies we acquire, and/or enter into strategic alliances.</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5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of equity securities dilutive to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or other impairment write-offs,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substantial debt and assumption of unknown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 from the acquired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recognition of additional liabilities known or unknown at the time of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amortization expenses related to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integrating acquired organizations and their products and services may be difficult, expensive, time-consuming, and a strain on our resources and our relationship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cybersecurity and intellectual property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prevent, or timely detect, information technology security breaches.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jc w:val="both"/>
        <w:ind w:firstLine="486"/>
        <w:spacing w:after="0" w:line="284" w:lineRule="auto"/>
        <w:rPr>
          <w:sz w:val="20"/>
          <w:szCs w:val="20"/>
          <w:color w:val="auto"/>
        </w:rPr>
      </w:pPr>
      <w:r>
        <w:rPr>
          <w:rFonts w:ascii="Arial" w:cs="Arial" w:eastAsia="Arial" w:hAnsi="Arial"/>
          <w:sz w:val="16"/>
          <w:szCs w:val="16"/>
          <w:color w:val="auto"/>
        </w:rPr>
        <w:t>Security breaches, phishing, spoofing, attempts by others to gain unauthorized access to our information technology systems, networks, and databases and other cyberattacks continue to become more sophisticated and persistent and are sometimes successful. These incidents, which might be related to industrial, state-sponsored, and/or economic espionage, or financial cyber extortion or fraud, include covertly introducing malware and spyware to our computers and networks (or to an electronic system operated by a third party for our benefit) and impersonating authorized users, among others. We seek to detect and investigate all security incidents and to prevent their recurrence, but in some cases, we might be unaware of an incident or its magnitude, duration, and effects. The theft, unauthorized use, transfer, or publication of our intellectual property, our confidential business and/or technical information, or the personal data of our employees and customers by third parties or by our employees could harm our competitive position, reduce the value of our investment in research and development and other strategic initiatives or otherwise adversely affect our business and technology development. To the extent that any security breach or other cybersecurity incident results in inappropriate disclosure of our customers’, suppliers’, licensees’, or employees’ confidential information, we may incur liability, face contractual and regulatory fines and penalties, and sustain significant financial resources to remediate such breach. Such an incident could, among other things, also damage our reputation, impair our ability to attract and retain our customers, impact our stock price, and materially damage supplier relationships. If such incident impedes our inability to use or access our information systems for an extended period of time, this could adversely affect our business operations and financial results. In addition, certain suppliers and other third parties with whom we conduct business, including foundries, assembly and test contractors, and distributors, have been, and are likely to continue to be, subject to cybersecurity incidents or network disruptions that could jeopardize our proprietary or sensitive data, impact such third parties’ ability to meet their obligations to us, or otherwise negatively impact our ongoing business operations. We expect to continue devoting significant resources to the security of our information technology systems, networks, and databases, including through the training of our employees and monitoring the security posture of critical third parties who have access to our systems or sensitive data. However, we cannot ensure that these security measures and monitoring efforts will be sufficient to prevent or mitigate the damage caused by a cybersecurity incident or network disruption, and our systems may be vulnerable to hacking, insider threats, employee error or manipulation, system malfunctions or other adverse events. While we maintain insurance coverage to mitigate some of these risks, such coverage may be insufficient to cover all losses or all types of claims that may arise.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order to remain competitive, we must be able to successfully protect our intellectual property rights.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patent, copyright, trademark, trade secret, and other intellectual property rights and laws, as well as nondisclosure and confidentiality agreements and other methods, to protect our confidential and proprietary technologies, inventions, information, data, devices, algorithms, processes, and other intellectual property. In addition, we often incorporate the intellectual property of our customers, suppliers, or other third parties into our designs, and we have obligations with respect to the non-use and non-disclosure of such third-party intellectual property. From time to time, it may be necessary to engage in litigation or like activities to enforce our intellectual property rights, to protect our trade secrets, or to determine the validity, enforceability,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69"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steps we take to prevent misappropriation, infringement, dilution, or other violation of our intellectual property or the intellectual property of our customers, suppliers, or other third parties may not be successful,</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 our existing or future patents, copyrights, trademarks, trade secrets, or other intellectual property rights may be challenged, invalidated, deemed unenforceable, or circumvented, and</w:t>
      </w: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contractually prohibited, or otherwise discouraged, by certain customers from pursuing remedies for third parties’ violations of our intellectual property.</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third party could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or could be rendered invalid or unenforceable.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attempt to control access to, and distribution of, our proprietary and confidential information through operational, technological, and legal safeguards. Despite our efforts, parties, including current and former employees, consultants, customers, licensees, suppliers, vendors, and other third-party affiliates may attempt to copy, disclose, transfer, or obtain access to our information without our authorization. Furthermore, attempts by computer hackers to gain unauthorized access to our systems or information could result in our confidential and/or proprietary information being compromised or our manufacturing and other business operations being interrupted. While we make reasonable attempts to prevent such unauthorized access or misappropriation, we may be unable to anticipate or detect the methods used, or we may be unable to prevent the release of our confidential and/or proprietary information or that of a third party.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are subject to the risks of licensing third-party intellectual property.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sell products in markets that are characterized by rapid technological changes, evolving industry standards, frequent new product introductions, short product life cycles, and increasing levels of integration. Many of our products currently use or incorporate technology licensed or acquired from third parties and we expect our products in the future to also require technology from third parties. Our ability to keep pace with this market depends on our ability to obtain technology from third parties on commercially reasonable terms to allow our products to remain competitive. If licenses to such technology for our current or future products become unavailable or the terms on which they are available become commercially unreasonable, and we cannot otherwise acquire or integrate such technology, our products or our customers’ products could become unmarketable or obsolete, we could lose market share, and our business could be adversely affected. In such instances, we could also incur substantial unanticipated costs or scheduling delays to develop substitute technology to deliver competitive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claims, litigation, and legal compliance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warranty claims, product recalls, and liability claims.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medical, and military markets. The potential liabilities associated with these, and similar, provisions in certain of our customer contracts are in some cases capped at significant amounts, and in other cases are uncapped. In addition, because we do not always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of infringement of third-party intellectual property rights or demands that we license third-party technology.</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semiconductor industry is characterized by vigorous protection, enforcement, and pursuit of intellectual property rights. From time to time, third parties have asserted and may in the future assert patent, copyright, trademark, and other intellectual property rights against technologies that are important to our business and manufacturing operations and have demanded and may in the future demand that we license their technology or refrain from using it.</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litigation to determine the validity of any allegations that our products infringe or may infringe or misappropriate the intellectual property rights of another party, including indemnification claims arising from our contractual obligations of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If litigation were to result in an adverse ruling, we could be required to:</w:t>
      </w:r>
    </w:p>
    <w:p>
      <w:pPr>
        <w:spacing w:after="0" w:line="8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cease the manufacture, import, use, sale, or offer for sale of infringing products or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discontinue the use of 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 significant resources to develop an alternate non-infringing technology,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license technology from the third party claiming infringement, which license may not be available on commercially reasonable terms.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or financial condition may be materially adversely affected if we, or one of our customers, were required to take any one or more of the foregoing actions.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associated with owning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fluctuate in the future.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trading price of our common stock has fluctuated and may continue to fluctuate significantly. Such fluctuations may be influenced by many factors, including:</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volatility of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instability in global credit and financial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performance and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and prospects of our major customers and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revenue concentrations with relatively few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inclusion, exclusion, or removal of our stock from market indices, such as the S&amp;P 500 Index,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 repurchase and dividend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 of us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price targets, or buy/sell recommendations by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domestic and international political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domestic and international tax, fiscal, and trade policy decisions,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acquisition candidates.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 stock markets have experienced price and trading volume volatility. This volatility has affected, and could significantly and negatively affect in the future, the market prices of securities of many technology companies, particularly the market price of our common stock.</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We have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 or repurchase our stock.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to pay quarterly cash dividends subject to capital availability and periodic determinations by our Board of Directors that cash dividends are in the best interest of our stockholders. In addition, from time to time the Board of Directors approves stock repurchase programs, pursuant to which we are authorized to repurchase shares of common stock on the open market or in privately negotiated transactions.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Future cash dividends and the amount and timing of our stock repurchases may be affected by, among other factors: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views on potential future capital requirements, including those related to acquisitions as well as research and development,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sufficient earnings and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cash to consummate various acquisition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requirements related to cash dividends and stock repurchase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federal and state income tax laws or corporate laws,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our business model.</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dividend payments may change from time to time, and we cannot provide assurance that we will increase our cash dividend payment or declare cash dividends in any particular amounts or at all. A reduction in our cash dividend payments or a reduction in the level of our stock repurchases could have a negative effect on our stock price.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may make it difficult for someone to acquire control of us.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certain anti-takeover measures that may affect our common stock. Our certificate of incorporation, our by-laws, and the Delaware General Corporation Law contain several provisions that would make more difficult an acquisition of control of us in a transaction not approved by our Board of Directors. Our certificate of incorporation and by-laws include provisions such as:</w:t>
      </w:r>
    </w:p>
    <w:p>
      <w:pPr>
        <w:spacing w:after="0" w:line="7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in one or more series without further authorization of stockholders,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ind w:left="66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fair price provision,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90% of our shares be obtained to amend or repeal the fair price provision.</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executive offices in Irvine, California, and Woburn, Massachusetts. For information regarding property, plant, and equipment by geographic region for each of the last three fiscal years, see Note 14 to Item 8 of this Annual Report on Form 10-K. The following table sets forth our principal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Owned/Leased</w:t>
            </w: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Square Footage</w:t>
            </w:r>
          </w:p>
        </w:tc>
        <w:tc>
          <w:tcPr>
            <w:tcW w:w="5140" w:type="dxa"/>
            <w:vAlign w:val="bottom"/>
          </w:tcPr>
          <w:p>
            <w:pPr>
              <w:ind w:left="2020"/>
              <w:spacing w:after="0"/>
              <w:rPr>
                <w:sz w:val="20"/>
                <w:szCs w:val="20"/>
                <w:color w:val="auto"/>
              </w:rPr>
            </w:pPr>
            <w:r>
              <w:rPr>
                <w:rFonts w:ascii="Arial" w:cs="Arial" w:eastAsia="Arial" w:hAnsi="Arial"/>
                <w:sz w:val="14"/>
                <w:szCs w:val="14"/>
                <w:b w:val="1"/>
                <w:bCs w:val="1"/>
                <w:color w:val="auto"/>
              </w:rPr>
              <w:t>Primary Function</w:t>
            </w:r>
          </w:p>
        </w:tc>
      </w:tr>
      <w:tr>
        <w:trPr>
          <w:trHeight w:val="229"/>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Mexicali, Mexico</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380,000</w:t>
            </w:r>
          </w:p>
        </w:tc>
        <w:tc>
          <w:tcPr>
            <w:tcW w:w="10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Woburn, Massachusetts</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Adamstown, Maryland</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Newbury Park, California</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111,600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Osaka, Japan</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405,300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Filter manufacturing</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Singapore, Singapore</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282,200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Filter manufacturing</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Irvine, California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218,500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 center and office space</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Mexicali, Mexico</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179,000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Newbury Park, California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115,700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Kadoma, Japan</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97,300</w:t>
            </w:r>
          </w:p>
        </w:tc>
        <w:tc>
          <w:tcPr>
            <w:tcW w:w="1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Filter manufacturing and office space</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set forth under Note 11 of Notes to Consolidated Financial Statements in Item 8 of this Annual Report on Form 10-K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“SWKS”.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number of stockholders of record of our common stock as of November 2, 2020, was 10,419. On November 2, 2020, the Company announced that the Board of Directors had declared a cash dividend of $0.50 per share of common stock, payable on December 10, 2020, to stockholders of record as of November 19, 2020. We intend to continue to pay quarterly dividends subject to capital availability and our view that cash dividends are in the best interests of our stockholders. Future cash dividends may be affected by, among other items, our views on potential future capital requirements, including those relating to research and development, creation and expansion of sales distribution channels and investments and acquisitions, legal risks, stock repurchase programs, debt issuance, changes in federal and state income tax law and changes to our business model.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common stock made during the fiscal quarter ended October 2,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1960" w:type="dxa"/>
            <w:vAlign w:val="bottom"/>
            <w:vMerge w:val="restart"/>
          </w:tcPr>
          <w:p>
            <w:pPr>
              <w:jc w:val="right"/>
              <w:ind w:right="701"/>
              <w:spacing w:after="0"/>
              <w:rPr>
                <w:sz w:val="20"/>
                <w:szCs w:val="20"/>
                <w:color w:val="auto"/>
              </w:rPr>
            </w:pPr>
            <w:r>
              <w:rPr>
                <w:rFonts w:ascii="Arial" w:cs="Arial" w:eastAsia="Arial" w:hAnsi="Arial"/>
                <w:sz w:val="14"/>
                <w:szCs w:val="14"/>
                <w:b w:val="1"/>
                <w:bCs w:val="1"/>
                <w:color w:val="auto"/>
              </w:rPr>
              <w:t>Period</w:t>
            </w:r>
          </w:p>
        </w:tc>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 Purchased</w:t>
            </w:r>
          </w:p>
        </w:tc>
        <w:tc>
          <w:tcPr>
            <w:tcW w:w="380" w:type="dxa"/>
            <w:vAlign w:val="bottom"/>
          </w:tcPr>
          <w:p>
            <w:pPr>
              <w:spacing w:after="0"/>
              <w:rPr>
                <w:sz w:val="11"/>
                <w:szCs w:val="11"/>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 Share</w:t>
            </w:r>
          </w:p>
        </w:tc>
        <w:tc>
          <w:tcPr>
            <w:tcW w:w="2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8"/>
        </w:trPr>
        <w:tc>
          <w:tcPr>
            <w:tcW w:w="196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Under the Plans or Programs (1)</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94"/>
              </w:rPr>
              <w:t>6/27/20-7/24/20</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1"/>
              </w:rPr>
              <w:t>(2)</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$125.85</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$1.21 billion</w:t>
            </w:r>
          </w:p>
        </w:tc>
        <w:tc>
          <w:tcPr>
            <w:tcW w:w="0" w:type="dxa"/>
            <w:vAlign w:val="bottom"/>
          </w:tcPr>
          <w:p>
            <w:pPr>
              <w:spacing w:after="0"/>
              <w:rPr>
                <w:sz w:val="1"/>
                <w:szCs w:val="1"/>
                <w:color w:val="auto"/>
              </w:rPr>
            </w:pPr>
          </w:p>
        </w:tc>
      </w:tr>
      <w:tr>
        <w:trPr>
          <w:trHeight w:val="213"/>
        </w:trPr>
        <w:tc>
          <w:tcPr>
            <w:tcW w:w="1960" w:type="dxa"/>
            <w:vAlign w:val="bottom"/>
          </w:tcPr>
          <w:p>
            <w:pPr>
              <w:jc w:val="right"/>
              <w:ind w:right="801"/>
              <w:spacing w:after="0"/>
              <w:rPr>
                <w:sz w:val="20"/>
                <w:szCs w:val="20"/>
                <w:color w:val="auto"/>
              </w:rPr>
            </w:pPr>
            <w:r>
              <w:rPr>
                <w:rFonts w:ascii="Arial" w:cs="Arial" w:eastAsia="Arial" w:hAnsi="Arial"/>
                <w:sz w:val="16"/>
                <w:szCs w:val="16"/>
                <w:color w:val="auto"/>
                <w:w w:val="94"/>
              </w:rPr>
              <w:t>7/25/20-8/28/20</w:t>
            </w:r>
          </w:p>
        </w:tc>
        <w:tc>
          <w:tcPr>
            <w:tcW w:w="2220" w:type="dxa"/>
            <w:vAlign w:val="bottom"/>
          </w:tcPr>
          <w:p>
            <w:pPr>
              <w:jc w:val="center"/>
              <w:spacing w:after="0"/>
              <w:rPr>
                <w:sz w:val="20"/>
                <w:szCs w:val="20"/>
                <w:color w:val="auto"/>
              </w:rPr>
            </w:pPr>
            <w:r>
              <w:rPr>
                <w:rFonts w:ascii="Arial" w:cs="Arial" w:eastAsia="Arial" w:hAnsi="Arial"/>
                <w:sz w:val="16"/>
                <w:szCs w:val="16"/>
                <w:color w:val="auto"/>
                <w:w w:val="89"/>
              </w:rPr>
              <w:t>636,181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(3)</w:t>
            </w:r>
          </w:p>
        </w:tc>
        <w:tc>
          <w:tcPr>
            <w:tcW w:w="2180" w:type="dxa"/>
            <w:vAlign w:val="bottom"/>
          </w:tcPr>
          <w:p>
            <w:pPr>
              <w:jc w:val="center"/>
              <w:spacing w:after="0"/>
              <w:rPr>
                <w:sz w:val="20"/>
                <w:szCs w:val="20"/>
                <w:color w:val="auto"/>
              </w:rPr>
            </w:pPr>
            <w:r>
              <w:rPr>
                <w:rFonts w:ascii="Arial" w:cs="Arial" w:eastAsia="Arial" w:hAnsi="Arial"/>
                <w:sz w:val="16"/>
                <w:szCs w:val="16"/>
                <w:color w:val="auto"/>
                <w:w w:val="93"/>
              </w:rPr>
              <w:t>$142.17</w:t>
            </w: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627,437</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$1.12 billion</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94"/>
              </w:rPr>
              <w:t>8/29/20-10/2/20</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1,031,417</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1"/>
              </w:rPr>
              <w:t>(4)</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$138.45</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1,025,231</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$0.98 billion</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1,668,088</w:t>
            </w: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1,652,668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jc w:val="both"/>
        <w:ind w:left="180" w:hanging="10"/>
        <w:spacing w:after="0" w:line="299" w:lineRule="auto"/>
        <w:tabs>
          <w:tab w:leader="none" w:pos="4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stock repurchase program approved by the Board of Directors on January 30, 2019, authorizes the repurchase of up to $2.0 billion of our common stock from time to time on the open market or in privately negotiated transactions as permitted by securities laws and other legal requirements. The January 30, 2019, stock repurchase program replaced in its entirety the January 31, 2018, plan and is scheduled to expire on January 30, 2021.</w:t>
      </w:r>
    </w:p>
    <w:p>
      <w:pPr>
        <w:ind w:left="180" w:right="20" w:hanging="10"/>
        <w:spacing w:after="0" w:line="277" w:lineRule="auto"/>
        <w:tabs>
          <w:tab w:leader="none" w:pos="4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repurchased by us at the fair market value of the common stock as of the applicable purchase date, in connection with the satisfaction of tax withholding obligations under equity award agreements.</w:t>
      </w:r>
    </w:p>
    <w:p>
      <w:pPr>
        <w:spacing w:after="0" w:line="8" w:lineRule="exact"/>
        <w:rPr>
          <w:rFonts w:ascii="Arial" w:cs="Arial" w:eastAsia="Arial" w:hAnsi="Arial"/>
          <w:sz w:val="18"/>
          <w:szCs w:val="18"/>
          <w:color w:val="auto"/>
        </w:rPr>
      </w:pPr>
    </w:p>
    <w:p>
      <w:pPr>
        <w:jc w:val="both"/>
        <w:ind w:left="180" w:hanging="10"/>
        <w:spacing w:after="0" w:line="263" w:lineRule="auto"/>
        <w:tabs>
          <w:tab w:leader="none" w:pos="4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627,437 shares were repurchased at an average price of $142.12 per share as part of our stock repurchase program, and 8,744 shares were repurchased by us at the fair market value of the common stock as of the applicable purchase date, in connection with the satisfaction of tax withholding obligations under equity award agreements with an average price of $146.09 per share.</w:t>
      </w:r>
    </w:p>
    <w:p>
      <w:pPr>
        <w:spacing w:after="0" w:line="21" w:lineRule="exact"/>
        <w:rPr>
          <w:rFonts w:ascii="Arial" w:cs="Arial" w:eastAsia="Arial" w:hAnsi="Arial"/>
          <w:sz w:val="18"/>
          <w:szCs w:val="18"/>
          <w:color w:val="auto"/>
        </w:rPr>
      </w:pPr>
    </w:p>
    <w:p>
      <w:pPr>
        <w:jc w:val="both"/>
        <w:ind w:left="180" w:hanging="10"/>
        <w:spacing w:after="0" w:line="263" w:lineRule="auto"/>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1,025,231 shares were repurchased at an average price of $138.42 per share as part of our stock repurchase program, and 6,186 shares were repurchased by us at the fair market value of the common stock as of the applicable purchase date, in connection with the satisfaction of tax withholding obligations under equity award agreements with an average price of $142.76 per share.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set forth below for the five years ended October 2, 2020, is not necessarily indicative of results of future operations, and should be read in conjunction with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consolidated financial statements and related notes included in Part II, Item 8 of this Annual Report on Form 10-K to fully understand factors that may affect the comparability of the information presented below. Our fiscal year ends on the Friday closest to September 30. Fiscal 2020 consisted of 53 weeks and ended on October 2, 2020. Fiscal 2019, 2018, 2017, and 2016 each consisted of 52 weeks and ended on September 27, 2019, September 28, 2018, September 29, 2017, and September 30, 2016,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selected financial data (in millions, except per share data):</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Fiscal Years Ended</w:t>
            </w:r>
          </w:p>
        </w:tc>
        <w:tc>
          <w:tcPr>
            <w:tcW w:w="1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60" w:type="dxa"/>
            <w:vAlign w:val="bottom"/>
            <w:vMerge w:val="restart"/>
          </w:tcPr>
          <w:p>
            <w:pPr>
              <w:spacing w:after="0"/>
              <w:rPr>
                <w:sz w:val="20"/>
                <w:szCs w:val="20"/>
                <w:color w:val="auto"/>
              </w:rPr>
            </w:pPr>
            <w:r>
              <w:rPr>
                <w:rFonts w:ascii="Arial" w:cs="Arial" w:eastAsia="Arial" w:hAnsi="Arial"/>
                <w:sz w:val="16"/>
                <w:szCs w:val="16"/>
                <w:b w:val="1"/>
                <w:bCs w:val="1"/>
                <w:color w:val="auto"/>
              </w:rPr>
              <w:t>Statement of Operations Data:</w:t>
            </w:r>
          </w:p>
        </w:tc>
        <w:tc>
          <w:tcPr>
            <w:tcW w:w="1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October 2, 2020 (1)</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September 27, 2019</w:t>
            </w:r>
          </w:p>
        </w:tc>
        <w:tc>
          <w:tcPr>
            <w:tcW w:w="156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rPr>
              <w:t>September 28, 2018</w:t>
            </w: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September 29, 2017</w:t>
            </w:r>
          </w:p>
        </w:tc>
        <w:tc>
          <w:tcPr>
            <w:tcW w:w="146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560" w:type="dxa"/>
            <w:vAlign w:val="bottom"/>
          </w:tcPr>
          <w:p>
            <w:pPr>
              <w:jc w:val="right"/>
              <w:ind w:right="628"/>
              <w:spacing w:after="0"/>
              <w:rPr>
                <w:sz w:val="20"/>
                <w:szCs w:val="20"/>
                <w:color w:val="auto"/>
              </w:rPr>
            </w:pPr>
            <w:r>
              <w:rPr>
                <w:rFonts w:ascii="Arial" w:cs="Arial" w:eastAsia="Arial" w:hAnsi="Arial"/>
                <w:sz w:val="14"/>
                <w:szCs w:val="14"/>
                <w:b w:val="1"/>
                <w:bCs w:val="1"/>
                <w:color w:val="auto"/>
              </w:rPr>
              <w:t>(1)</w:t>
            </w:r>
          </w:p>
        </w:tc>
        <w:tc>
          <w:tcPr>
            <w:tcW w:w="1560" w:type="dxa"/>
            <w:vAlign w:val="bottom"/>
          </w:tcPr>
          <w:p>
            <w:pPr>
              <w:jc w:val="right"/>
              <w:ind w:right="628"/>
              <w:spacing w:after="0"/>
              <w:rPr>
                <w:sz w:val="20"/>
                <w:szCs w:val="20"/>
                <w:color w:val="auto"/>
              </w:rPr>
            </w:pPr>
            <w:r>
              <w:rPr>
                <w:rFonts w:ascii="Arial" w:cs="Arial" w:eastAsia="Arial" w:hAnsi="Arial"/>
                <w:sz w:val="14"/>
                <w:szCs w:val="14"/>
                <w:b w:val="1"/>
                <w:bCs w:val="1"/>
                <w:color w:val="auto"/>
              </w:rPr>
              <w:t>(2)</w:t>
            </w:r>
          </w:p>
        </w:tc>
        <w:tc>
          <w:tcPr>
            <w:tcW w:w="1560" w:type="dxa"/>
            <w:vAlign w:val="bottom"/>
            <w:vMerge w:val="continue"/>
          </w:tcPr>
          <w:p>
            <w:pPr>
              <w:spacing w:after="0"/>
              <w:rPr>
                <w:sz w:val="16"/>
                <w:szCs w:val="16"/>
                <w:color w:val="auto"/>
              </w:rPr>
            </w:pPr>
          </w:p>
        </w:tc>
        <w:tc>
          <w:tcPr>
            <w:tcW w:w="1460" w:type="dxa"/>
            <w:vAlign w:val="bottom"/>
          </w:tcPr>
          <w:p>
            <w:pPr>
              <w:jc w:val="right"/>
              <w:ind w:right="528"/>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3,355.7</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3,376.8</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3,868.0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3,651.4</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3,289.0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891.8</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952.0</w:t>
            </w:r>
          </w:p>
        </w:tc>
        <w:tc>
          <w:tcPr>
            <w:tcW w:w="2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1,319.3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1,253.8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814.8</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853.6</w:t>
            </w:r>
          </w:p>
        </w:tc>
        <w:tc>
          <w:tcPr>
            <w:tcW w:w="2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918.4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1,010.2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Cash dividends declared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4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October 2, 2020</w:t>
            </w:r>
          </w:p>
        </w:tc>
        <w:tc>
          <w:tcPr>
            <w:tcW w:w="156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September 27, 2019</w:t>
            </w:r>
          </w:p>
        </w:tc>
        <w:tc>
          <w:tcPr>
            <w:tcW w:w="1560" w:type="dxa"/>
            <w:vAlign w:val="bottom"/>
            <w:gridSpan w:val="3"/>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1"/>
              </w:rPr>
              <w:t>September 28, 2018</w:t>
            </w: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September 29,</w:t>
            </w: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53"/>
              <w:spacing w:after="0" w:line="130"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9"/>
        </w:trPr>
        <w:tc>
          <w:tcPr>
            <w:tcW w:w="35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1,869.2</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1,860.6</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1,872.5</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2,245.8</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1,791.9</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1,140.9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882.3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5,106.7</w:t>
            </w:r>
          </w:p>
        </w:tc>
        <w:tc>
          <w:tcPr>
            <w:tcW w:w="24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4,839.6</w:t>
            </w:r>
          </w:p>
        </w:tc>
        <w:tc>
          <w:tcPr>
            <w:tcW w:w="2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4,828.9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4,573.6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3,855.4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4,164.2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4,122.3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4,097.0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4,065.7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3,541.4</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13" w:lineRule="exact"/>
        <w:rPr>
          <w:sz w:val="20"/>
          <w:szCs w:val="20"/>
          <w:color w:val="auto"/>
        </w:rPr>
      </w:pPr>
    </w:p>
    <w:p>
      <w:pPr>
        <w:ind w:firstLine="8"/>
        <w:spacing w:after="0" w:line="249"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2020 and fiscal 2019 net revenue, net income, and earnings per share were adversely impacted as a result of the U.S. Bureau of Industry and Security of the U.S. Department of Commerce placing Huawei on the Entity List in May 2019.</w:t>
      </w:r>
    </w:p>
    <w:p>
      <w:pPr>
        <w:jc w:val="both"/>
        <w:ind w:firstLine="8"/>
        <w:spacing w:after="0" w:line="250"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2018 net income and earnings per share include a one-time charge of $224.6 million related to the mandatory deemed repatriation tax on foreign earnings and a one-time charge of $18.3 million related to the revaluation of deferred tax assets and liabilities at the new corporate tax rate, as a result of the Tax Reform Act.</w:t>
      </w:r>
    </w:p>
    <w:p>
      <w:pPr>
        <w:spacing w:after="0" w:line="1" w:lineRule="exact"/>
        <w:rPr>
          <w:rFonts w:ascii="Arial" w:cs="Arial" w:eastAsia="Arial" w:hAnsi="Arial"/>
          <w:sz w:val="18"/>
          <w:szCs w:val="18"/>
          <w:color w:val="auto"/>
        </w:rPr>
      </w:pPr>
    </w:p>
    <w:p>
      <w:pPr>
        <w:jc w:val="both"/>
        <w:ind w:firstLine="8"/>
        <w:spacing w:after="0" w:line="255"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2016 net income and earnings per share include other income of $88.5 million related to the receipt of a merger termination fee in November 2015 in connection with the termination by PMC-Sierra, Inc. (“PMC”), of the Amended and Restated Agreement and Plan of Merger that we had entered into with PMC in October 2015.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together with our consolidated subsidiaries, are empowering the wireless networking revolution. Our highly innovative analog semiconductors are connecting people, places, and things spanning a number of new and previously unimagined applications within the aerospace, automotive, broadband, cellular infrastructure, connected home, entertainment and gaming, industrial, medical, military, smartphone, tablet, and wearable markets. Our key customers include Amazon, Apple, Arris, Bose, Cisco, DJI, Ericsson, Foxconn, Garmin, Gemalto (a Thales company), General Electric, Fibocom, Google, Honeywell, Huawei, Itron, Lenovo, LG Electronics, Microsoft, Motorola, Netgear, Northrop Grumman, OPPO, Rockwell Collins, Samsung, Sierra Wireless, Sonos, Technicolor, VIVO, Xiaomi, and ZTE.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and the resulting economic downturn are affecting business conditions in our industry. Overall demand for our products has decreased as a result of the pandemic, which impacted our operating results for fiscal 2020. The duration, severity, and future impact of the pandemic continue to be highly uncertain and could still result in significant disruptions to our business operations, including our supply chain, as well as negative impacts to our financial condition. As a result of the temporary suspension of our operations in Mexicali, Mexico, for approximately two weeks in April 2020, we incurred a $23.4 million production utilization charge, as described below. A renewed suspension of our operations in Mexicali, or a continued reduction in our production capacity due to employee quarantines, employee absenteeism, and restrictions on certain of our employees’ ability to work, would negatively impact our future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Ended October 2, 2020, September 27, 2019, and September 28, 2018.</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results of our operations expressed as a percentage of net revenue. See Part II, Item 7 of our Annual Report on Form 10-K for the fiscal year ended September 27, 2019, filed with the SEC on November 14, 2019, as amended by Amendment No. 1 to such Annual Report on Form 10-K, filed with the SEC on January 27, 2020 (the “2019 10-K”), for Management’s Discussions and Analysis of Financial Condition and Results of Operations for the fiscal year ended September 28,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October 2,</w:t>
            </w: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27,</w:t>
            </w: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rPr>
              <w:t>September 28,</w:t>
            </w:r>
          </w:p>
        </w:tc>
      </w:tr>
      <w:tr>
        <w:trPr>
          <w:trHeight w:val="188"/>
        </w:trPr>
        <w:tc>
          <w:tcPr>
            <w:tcW w:w="6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4"/>
        </w:trPr>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revenue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67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49.6</w:t>
            </w:r>
          </w:p>
        </w:tc>
      </w:tr>
      <w:tr>
        <w:trPr>
          <w:trHeight w:val="223"/>
        </w:trPr>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50.4</w:t>
            </w:r>
          </w:p>
        </w:tc>
      </w:tr>
      <w:tr>
        <w:trPr>
          <w:trHeight w:val="230"/>
        </w:trPr>
        <w:tc>
          <w:tcPr>
            <w:tcW w:w="678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w:t>
            </w: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5.4</w:t>
            </w: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2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impairment, and other charges</w:t>
            </w: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16.3</w:t>
            </w:r>
          </w:p>
        </w:tc>
      </w:tr>
      <w:tr>
        <w:trPr>
          <w:trHeight w:val="223"/>
        </w:trPr>
        <w:tc>
          <w:tcPr>
            <w:tcW w:w="67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34.1</w:t>
            </w: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29"/>
        </w:trPr>
        <w:tc>
          <w:tcPr>
            <w:tcW w:w="6780" w:type="dxa"/>
            <w:vAlign w:val="bottom"/>
          </w:tcPr>
          <w:p>
            <w:pPr>
              <w:ind w:left="60"/>
              <w:spacing w:after="0"/>
              <w:rPr>
                <w:sz w:val="20"/>
                <w:szCs w:val="20"/>
                <w:color w:val="auto"/>
              </w:rPr>
            </w:pPr>
            <w:r>
              <w:rPr>
                <w:rFonts w:ascii="Arial" w:cs="Arial" w:eastAsia="Arial" w:hAnsi="Arial"/>
                <w:sz w:val="18"/>
                <w:szCs w:val="18"/>
                <w:color w:val="auto"/>
              </w:rPr>
              <w:t>Income before income taxes</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34.4</w:t>
            </w:r>
          </w:p>
        </w:tc>
      </w:tr>
      <w:tr>
        <w:trPr>
          <w:trHeight w:val="230"/>
        </w:trPr>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10.7</w:t>
            </w:r>
          </w:p>
        </w:tc>
      </w:tr>
      <w:tr>
        <w:trPr>
          <w:trHeight w:val="223"/>
        </w:trPr>
        <w:tc>
          <w:tcPr>
            <w:tcW w:w="678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23.7 %</w:t>
            </w:r>
          </w:p>
        </w:tc>
      </w:tr>
      <w:tr>
        <w:trPr>
          <w:trHeight w:val="21"/>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October 2, 2020, the following key factors contributed to our overall results of operations, financial position, and cash flows:</w:t>
      </w:r>
    </w:p>
    <w:p>
      <w:pPr>
        <w:spacing w:after="0" w:line="140" w:lineRule="exact"/>
        <w:rPr>
          <w:sz w:val="20"/>
          <w:szCs w:val="20"/>
          <w:color w:val="auto"/>
        </w:rPr>
      </w:pPr>
    </w:p>
    <w:p>
      <w:pPr>
        <w:jc w:val="both"/>
        <w:ind w:left="820" w:hanging="488"/>
        <w:spacing w:after="0" w:line="259"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revenue decreased 0.6% to $3,355.7 million, as compared to fiscal 2019. This decrease in revenue was driven primarily by reduced demand resulting from Huawei continuing to remain on the Entity List. Additionally, demand for our products was negatively impacted by the ongoing COVID-19 pandemic. These decreases in revenue were partially offset by an increase in demand for our new 5G solutions being deployed across a growing set of customers.</w:t>
      </w:r>
    </w:p>
    <w:p>
      <w:pPr>
        <w:spacing w:after="0" w:line="78" w:lineRule="exact"/>
        <w:rPr>
          <w:rFonts w:ascii="Arial" w:cs="Arial" w:eastAsia="Arial" w:hAnsi="Arial"/>
          <w:sz w:val="18"/>
          <w:szCs w:val="18"/>
          <w:color w:val="auto"/>
        </w:rPr>
      </w:pPr>
    </w:p>
    <w:p>
      <w:pPr>
        <w:jc w:val="both"/>
        <w:ind w:left="820" w:hanging="488"/>
        <w:spacing w:after="0" w:line="259"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ending cash, cash equivalents and marketable securities balance decreased 9.5% to $980.0 million in fiscal 2020 from $1,082.2 million in fiscal 2019. This decrease in cash, cash equivalents and marketable securities during fiscal 2020, was primarily the result of the repurchase of 6.3 million shares of common stock for $647.5 million, capital expenditures of $389.4 million, and dividend payments of $307.0 million, partially offset by cash generated from operations of $1,204.5 million.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Fiscal Years Ended</w:t>
            </w: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242"/>
              <w:spacing w:after="0" w:line="135" w:lineRule="exact"/>
              <w:rPr>
                <w:sz w:val="20"/>
                <w:szCs w:val="20"/>
                <w:color w:val="auto"/>
              </w:rPr>
            </w:pPr>
            <w:r>
              <w:rPr>
                <w:rFonts w:ascii="Arial" w:cs="Arial" w:eastAsia="Arial" w:hAnsi="Arial"/>
                <w:sz w:val="14"/>
                <w:szCs w:val="14"/>
                <w:b w:val="1"/>
                <w:bCs w:val="1"/>
                <w:color w:val="auto"/>
                <w:w w:val="95"/>
              </w:rPr>
              <w:t>October 2,</w:t>
            </w: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1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51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3,355.7</w:t>
            </w: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(0.6)%   $</w:t>
            </w: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3,376.8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3,868.0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increased holiday sales, whereas our second and third fiscal quarters are typically lower and in line with seasonal industry trends.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decrease in net revenue in fiscal 2020, as compared to fiscal 2019, was driven by reduced demand resulting from Huawei continuing to remain on the Entity List as well as the ongoing COVID-19 pandemic, partially offset by an increase in demand for our new 5G solutions being deployed across a growing set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net revenue by geographic region and customer concentration, see Note 14 to Item 8 of this Annual Report on Form 10-K.</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Fiscal Years Ended</w:t>
            </w: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jc w:val="right"/>
              <w:ind w:right="459"/>
              <w:spacing w:after="0" w:line="135" w:lineRule="exact"/>
              <w:rPr>
                <w:sz w:val="20"/>
                <w:szCs w:val="20"/>
                <w:color w:val="auto"/>
              </w:rPr>
            </w:pPr>
            <w:r>
              <w:rPr>
                <w:rFonts w:ascii="Arial" w:cs="Arial" w:eastAsia="Arial" w:hAnsi="Arial"/>
                <w:sz w:val="14"/>
                <w:szCs w:val="14"/>
                <w:b w:val="1"/>
                <w:bCs w:val="1"/>
                <w:color w:val="auto"/>
              </w:rPr>
              <w:t>October 2,</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1"/>
                <w:szCs w:val="11"/>
                <w:color w:val="auto"/>
              </w:rPr>
            </w:pPr>
          </w:p>
        </w:tc>
        <w:tc>
          <w:tcPr>
            <w:tcW w:w="146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right"/>
              <w:ind w:right="239"/>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48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1,612.9</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1,603.8</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(17.8)%  $</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1,950.7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48.1 %</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Arial" w:cs="Arial" w:eastAsia="Arial" w:hAnsi="Arial"/>
                <w:sz w:val="18"/>
                <w:szCs w:val="18"/>
                <w:color w:val="auto"/>
              </w:rPr>
              <w:t>47.5 %</w:t>
            </w:r>
          </w:p>
        </w:tc>
        <w:tc>
          <w:tcPr>
            <w:tcW w:w="10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represents net revenue less cost of goods sold. Our cost of goods sold consists primarily of purchased materials, labor and overhead (including depreciation and share-based compensation expense)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mitigate the gross margin impact of declining average selling prices with efforts to increase unit volumes, reduce material costs, improve manufacturing efficiencies, lower manufacturing costs of existing products and by introducing new and higher value-added products.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gross profit in fiscal 2020, as compared to fiscal 2019, was primarily the result of a favorable product mix, partially offset by lower unit volumes and lower average selling prices. In addition, there was a $23.4 million production utilization charge in fiscal 2020, due to the temporary suspension of our operations in Mexicali in the government's effort to contain the COVID-19 pandemic. This one-time charge was less than the $66.1 million inventory-related one-time charge incurred in fiscal 2019, due to lower expected demand as a result of Huawei being added to the Entity List. As a result of these impacts, gross profit margin increased to 48.1% of net revenue for fiscal 2020, as compared to 47.5% in fiscal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Fiscal Years Ended</w:t>
            </w: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right"/>
              <w:ind w:right="439"/>
              <w:spacing w:after="0" w:line="135" w:lineRule="exact"/>
              <w:rPr>
                <w:sz w:val="20"/>
                <w:szCs w:val="20"/>
                <w:color w:val="auto"/>
              </w:rPr>
            </w:pPr>
            <w:r>
              <w:rPr>
                <w:rFonts w:ascii="Arial" w:cs="Arial" w:eastAsia="Arial" w:hAnsi="Arial"/>
                <w:sz w:val="14"/>
                <w:szCs w:val="14"/>
                <w:b w:val="1"/>
                <w:bCs w:val="1"/>
                <w:color w:val="auto"/>
              </w:rPr>
              <w:t>October 2,</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1"/>
                <w:szCs w:val="11"/>
                <w:color w:val="auto"/>
              </w:rPr>
            </w:pPr>
          </w:p>
        </w:tc>
        <w:tc>
          <w:tcPr>
            <w:tcW w:w="146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1"/>
                <w:szCs w:val="11"/>
                <w:color w:val="auto"/>
              </w:rPr>
            </w:pPr>
          </w:p>
        </w:tc>
        <w:tc>
          <w:tcPr>
            <w:tcW w:w="1280" w:type="dxa"/>
            <w:vAlign w:val="bottom"/>
          </w:tcPr>
          <w:p>
            <w:pPr>
              <w:jc w:val="right"/>
              <w:ind w:right="219"/>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48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464.1</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424.1</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30"/>
        </w:trPr>
        <w:tc>
          <w:tcPr>
            <w:tcW w:w="486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13.8 %</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8"/>
                <w:szCs w:val="18"/>
                <w:color w:val="auto"/>
              </w:rPr>
              <w:t>12.5 %</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direct personnel costs including share-based compensation expense, costs for pre-production evaluation and testing of new devices, masks, engineering prototypes and design tool costs.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increase in research and development expense in fiscal 2020, as compared to fiscal 2019, was primarily related to an increase in employee-related share-based compensation expense due to higher performance achievement with respect to performance stock awards.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Fiscal Years Ended</w:t>
            </w: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439"/>
              <w:spacing w:after="0" w:line="135" w:lineRule="exact"/>
              <w:rPr>
                <w:sz w:val="20"/>
                <w:szCs w:val="20"/>
                <w:color w:val="auto"/>
              </w:rPr>
            </w:pPr>
            <w:r>
              <w:rPr>
                <w:rFonts w:ascii="Arial" w:cs="Arial" w:eastAsia="Arial" w:hAnsi="Arial"/>
                <w:sz w:val="14"/>
                <w:szCs w:val="14"/>
                <w:b w:val="1"/>
                <w:bCs w:val="1"/>
                <w:color w:val="auto"/>
              </w:rPr>
              <w:t>October 2,</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80" w:type="dxa"/>
            <w:vAlign w:val="bottom"/>
          </w:tcPr>
          <w:p>
            <w:pPr>
              <w:jc w:val="right"/>
              <w:ind w:right="219"/>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2019</w:t>
            </w: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49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231.4</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16.7%   $</w:t>
            </w: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198.3</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(4.6)%   $</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30"/>
        </w:trPr>
        <w:tc>
          <w:tcPr>
            <w:tcW w:w="498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6.9 %</w:t>
            </w:r>
          </w:p>
        </w:tc>
        <w:tc>
          <w:tcPr>
            <w:tcW w:w="9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5.9 %</w:t>
            </w:r>
          </w:p>
        </w:tc>
        <w:tc>
          <w:tcPr>
            <w:tcW w:w="10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selling, general, and administrative expenses in fiscal 2020, as compared to fiscal 2019, was primarily related to increases in employee-related share-based compensation expense due to higher performance achievement with respect to performance stock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9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October 2,</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tcPr>
          <w:p>
            <w:pPr>
              <w:jc w:val="right"/>
              <w:ind w:right="239"/>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6"/>
        </w:trPr>
        <w:tc>
          <w:tcPr>
            <w:tcW w:w="5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vMerge w:val="continue"/>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48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5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amortization of intangibles, including inventory step-up</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46.0</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(18.9)%</w:t>
            </w:r>
          </w:p>
        </w:tc>
        <w:tc>
          <w:tcPr>
            <w:tcW w:w="15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56.7</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112.4%</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 of net revenue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rPr>
              <w:t>1.5 %</w:t>
            </w:r>
          </w:p>
        </w:tc>
        <w:tc>
          <w:tcPr>
            <w:tcW w:w="940" w:type="dxa"/>
            <w:vAlign w:val="bottom"/>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1.7 %</w:t>
            </w:r>
          </w:p>
        </w:tc>
        <w:tc>
          <w:tcPr>
            <w:tcW w:w="940" w:type="dxa"/>
            <w:vAlign w:val="bottom"/>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total amortization expense for fiscal 2020, as compared to fiscal 2019, was primarily related to fully amortized intangible assets that were acquired in prior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Impairment, and Other Charges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Fiscal Years Ended</w:t>
            </w: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October 2,</w:t>
            </w:r>
          </w:p>
        </w:tc>
        <w:tc>
          <w:tcPr>
            <w:tcW w:w="10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48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Restructuring, impairment, and other charges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1"/>
              </w:rPr>
              <w:t>13.8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   $</w:t>
            </w:r>
          </w:p>
        </w:tc>
        <w:tc>
          <w:tcPr>
            <w:tcW w:w="1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6.8</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750.0%   $</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86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9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0.4 %</w:t>
            </w:r>
          </w:p>
        </w:tc>
        <w:tc>
          <w:tcPr>
            <w:tcW w:w="1000" w:type="dxa"/>
            <w:vAlign w:val="bottom"/>
          </w:tcPr>
          <w:p>
            <w:pPr>
              <w:spacing w:after="0"/>
              <w:rPr>
                <w:sz w:val="20"/>
                <w:szCs w:val="20"/>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rPr>
              <w:t>0.2 %</w:t>
            </w:r>
          </w:p>
        </w:tc>
        <w:tc>
          <w:tcPr>
            <w:tcW w:w="10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impairment, and other charges incurred in fiscal 2020 were primarily related to the abandonment of a previously capitalized in-process research and development (“IPR&amp;D”) project.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impairment, and other charges incurred in fiscal 2019 were primarily related to employee severance and other termination benefits as well as charges on a leased facility resulting from restructuring plans initiated during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Fiscal Years Ended</w:t>
            </w: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October 2,</w:t>
            </w:r>
          </w:p>
        </w:tc>
        <w:tc>
          <w:tcPr>
            <w:tcW w:w="10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1280" w:type="dxa"/>
            <w:vAlign w:val="bottom"/>
          </w:tcPr>
          <w:p>
            <w:pPr>
              <w:jc w:val="right"/>
              <w:ind w:right="219"/>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2019</w:t>
            </w:r>
          </w:p>
        </w:tc>
        <w:tc>
          <w:tcPr>
            <w:tcW w:w="10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7"/>
        </w:trPr>
        <w:tc>
          <w:tcPr>
            <w:tcW w:w="48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6"/>
              </w:rPr>
              <w:t>76.9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107.4</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(74.0)%  $</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9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2.3 %</w:t>
            </w:r>
          </w:p>
        </w:tc>
        <w:tc>
          <w:tcPr>
            <w:tcW w:w="100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3.2 %</w:t>
            </w:r>
          </w:p>
        </w:tc>
        <w:tc>
          <w:tcPr>
            <w:tcW w:w="10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annual effective tax rate for fiscal 2020 of 8.6% was less than the United States federal statutory rate of 21.0% primarily due to benefits of 9.7% related to foreign earnings taxed at a rate less than the United States federal rate, 4.6% related to benefits from the foreign derived intangible income (“FDII”) deduction, 1.2% related to stock windfall deductions, and 2.6% related to the recognition of federal research and development tax credits, partially offset by increases in income tax rate expense impact of 4.0% related to global intangible low-taxed income (“GILTI”) expense, and 1.1% related to a change in our tax reserves.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the effective tax rate for fiscal 2020, as compared to the 11.2% effective rate for fiscal 2019, was primarily due to benefits related to favorable changes to GILTI and increased windfall tax deductions.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8 to Item 8 of this Annual Report on Form 10-K for additional information regarding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1"/>
              </w:rPr>
              <w:t>Fiscal Years Ended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9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1"/>
                <w:szCs w:val="11"/>
                <w:color w:val="auto"/>
              </w:rPr>
            </w:pPr>
          </w:p>
        </w:tc>
        <w:tc>
          <w:tcPr>
            <w:tcW w:w="112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3"/>
              </w:rPr>
              <w:t>September 28,</w:t>
            </w:r>
          </w:p>
        </w:tc>
        <w:tc>
          <w:tcPr>
            <w:tcW w:w="0" w:type="dxa"/>
            <w:vAlign w:val="bottom"/>
          </w:tcPr>
          <w:p>
            <w:pPr>
              <w:spacing w:after="0"/>
              <w:rPr>
                <w:sz w:val="1"/>
                <w:szCs w:val="1"/>
                <w:color w:val="auto"/>
              </w:rPr>
            </w:pPr>
          </w:p>
        </w:tc>
      </w:tr>
      <w:tr>
        <w:trPr>
          <w:trHeight w:val="188"/>
        </w:trPr>
        <w:tc>
          <w:tcPr>
            <w:tcW w:w="69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operating activities consists of net income for the period adjusted for certain non-cash items and changes in certain operating assets and liabilities. The $162.9 million decrease in cash provided by operating activities for fiscal 2020, as compared to fiscal 2019, was primarily related to unfavorable changes in working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consists primarily of cash paid for acquisitions net of cash acquired, capital expenditures, purchased intangibles, and cash related to the sale or maturity of marketable securities. The $244.5 million increase in cash used in investing activities for fiscal 2020, as compared to fiscal 2019, was primarily related to a $269.3 million difference in the net purchase and sale of marketable securities, partially offset by a $9.0 million decrease in cash used for capital expenditures.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consists primarily of cash transactions related to equity. The $4.8 million decrease in cash used in financing activities for fiscal 2020, as compared to fiscal 2019, was primarily related to an increase of $35.0 million in net proceeds from employee stock option exercises and a decrease of $10.1 million in stock repurchase activity. These decreases in cash used in financing activities were partially offset by an increase of $33.1 million in dividend payments and an increase of $10.3 million related to the minimum statutory payroll tax withholdings upon vesting of employee performance and restricted stock awards.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cash equivalents and marketable securities totaled $980.0 million as of October 2, 2020, representing a decrease of $102.3 million from September 27, 2019. The decrease resulted from $647.5 million used to repurchase 6.3 million shares of stock, $389.4 million in capital expenditures, and $307.0 million in cash dividend payments, which was partially offset by $1,204.5 million in cash generated from operations during fiscal 2020. Based on our historical results of operations, we expect that our cash, cash equivalents and marketable securities on hand and the cash we expect to generate from operations will be sufficient to fund our research and development, capital expenditures, potential acquisitions, working capital, quarterly cash dividend payments (if such dividends are declared by the Board of Directors), outstanding commitments and other liquidity requirements associated with existing operations for at least the next 12 months. However, we cannot be certain that our cash on hand and cash generated from operations will be available in the future to fund all of our capital and operating requirements. In addition, any future strategic investments and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invested cash balances primarily consist of highly liquid marketable securities that are available to meet near-term cash requirements including: term deposits, certificate of deposits, money market funds, U.S. Treasury securities, agency securities, corporate debt securities and commercial paper.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significant contractual obligations are recorded on our consolidated balance sheet or fully disclosed in the notes to our consolidated financial statements. We have no material off-balance sheet arrangements as defined in SEC Regulation S-K Item 303(a)(4)(ii).</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summary of our contractual payment obligations related to our operating leases, other commitments, and long-term liabilities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 2020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Obligation</w:t>
            </w: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Less Than 1</w:t>
            </w: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88"/>
        </w:trPr>
        <w:tc>
          <w:tcPr>
            <w:tcW w:w="5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commitments (2)</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left="660" w:hanging="490"/>
        <w:spacing w:after="0" w:line="255"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long-term liabilities primarily include our gross unrecognized tax benefits, repatriation tax payable, and executive deferred compensation. Gross unrecognized tax benefits and executive deferred compensation are both classified as beyond five years due to the uncertain nature of the liabilities.</w:t>
      </w:r>
    </w:p>
    <w:p>
      <w:pPr>
        <w:spacing w:after="0" w:line="2" w:lineRule="exact"/>
        <w:rPr>
          <w:rFonts w:ascii="Arial" w:cs="Arial" w:eastAsia="Arial" w:hAnsi="Arial"/>
          <w:sz w:val="18"/>
          <w:szCs w:val="18"/>
          <w:color w:val="auto"/>
        </w:rPr>
      </w:pPr>
    </w:p>
    <w:p>
      <w:pPr>
        <w:ind w:left="640" w:hanging="47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commitments consist of contractual license and royalty payments and other purchase obligations.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generally accepted accounting principles, or GAAP. The preparation of these financial statements requires us to make estimates and judgments in applying our most critical accounting policies that can have a significant impact on the results we report in our financial statements. The SEC has defined critical accounting policies as those that are both most important to the portrayal of our financial condition and results and which require our most difficult, complex, or subjective judgments or estimates. Based on this definition, our most critical accounting policies include revenue recognition, which impacts the recording of net revenue; inventory valuation, which impacts the cost of goods sold and gross margin; assessment of goodwill and long-lived assets, which impacts the impairment of the respective assets; share-based compensation, which impacts cost of goods sold and operating expenses; loss contingencies, which impacts operating expenses; and income taxes, which impacts the income tax provision. These policies and significant judgments involved are discussed further below. We have other significant accounting policies that do not generally require subjective estimates or judgments or would not have a material impact on our results of operations. Our significant accounting policies are described in Note 2 to Item 8 of this Annual Report on Form 10-K.</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recognize revenue in accordance with the Financial Accounting Standards Board’s (“FASB”)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net of estimated reserves</w:t>
      </w:r>
      <w:r>
        <w:rPr>
          <w:rFonts w:ascii="Arial" w:cs="Arial" w:eastAsia="Arial" w:hAnsi="Arial"/>
          <w:sz w:val="18"/>
          <w:szCs w:val="18"/>
          <w:i w:val="1"/>
          <w:iCs w:val="1"/>
          <w:color w:val="auto"/>
        </w:rPr>
        <w:t>.</w:t>
      </w:r>
      <w:r>
        <w:rPr>
          <w:rFonts w:ascii="Arial" w:cs="Arial" w:eastAsia="Arial" w:hAnsi="Arial"/>
          <w:sz w:val="18"/>
          <w:szCs w:val="18"/>
          <w:color w:val="auto"/>
        </w:rPr>
        <w:t xml:space="preserve"> Our revenue reserves contain uncertainties because they require management to make assumptions and to apply judgment to estimate the value of future credits to customers for product returns, price protection and stock rotation for products sold to certain electronic component distributors. We base these estimates on the expected value method considering all reasonably available information, including our historical experience and current expectations, and is reflected in the transaction price when sales are recorded.</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Inventory Valuation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value our inventory at the lower of cost or net realizable value. Reserves for excess and obsolete inventory are established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application of tax laws and regulations to calculate our tax liabilities is subject to legal and factual interpretation, judgment,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did not have a material impact on our results of operations during the three-year period ended October 2,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overall financial market risks, such as changes in market liquidity, credit quality, investment risk, interest rate risk and foreign exchange rate risk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exposure to interest rate and general market risks relates principally to our investment portfolio, which consists of cash and cash equivalents (money market funds and marketable securities purchased with less than ninety days until maturity) that total approximately $566.7 million and marketable securities (U.S. Treasury and government securities, corporate bonds and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municipal bonds) that total approximately $408.1 million and $5.2 million within short-term and long-term marketable securities, respectively, as of October 2,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consist of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our results of operations for the fiscal year ended October 2, 2020, a hypothetical reduction in the interest rates on our cash, cash equivalents, and other investments to zero would result in an immaterial reduction of interest income with a de minimis impact on income before taxes.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low interest rate environment, the objectives of our investment activities, and the relatively low interest income generated from our cash, cash equivalents, and other investments, we do not believe that investment or interest rate risks currently pose material exposures to our business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October 2, 2020, September 27, 2019, and September 28, 2018, we had foreign exchange losses of $5.9 million, $6.2 million, and $5.5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enter into foreign currency forward and option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fiscal year ended October 2, 2020, we had no outstanding foreign currency forward or option contracts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420" w:type="dxa"/>
            <w:vAlign w:val="bottom"/>
            <w:gridSpan w:val="4"/>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60" w:type="dxa"/>
            <w:vAlign w:val="bottom"/>
          </w:tcPr>
          <w:p>
            <w:pPr>
              <w:spacing w:after="0"/>
              <w:rPr>
                <w:sz w:val="20"/>
                <w:szCs w:val="20"/>
                <w:color w:val="auto"/>
              </w:rPr>
            </w:pPr>
          </w:p>
        </w:tc>
      </w:tr>
      <w:tr>
        <w:trPr>
          <w:trHeight w:val="459"/>
        </w:trPr>
        <w:tc>
          <w:tcPr>
            <w:tcW w:w="8420" w:type="dxa"/>
            <w:vAlign w:val="bottom"/>
            <w:gridSpan w:val="4"/>
          </w:tcPr>
          <w:p>
            <w:pPr>
              <w:ind w:left="220"/>
              <w:spacing w:after="0"/>
              <w:rPr>
                <w:sz w:val="20"/>
                <w:szCs w:val="20"/>
                <w:color w:val="auto"/>
              </w:rPr>
            </w:pPr>
            <w:r>
              <w:rPr>
                <w:rFonts w:ascii="Arial" w:cs="Arial" w:eastAsia="Arial" w:hAnsi="Arial"/>
                <w:sz w:val="18"/>
                <w:szCs w:val="18"/>
                <w:color w:val="auto"/>
              </w:rPr>
              <w:t>The following consolidated financial statements of the Company are included herewith:</w:t>
            </w:r>
          </w:p>
        </w:tc>
        <w:tc>
          <w:tcPr>
            <w:tcW w:w="2360" w:type="dxa"/>
            <w:vAlign w:val="bottom"/>
          </w:tcPr>
          <w:p>
            <w:pPr>
              <w:spacing w:after="0"/>
              <w:rPr>
                <w:sz w:val="24"/>
                <w:szCs w:val="24"/>
                <w:color w:val="auto"/>
              </w:rPr>
            </w:pPr>
          </w:p>
        </w:tc>
      </w:tr>
      <w:tr>
        <w:trPr>
          <w:trHeight w:val="310"/>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7740" w:type="dxa"/>
            <w:vAlign w:val="bottom"/>
            <w:gridSpan w:val="3"/>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2360" w:type="dxa"/>
            <w:vAlign w:val="bottom"/>
          </w:tcPr>
          <w:p>
            <w:pPr>
              <w:ind w:left="94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5">
              <w:r>
                <w:rPr>
                  <w:rFonts w:ascii="Arial" w:cs="Arial" w:eastAsia="Arial" w:hAnsi="Arial"/>
                  <w:sz w:val="18"/>
                  <w:szCs w:val="18"/>
                  <w:u w:val="single" w:color="auto"/>
                  <w:color w:val="0000FF"/>
                </w:rPr>
                <w:t>36</w:t>
              </w:r>
            </w:hyperlink>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774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Consolidated Statements of Operations for the three years ended October 2, 2020</w:t>
              </w:r>
            </w:hyperlink>
          </w:p>
        </w:tc>
        <w:tc>
          <w:tcPr>
            <w:tcW w:w="2360" w:type="dxa"/>
            <w:vAlign w:val="bottom"/>
          </w:tcPr>
          <w:p>
            <w:pPr>
              <w:ind w:left="94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7">
              <w:r>
                <w:rPr>
                  <w:rFonts w:ascii="Arial" w:cs="Arial" w:eastAsia="Arial" w:hAnsi="Arial"/>
                  <w:sz w:val="18"/>
                  <w:szCs w:val="18"/>
                  <w:u w:val="single" w:color="auto"/>
                  <w:color w:val="0000FF"/>
                </w:rPr>
                <w:t>38</w:t>
              </w:r>
            </w:hyperlink>
          </w:p>
        </w:tc>
      </w:tr>
      <w:tr>
        <w:trPr>
          <w:trHeight w:val="28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774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Consolidated Statements of Comprehensive Income for the three years ended October 2, 2020</w:t>
              </w:r>
            </w:hyperlink>
          </w:p>
        </w:tc>
        <w:tc>
          <w:tcPr>
            <w:tcW w:w="2360" w:type="dxa"/>
            <w:vAlign w:val="bottom"/>
          </w:tcPr>
          <w:p>
            <w:pPr>
              <w:ind w:left="94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8">
              <w:r>
                <w:rPr>
                  <w:rFonts w:ascii="Arial" w:cs="Arial" w:eastAsia="Arial" w:hAnsi="Arial"/>
                  <w:sz w:val="18"/>
                  <w:szCs w:val="18"/>
                  <w:u w:val="single" w:color="auto"/>
                  <w:color w:val="0000FF"/>
                </w:rPr>
                <w:t>39</w:t>
              </w:r>
            </w:hyperlink>
          </w:p>
        </w:tc>
      </w:tr>
      <w:tr>
        <w:trPr>
          <w:trHeight w:val="324"/>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7740" w:type="dxa"/>
            <w:vAlign w:val="bottom"/>
            <w:gridSpan w:val="3"/>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Consolidated Balance Sheets at October 2, 2020, and September 27, 2019</w:t>
              </w:r>
            </w:hyperlink>
          </w:p>
        </w:tc>
        <w:tc>
          <w:tcPr>
            <w:tcW w:w="2360" w:type="dxa"/>
            <w:vAlign w:val="bottom"/>
          </w:tcPr>
          <w:p>
            <w:pPr>
              <w:ind w:left="94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9">
              <w:r>
                <w:rPr>
                  <w:rFonts w:ascii="Arial" w:cs="Arial" w:eastAsia="Arial" w:hAnsi="Arial"/>
                  <w:sz w:val="18"/>
                  <w:szCs w:val="18"/>
                  <w:u w:val="single" w:color="auto"/>
                  <w:color w:val="0000FF"/>
                </w:rPr>
                <w:t>40</w:t>
              </w:r>
            </w:hyperlink>
          </w:p>
        </w:tc>
      </w:tr>
      <w:tr>
        <w:trPr>
          <w:trHeight w:val="28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7740" w:type="dxa"/>
            <w:vAlign w:val="bottom"/>
            <w:gridSpan w:val="3"/>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Consolidated Statements of Cash Flows for the three years ended October 2, 2020</w:t>
              </w:r>
            </w:hyperlink>
          </w:p>
        </w:tc>
        <w:tc>
          <w:tcPr>
            <w:tcW w:w="2360" w:type="dxa"/>
            <w:vAlign w:val="bottom"/>
          </w:tcPr>
          <w:p>
            <w:pPr>
              <w:ind w:left="94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0">
              <w:r>
                <w:rPr>
                  <w:rFonts w:ascii="Arial" w:cs="Arial" w:eastAsia="Arial" w:hAnsi="Arial"/>
                  <w:sz w:val="18"/>
                  <w:szCs w:val="18"/>
                  <w:u w:val="single" w:color="auto"/>
                  <w:color w:val="0000FF"/>
                </w:rPr>
                <w:t>41</w:t>
              </w:r>
            </w:hyperlink>
          </w:p>
        </w:tc>
      </w:tr>
      <w:tr>
        <w:trPr>
          <w:trHeight w:val="28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7740" w:type="dxa"/>
            <w:vAlign w:val="bottom"/>
            <w:gridSpan w:val="3"/>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Consolidated Statements of Stockholders’ Equity for the three years ended October 2, 2020</w:t>
              </w:r>
            </w:hyperlink>
          </w:p>
        </w:tc>
        <w:tc>
          <w:tcPr>
            <w:tcW w:w="2360" w:type="dxa"/>
            <w:vAlign w:val="bottom"/>
          </w:tcPr>
          <w:p>
            <w:pPr>
              <w:ind w:left="940"/>
              <w:spacing w:after="0"/>
              <w:rPr>
                <w:rFonts w:ascii="Arial" w:cs="Arial" w:eastAsia="Arial" w:hAnsi="Arial"/>
                <w:sz w:val="18"/>
                <w:szCs w:val="18"/>
                <w:color w:val="auto"/>
              </w:rPr>
            </w:pPr>
            <w:r>
              <w:rPr>
                <w:rFonts w:ascii="Arial" w:cs="Arial" w:eastAsia="Arial" w:hAnsi="Arial"/>
                <w:sz w:val="18"/>
                <w:szCs w:val="18"/>
                <w:color w:val="auto"/>
              </w:rPr>
              <w:t>Page</w:t>
            </w:r>
            <w:hyperlink w:anchor="page41">
              <w:r>
                <w:rPr>
                  <w:rFonts w:ascii="Arial" w:cs="Arial" w:eastAsia="Arial" w:hAnsi="Arial"/>
                  <w:sz w:val="18"/>
                  <w:szCs w:val="18"/>
                  <w:u w:val="single" w:color="auto"/>
                  <w:color w:val="0000FF"/>
                </w:rPr>
                <w:t>42</w:t>
              </w:r>
            </w:hyperlink>
          </w:p>
        </w:tc>
      </w:tr>
      <w:tr>
        <w:trPr>
          <w:trHeight w:val="24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31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4580" w:type="dxa"/>
            <w:vAlign w:val="bottom"/>
            <w:gridSpan w:val="2"/>
          </w:tcPr>
          <w:p>
            <w:pPr>
              <w:spacing w:after="0"/>
              <w:rPr>
                <w:sz w:val="21"/>
                <w:szCs w:val="21"/>
                <w:color w:val="auto"/>
              </w:rPr>
            </w:pPr>
          </w:p>
        </w:tc>
        <w:tc>
          <w:tcPr>
            <w:tcW w:w="2360" w:type="dxa"/>
            <w:vAlign w:val="bottom"/>
          </w:tcPr>
          <w:p>
            <w:pPr>
              <w:ind w:left="940"/>
              <w:spacing w:after="0"/>
              <w:rPr>
                <w:rFonts w:ascii="Arial" w:cs="Arial" w:eastAsia="Arial" w:hAnsi="Arial"/>
                <w:sz w:val="18"/>
                <w:szCs w:val="18"/>
                <w:color w:val="auto"/>
                <w:w w:val="88"/>
              </w:rPr>
            </w:pPr>
            <w:r>
              <w:rPr>
                <w:rFonts w:ascii="Arial" w:cs="Arial" w:eastAsia="Arial" w:hAnsi="Arial"/>
                <w:sz w:val="18"/>
                <w:szCs w:val="18"/>
                <w:color w:val="auto"/>
                <w:w w:val="88"/>
              </w:rPr>
              <w:t xml:space="preserve">Page </w:t>
            </w:r>
            <w:hyperlink w:anchor="page42">
              <w:r>
                <w:rPr>
                  <w:rFonts w:ascii="Arial" w:cs="Arial" w:eastAsia="Arial" w:hAnsi="Arial"/>
                  <w:sz w:val="18"/>
                  <w:szCs w:val="18"/>
                  <w:u w:val="single" w:color="auto"/>
                  <w:color w:val="0000FF"/>
                  <w:w w:val="88"/>
                </w:rPr>
                <w:t>43</w:t>
              </w:r>
              <w:r>
                <w:rPr>
                  <w:rFonts w:ascii="Arial" w:cs="Arial" w:eastAsia="Arial" w:hAnsi="Arial"/>
                  <w:sz w:val="18"/>
                  <w:szCs w:val="18"/>
                  <w:u w:val="single" w:color="auto"/>
                  <w:color w:val="auto"/>
                  <w:w w:val="88"/>
                </w:rPr>
                <w:t xml:space="preserve"> </w:t>
              </w:r>
            </w:hyperlink>
            <w:r>
              <w:rPr>
                <w:rFonts w:ascii="Arial" w:cs="Arial" w:eastAsia="Arial" w:hAnsi="Arial"/>
                <w:sz w:val="18"/>
                <w:szCs w:val="18"/>
                <w:color w:val="auto"/>
                <w:w w:val="88"/>
              </w:rPr>
              <w:t xml:space="preserve">through </w:t>
            </w:r>
            <w:hyperlink w:anchor="page60">
              <w:r>
                <w:rPr>
                  <w:rFonts w:ascii="Arial" w:cs="Arial" w:eastAsia="Arial" w:hAnsi="Arial"/>
                  <w:sz w:val="18"/>
                  <w:szCs w:val="18"/>
                  <w:u w:val="single" w:color="auto"/>
                  <w:color w:val="0000FF"/>
                  <w:w w:val="88"/>
                </w:rPr>
                <w:t>60</w:t>
              </w:r>
            </w:hyperlink>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891" w:right="7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Skyworks Solutions, Inc. and subsidiaries (the Company) as of October 2, 2020 and September 27, 2019, the related consolidated statements of operations, comprehensive income, cash flows, and stockholders’ equity for each of the years in the three-year period ended October 2, 2020, and the related notes (collectively, the consolidated financial statements). We also have audited the Company’s internal control over financial reporting as of October 2,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2, 2020 and September 27, 2019, and the results of its operations and its cash flows for each of the years in the three-year period ended October 2, 2020, in conformity with U.S. generally accepted accounting principles. Also in our opinion, the Company maintained, in all material respects, effective internal control over financial reporting as of October 2, 2020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in fiscal 2020 due to the adoption of the Financial Accounting Standards Board’s (FASB)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2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2"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ind w:right="220"/>
        <w:spacing w:after="0" w:line="250" w:lineRule="auto"/>
        <w:rPr>
          <w:sz w:val="20"/>
          <w:szCs w:val="20"/>
          <w:color w:val="auto"/>
        </w:rPr>
      </w:pPr>
      <w:r>
        <w:rPr>
          <w:rFonts w:ascii="Arial" w:cs="Arial" w:eastAsia="Arial" w:hAnsi="Arial"/>
          <w:sz w:val="18"/>
          <w:szCs w:val="18"/>
          <w:color w:val="auto"/>
        </w:rPr>
        <w:t>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00" w:firstLine="8"/>
        <w:spacing w:after="0" w:line="261"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Gross Unrecognized Tax Benefits</w:t>
      </w:r>
    </w:p>
    <w:p>
      <w:pPr>
        <w:spacing w:after="0" w:line="122"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color w:val="auto"/>
        </w:rPr>
        <w:t>As discussed in Notes 2 and 8 to the consolidated financial statements, the Company has recorded gross unrecognized tax benefits of $117.6 million in domestic and foreign jurisdictions as of October 2, 2020. The Company records unrecognized tax benefits when there is more than a 50% likelihood that its tax positions will not be sustained upon examination by the taxing authorities. This determination requires management of the Company to apply judgment in the interpretation of domestic and international tax laws and regulations.</w:t>
      </w:r>
    </w:p>
    <w:p>
      <w:pPr>
        <w:spacing w:after="0" w:line="82" w:lineRule="exact"/>
        <w:rPr>
          <w:sz w:val="20"/>
          <w:szCs w:val="20"/>
          <w:color w:val="auto"/>
        </w:rPr>
      </w:pPr>
    </w:p>
    <w:p>
      <w:pPr>
        <w:ind w:left="340" w:right="160"/>
        <w:spacing w:after="0" w:line="256" w:lineRule="auto"/>
        <w:rPr>
          <w:sz w:val="20"/>
          <w:szCs w:val="20"/>
          <w:color w:val="auto"/>
        </w:rPr>
      </w:pPr>
      <w:r>
        <w:rPr>
          <w:rFonts w:ascii="Arial" w:cs="Arial" w:eastAsia="Arial" w:hAnsi="Arial"/>
          <w:sz w:val="18"/>
          <w:szCs w:val="18"/>
          <w:color w:val="auto"/>
        </w:rPr>
        <w:t>We identified the assessment of the gross unrecognized tax benefits as a critical audit matter because of the high degree of auditor judgment involved in evaluating the Company’s interpretation of domestic and international tax laws and regulations, including the need to involve professionals with specialized skills and knowledge.</w:t>
      </w:r>
    </w:p>
    <w:p>
      <w:pPr>
        <w:spacing w:after="0" w:line="67" w:lineRule="exact"/>
        <w:rPr>
          <w:sz w:val="20"/>
          <w:szCs w:val="20"/>
          <w:color w:val="auto"/>
        </w:rPr>
      </w:pPr>
    </w:p>
    <w:p>
      <w:pPr>
        <w:ind w:left="340" w:right="42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unrecognized tax benefit process, including controls over the interpretation of domestic and international tax laws and regulations. We involved domestic and international tax professionals with specialized skills and knowledge, who assisted in:</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assessing the Company’s ongoing compliance with applicable domestic and international tax laws and regulations,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reading the Company’s documentation that provided the basis for its tax positions,</w:t>
      </w:r>
    </w:p>
    <w:p>
      <w:pPr>
        <w:spacing w:after="0" w:line="90" w:lineRule="exact"/>
        <w:rPr>
          <w:sz w:val="20"/>
          <w:szCs w:val="20"/>
          <w:color w:val="auto"/>
        </w:rPr>
      </w:pPr>
    </w:p>
    <w:p>
      <w:pPr>
        <w:ind w:left="980" w:hanging="324"/>
        <w:spacing w:after="0" w:line="261" w:lineRule="auto"/>
        <w:rPr>
          <w:sz w:val="20"/>
          <w:szCs w:val="20"/>
          <w:color w:val="auto"/>
        </w:rPr>
      </w:pPr>
      <w:r>
        <w:rPr>
          <w:rFonts w:ascii="Arial" w:cs="Arial" w:eastAsia="Arial" w:hAnsi="Arial"/>
          <w:sz w:val="18"/>
          <w:szCs w:val="18"/>
          <w:color w:val="auto"/>
        </w:rPr>
        <w:t>– evaluating the impact of changes in the Company’s tax structure, changes in domestic and international tax laws and regulations, and similar settlements with applicable taxing authorities, and</w:t>
      </w:r>
    </w:p>
    <w:p>
      <w:pPr>
        <w:spacing w:after="0" w:line="76" w:lineRule="exact"/>
        <w:rPr>
          <w:sz w:val="20"/>
          <w:szCs w:val="20"/>
          <w:color w:val="auto"/>
        </w:rPr>
      </w:pPr>
    </w:p>
    <w:p>
      <w:pPr>
        <w:ind w:left="980" w:right="120" w:hanging="324"/>
        <w:spacing w:after="0" w:line="261" w:lineRule="auto"/>
        <w:rPr>
          <w:sz w:val="20"/>
          <w:szCs w:val="20"/>
          <w:color w:val="auto"/>
        </w:rPr>
      </w:pPr>
      <w:r>
        <w:rPr>
          <w:rFonts w:ascii="Arial" w:cs="Arial" w:eastAsia="Arial" w:hAnsi="Arial"/>
          <w:sz w:val="18"/>
          <w:szCs w:val="18"/>
          <w:color w:val="auto"/>
        </w:rPr>
        <w:t>– evaluating the Company’s interpretation of domestic and international tax laws and regulations based on our understanding and interpretation of the domestic and international tax laws and regulations.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 KPMG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center"/>
        <w:ind w:right="-1099"/>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(In millions,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Fiscal Years Ended</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40" w:type="dxa"/>
            <w:vAlign w:val="bottom"/>
          </w:tcPr>
          <w:p>
            <w:pPr>
              <w:spacing w:after="0"/>
              <w:rPr>
                <w:sz w:val="11"/>
                <w:szCs w:val="11"/>
                <w:color w:val="auto"/>
              </w:rPr>
            </w:pPr>
          </w:p>
        </w:tc>
        <w:tc>
          <w:tcPr>
            <w:tcW w:w="114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6"/>
              </w:rPr>
              <w:t>September 28,</w:t>
            </w:r>
          </w:p>
        </w:tc>
        <w:tc>
          <w:tcPr>
            <w:tcW w:w="0" w:type="dxa"/>
            <w:vAlign w:val="bottom"/>
          </w:tcPr>
          <w:p>
            <w:pPr>
              <w:spacing w:after="0"/>
              <w:rPr>
                <w:sz w:val="1"/>
                <w:szCs w:val="1"/>
                <w:color w:val="auto"/>
              </w:rPr>
            </w:pPr>
          </w:p>
        </w:tc>
      </w:tr>
      <w:tr>
        <w:trPr>
          <w:trHeight w:val="188"/>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impairment, and other charges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Cash dividends declared and paid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40"/>
          </w:cols>
          <w:pgMar w:left="320" w:top="891" w:right="14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35"/>
        </w:trPr>
        <w:tc>
          <w:tcPr>
            <w:tcW w:w="6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2,</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80" w:type="dxa"/>
            <w:vAlign w:val="bottom"/>
          </w:tcPr>
          <w:p>
            <w:pPr>
              <w:spacing w:after="0"/>
              <w:rPr>
                <w:sz w:val="11"/>
                <w:szCs w:val="11"/>
                <w:color w:val="auto"/>
              </w:rPr>
            </w:pPr>
          </w:p>
        </w:tc>
        <w:tc>
          <w:tcPr>
            <w:tcW w:w="122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w w:val="98"/>
              </w:rPr>
              <w:t>September 28,</w:t>
            </w:r>
          </w:p>
        </w:tc>
      </w:tr>
      <w:tr>
        <w:trPr>
          <w:trHeight w:val="188"/>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investments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Pension adjustments</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918.1</w:t>
            </w:r>
          </w:p>
        </w:tc>
      </w:tr>
      <w:tr>
        <w:trPr>
          <w:trHeight w:val="21"/>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1"/>
                <w:szCs w:val="11"/>
                <w:color w:val="auto"/>
              </w:rPr>
            </w:pPr>
          </w:p>
        </w:tc>
        <w:tc>
          <w:tcPr>
            <w:tcW w:w="1300" w:type="dxa"/>
            <w:vAlign w:val="bottom"/>
          </w:tcPr>
          <w:p>
            <w:pPr>
              <w:jc w:val="right"/>
              <w:ind w:right="231"/>
              <w:spacing w:after="0" w:line="135"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 of allowance of $0.6 and $0.8, respectively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2,234.6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100" w:type="dxa"/>
            <w:vAlign w:val="bottom"/>
          </w:tcPr>
          <w:p>
            <w:pPr>
              <w:ind w:left="220"/>
              <w:spacing w:after="0" w:line="176" w:lineRule="exact"/>
              <w:rPr>
                <w:sz w:val="20"/>
                <w:szCs w:val="20"/>
                <w:color w:val="auto"/>
              </w:rPr>
            </w:pPr>
            <w:r>
              <w:rPr>
                <w:rFonts w:ascii="Arial" w:cs="Arial" w:eastAsia="Arial" w:hAnsi="Arial"/>
                <w:sz w:val="18"/>
                <w:szCs w:val="18"/>
                <w:color w:val="auto"/>
                <w:w w:val="90"/>
              </w:rPr>
              <w:t>Common stock, $0.25 par value: 525.0 shares authorized; 232.3 shares issued and 165.6 shares outstanding</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at October 2, 2020, and 230.2 shares issued and 170.1 shares outstanding at September 27, 2019</w:t>
            </w: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3,188.0</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Treasury stock, at cost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(3,412.9)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4,122.3</w:t>
            </w:r>
          </w:p>
        </w:tc>
        <w:tc>
          <w:tcPr>
            <w:tcW w:w="0" w:type="dxa"/>
            <w:vAlign w:val="bottom"/>
          </w:tcPr>
          <w:p>
            <w:pPr>
              <w:spacing w:after="0"/>
              <w:rPr>
                <w:sz w:val="1"/>
                <w:szCs w:val="1"/>
                <w:color w:val="auto"/>
              </w:rPr>
            </w:pP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300" w:type="dxa"/>
            <w:vAlign w:val="bottom"/>
          </w:tcPr>
          <w:p>
            <w:pPr>
              <w:jc w:val="right"/>
              <w:ind w:right="240"/>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8"/>
        </w:trPr>
        <w:tc>
          <w:tcPr>
            <w:tcW w:w="6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814.8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853.6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918.4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Amortization of intangible assets, including inventory step-up</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Asset impairment charges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Changes in fair value of contingent consideration</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648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and long-term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1,260.6</w:t>
            </w: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intangibles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(683.7)</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 of marketable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Payments for acquisitions, net of cash</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(404.0)</w:t>
            </w:r>
          </w:p>
        </w:tc>
        <w:tc>
          <w:tcPr>
            <w:tcW w:w="0" w:type="dxa"/>
            <w:vAlign w:val="bottom"/>
          </w:tcPr>
          <w:p>
            <w:pPr>
              <w:spacing w:after="0"/>
              <w:rPr>
                <w:sz w:val="1"/>
                <w:szCs w:val="1"/>
                <w:color w:val="auto"/>
              </w:rPr>
            </w:pPr>
          </w:p>
        </w:tc>
      </w:tr>
      <w:tr>
        <w:trPr>
          <w:trHeight w:val="213"/>
        </w:trPr>
        <w:tc>
          <w:tcPr>
            <w:tcW w:w="64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(1,150.4)</w:t>
            </w:r>
          </w:p>
        </w:tc>
        <w:tc>
          <w:tcPr>
            <w:tcW w:w="0" w:type="dxa"/>
            <w:vAlign w:val="bottom"/>
          </w:tcPr>
          <w:p>
            <w:pPr>
              <w:spacing w:after="0"/>
              <w:rPr>
                <w:sz w:val="1"/>
                <w:szCs w:val="1"/>
                <w:color w:val="auto"/>
              </w:rPr>
            </w:pPr>
          </w:p>
        </w:tc>
      </w:tr>
      <w:tr>
        <w:trPr>
          <w:trHeight w:val="193"/>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 - payroll tax withholdings on equity awards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Repurchase of common stock - stock repurchase program</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(759.5)</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proceeds from exercise of stock options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6"/>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(993.7)</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(883.5)</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Non-cash investing in capital expenditures, accrued but not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Par value of</w:t>
            </w:r>
          </w:p>
        </w:tc>
        <w:tc>
          <w:tcPr>
            <w:tcW w:w="9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3"/>
                <w:szCs w:val="13"/>
                <w:b w:val="1"/>
                <w:bCs w:val="1"/>
                <w:color w:val="auto"/>
              </w:rPr>
              <w:t>Shares of</w:t>
            </w:r>
          </w:p>
        </w:tc>
        <w:tc>
          <w:tcPr>
            <w:tcW w:w="10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w w:val="96"/>
              </w:rPr>
              <w:t>Value of treasury</w:t>
            </w:r>
          </w:p>
        </w:tc>
        <w:tc>
          <w:tcPr>
            <w:tcW w:w="108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Additional paid-</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30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Accumulated other</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5"/>
              </w:rPr>
              <w:t>comprehensive</w:t>
            </w:r>
          </w:p>
        </w:tc>
        <w:tc>
          <w:tcPr>
            <w:tcW w:w="120" w:type="dxa"/>
            <w:vAlign w:val="bottom"/>
          </w:tcPr>
          <w:p>
            <w:pPr>
              <w:spacing w:after="0"/>
              <w:rPr>
                <w:sz w:val="10"/>
                <w:szCs w:val="10"/>
                <w:color w:val="auto"/>
              </w:rPr>
            </w:pPr>
          </w:p>
        </w:tc>
        <w:tc>
          <w:tcPr>
            <w:tcW w:w="92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common stock</w:t>
            </w: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2"/>
              </w:rPr>
              <w:t>common stock</w:t>
            </w: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treasury stock</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188"/>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September 29, 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4,065.7</w:t>
            </w: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918.4</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rPr>
              <w:t>Exercise and settlement of share-based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awards, net of shares withheld for taxes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repurchase program</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(243.2)</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w w:val="98"/>
              </w:rPr>
              <w:t>Pre-combination service on replacement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awards</w:t>
            </w: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28,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(2,732.5)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3,061.0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3,732.9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4,097.0</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853.6</w:t>
            </w:r>
          </w:p>
        </w:tc>
        <w:tc>
          <w:tcPr>
            <w:tcW w:w="0" w:type="dxa"/>
            <w:vAlign w:val="bottom"/>
          </w:tcPr>
          <w:p>
            <w:pPr>
              <w:spacing w:after="0"/>
              <w:rPr>
                <w:sz w:val="1"/>
                <w:szCs w:val="1"/>
                <w:color w:val="auto"/>
              </w:rPr>
            </w:pPr>
          </w:p>
        </w:tc>
      </w:tr>
      <w:tr>
        <w:trPr>
          <w:trHeight w:val="125"/>
        </w:trPr>
        <w:tc>
          <w:tcPr>
            <w:tcW w:w="246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rPr>
              <w:t>Exercise and settlement of share-based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awards, net of shares withheld for taxes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repurchase program</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(657.6)</w:t>
            </w: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3"/>
                <w:szCs w:val="13"/>
                <w:color w:val="auto"/>
              </w:rPr>
              <w:t>Balance at September 27,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(3,412.9)</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3,188.0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4,312.6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4,122.3</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22"/>
        </w:trPr>
        <w:tc>
          <w:tcPr>
            <w:tcW w:w="2460" w:type="dxa"/>
            <w:vAlign w:val="bottom"/>
          </w:tcPr>
          <w:p>
            <w:pPr>
              <w:ind w:left="140"/>
              <w:spacing w:after="0" w:line="122" w:lineRule="exact"/>
              <w:rPr>
                <w:sz w:val="20"/>
                <w:szCs w:val="20"/>
                <w:color w:val="auto"/>
              </w:rPr>
            </w:pPr>
            <w:r>
              <w:rPr>
                <w:rFonts w:ascii="Arial" w:cs="Arial" w:eastAsia="Arial" w:hAnsi="Arial"/>
                <w:sz w:val="13"/>
                <w:szCs w:val="13"/>
                <w:color w:val="auto"/>
              </w:rPr>
              <w:t>Exercise and settlement of share-based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69"/>
        </w:trPr>
        <w:tc>
          <w:tcPr>
            <w:tcW w:w="2460" w:type="dxa"/>
            <w:vAlign w:val="bottom"/>
          </w:tcPr>
          <w:p>
            <w:pPr>
              <w:ind w:left="140"/>
              <w:spacing w:after="0"/>
              <w:rPr>
                <w:sz w:val="20"/>
                <w:szCs w:val="20"/>
                <w:color w:val="auto"/>
              </w:rPr>
            </w:pPr>
            <w:r>
              <w:rPr>
                <w:rFonts w:ascii="Arial" w:cs="Arial" w:eastAsia="Arial" w:hAnsi="Arial"/>
                <w:sz w:val="13"/>
                <w:szCs w:val="13"/>
                <w:color w:val="auto"/>
              </w:rPr>
              <w:t>awards, net of shares withheld for taxes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86"/>
        </w:trPr>
        <w:tc>
          <w:tcPr>
            <w:tcW w:w="2460" w:type="dxa"/>
            <w:vAlign w:val="bottom"/>
          </w:tcPr>
          <w:p>
            <w:pPr>
              <w:ind w:left="140"/>
              <w:spacing w:after="0"/>
              <w:rPr>
                <w:sz w:val="20"/>
                <w:szCs w:val="20"/>
                <w:color w:val="auto"/>
              </w:rPr>
            </w:pPr>
            <w:r>
              <w:rPr>
                <w:rFonts w:ascii="Arial" w:cs="Arial" w:eastAsia="Arial" w:hAnsi="Arial"/>
                <w:sz w:val="13"/>
                <w:szCs w:val="13"/>
                <w:color w:val="auto"/>
              </w:rPr>
              <w:t>Stock repurchase program</w:t>
            </w: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2,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Skyworks Solutions, Inc., together with its consolidated subsidiaries (“Skyworks” or the “Company”), is empowering the wireless networking revolution. The Company’s analog semiconductors are connecting people, places, and things, spanning a number of new applications within the aerospace, automotive, broadband, cellular infrastructure, connected home, entertainment and gaming, industrial, medical, military, smartphone, tablet, and wearable markets.</w:t>
      </w:r>
    </w:p>
    <w:p>
      <w:pPr>
        <w:spacing w:after="0" w:line="172"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 Skyworks subsidiaries are included in the Company’s consolidated financial statements and all intercompany balances are eliminated in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fiscal years 2019 and 2018 financial statements have been reclassified to conform to the fiscal 2020 presentation.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fiscal year ends on the Friday closest to September 30. Fiscal 2020 consisted of 53 weeks and ended on October 2, 2020. Fiscal 2019 and 2018 each consisted of 52 weeks and ended on September 27, 2019 and September 28,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of assets, liabilities, revenue, expenses, comprehensive income and accumulated other comprehensive loss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loss contingencies, and income taxes. In addition,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invests excess cash in time deposits, certificate of deposits, money market funds, U.S. Treasury securities, agency securities, other government securities, corporate debt securities and commercial paper. The Company considers highly liquid investments as cash equivalents including money market funds and investments with maturities of 90 days or less when purchased.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 current investments. Available-for-sale debt securities with an original maturity date exceeding one year are classified as long-term.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spacing w:after="0" w:line="214" w:lineRule="exact"/>
        <w:rPr>
          <w:sz w:val="20"/>
          <w:szCs w:val="20"/>
          <w:color w:val="auto"/>
        </w:rPr>
      </w:pPr>
    </w:p>
    <w:p>
      <w:pPr>
        <w:ind w:left="5540" w:right="5120" w:hanging="5208"/>
        <w:spacing w:after="0" w:line="976" w:lineRule="auto"/>
        <w:tabs>
          <w:tab w:leader="none" w:pos="8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ind w:left="820" w:right="20" w:hanging="488"/>
        <w:spacing w:after="0" w:line="263"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21"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Fair value is derived from valuation techniques in which one or more significant inputs are unobservable, including assumptions and judgments made by the Company.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cash and cash equivalents, accounts receivable, other current assets, accounts payable and accrued liabilities approximates fair value due to the short-term maturities of these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is calculated using the straight-line method over the estimated useful lives, which range from five to thirty years for buildings and improvements and three to ten years for machinery and equipment. Leasehold improvements are depreciated over the lesser of the economic life or the life of the associated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determines if an arrangement is a lease at its inception. Right-of-use (“ROU”)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Lease expense for these leases is recognized on a straight-line basis over the lease term. The Company has elected not to recognize ROU assets and lease liabilities that arise from short-term (12 months or less) leases for any class of underlying asset. Operating leases are included in operating lease ROU assets, other current liabilities, and long-term operating lease liabilities in the Company's condensed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Definite lived intangible assets are carried at cost less accumulated amortization. Amortization is calculated based on the pattern of benefit to be recognized from the underlying asset over its estimated useful life. Carrying values for long-lived assets 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FASB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 net revenue excluding taxes collected on its sales to trade customers.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342" w:lineRule="auto"/>
        <w:rPr>
          <w:sz w:val="20"/>
          <w:szCs w:val="20"/>
          <w:color w:val="auto"/>
        </w:rPr>
      </w:pPr>
      <w:r>
        <w:rPr>
          <w:rFonts w:ascii="Arial" w:cs="Arial" w:eastAsia="Arial" w:hAnsi="Arial"/>
          <w:sz w:val="16"/>
          <w:szCs w:val="16"/>
          <w:color w:val="auto"/>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share-based payment awards is amortized over the requisite service period, which is defined as the period during which an employee is required to provide service in exchange for an award. The Company uses a straight-line attribution method for all grants that include only a service condition. Awards with both performance and service conditions are expensed over the service period for each separately vesting tranche.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recognized during the period includes actual expense on vested awards and expense associated with unvested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recorded as incurred.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share-based option awards based on the Company’s closing stock price on the date of grant using a Black-Scholes options pricing model. Under the Black-Scholes model, a number of variables are used including, but not limited to: the expected stock price volatility over the term of the award, the risk-free rate, the expected life of the award and dividend yield. The determination of fair value of restricted and certain performance stock awards and units is based on the value of the Company’s stock on the date of grant with performance awards and units adjusted for the actual outcome of the underlying performance condition.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complex performance awards including units with market-based performance conditions the Company employs a Monte Carlo simulation valuation method to calculate the fair value of the awards based on the most likely outcome. Under the Monte Carlo simulation, a number of variables and assumptions are used including, but not limited to: the expected stock price volatility over the term of the award, a correlation coefficient, the risk-free rate, and dividend yield.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Material loss contingencies are disclosed if there is at least a reasonable possibility that a loss or an additional loss may have been incurred and include estimated legal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liability for post-employment benefits is recorded when payment is probable and the amount is reasonably estimable. Contract exit costs include contract termination fees and future contractual commitments for lease payments. A liability for contract exit costs is recognized in the period in which the Company terminates the contract or on the cease-use date for leased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functional currency is the United States dollar. Gains and losses related to foreign currency transactions and conversion of foreign denominated cash balances are included in current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determination of recording or releasing tax valuation allowances is made, in part, pursuant to an assessment performed by management regarding the likelihood that the Company will generate future taxable income against which benefits of its deferred tax assets may or may not be realized. This assessment requires management to exercise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Basic earnings per share are computed using the weighted average number of common shares outstanding during the period. Diluted earnings per share incorporate the potentially dilutive incremental shares issuable upon the assumed exercise of stock options, the assumed vesting of outstanding restricted stock units, and the assumed issuance of common stock under the stock purchase plan using the treasury share method. Shares issuable upon the vesting of performance stock awards are likewise included in the calculation of diluted earnings per share as of the date the condition(s) have been satisfied.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2016, the FASB issued Accounting Standards Update (“ASU”) 2016-02, Leases (Topic 842) (“ASU 2016-02”). This ASU requires lessees to reflect leases with a term greater than one year on their balance sheet as assets and obligations. The Company adopted the standard in the first quarter of fiscal 2020, using the modified retrospective approach, whereby the Company was not required to adjust comparative period financial statements for the new standard. Upon adoption, the Company recorded an ROU asset of $141.4 million and a lease liability of $143.1 million. This standard did not have a material impact on the Consolidated Statement of Operations or Consolidated Statement of Cash Flows.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adoption, the Company elected the package of three practical expedients that permits the Company to maintain its historical conclusions about lease identification, lease classification and initial direct costs for leases that exist at the date of adoption. Further, the Company elected the practical expedient to not separate lease and non-lease components.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MARKETABLE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portfolio of available-for-sale marketable securities consists of the following (in millions):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Current</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Noncurrent</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w:t>
            </w: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w:t>
            </w:r>
          </w:p>
        </w:tc>
        <w:tc>
          <w:tcPr>
            <w:tcW w:w="12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government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Corporate bonds and notes</w:t>
            </w:r>
          </w:p>
        </w:tc>
        <w:tc>
          <w:tcPr>
            <w:tcW w:w="160" w:type="dxa"/>
            <w:vAlign w:val="bottom"/>
          </w:tcPr>
          <w:p>
            <w:pPr>
              <w:spacing w:after="0"/>
              <w:rPr>
                <w:sz w:val="23"/>
                <w:szCs w:val="23"/>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408.1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2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The contractual maturities of noncurrent available-for-sale marketable securities were due within two years or less. There were gross unrealized gains of $0.3 million on U.S. Treasury securities and $0.2 million on corporate bonds and notes as of October 2, 2020, and $0.1 million in gross unrealized losses on municipal bonds as of September 27, 2019.</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and Recorded at Fair Value on a Recurring Basis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measures certain assets and liabilities at fair value on a recurring basis such as its financial instruments. There have been no transfers between Level 1, 2 or 3 assets or liabilities during the fiscal year ended October 2,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recorded at fair value on a recurring basis consisted of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October 2, 2020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27, 2019</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7"/>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center"/>
              <w:ind w:right="61"/>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center"/>
              <w:ind w:right="21"/>
              <w:spacing w:after="0"/>
              <w:rPr>
                <w:sz w:val="20"/>
                <w:szCs w:val="20"/>
                <w:color w:val="auto"/>
              </w:rPr>
            </w:pPr>
            <w:r>
              <w:rPr>
                <w:rFonts w:ascii="Arial" w:cs="Arial" w:eastAsia="Arial" w:hAnsi="Arial"/>
                <w:sz w:val="14"/>
                <w:szCs w:val="14"/>
                <w:b w:val="1"/>
                <w:bCs w:val="1"/>
                <w:color w:val="auto"/>
                <w:w w:val="93"/>
              </w:rPr>
              <w:t>Fair Value Measurements</w:t>
            </w:r>
          </w:p>
        </w:tc>
      </w:tr>
      <w:tr>
        <w:trPr>
          <w:trHeight w:val="181"/>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12"/>
        </w:trPr>
        <w:tc>
          <w:tcPr>
            <w:tcW w:w="35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U.S. Treasury and government securities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 and notes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Municipal bonds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r>
      <w:tr>
        <w:trPr>
          <w:trHeight w:val="233"/>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20" w:firstLine="8"/>
        <w:spacing w:after="0" w:line="277" w:lineRule="auto"/>
        <w:tabs>
          <w:tab w:leader="none" w:pos="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equivalents included in Levels 1 and 2 consist of money market funds and corporate bonds and notes, commercial paper, and agency securities purchased with less than ninety days until maturity.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fiscal 2020, the Company abandoned a previously capitalized IPR&amp;D project and recorded an impairment charge of $9.8 million.</w:t>
      </w:r>
    </w:p>
    <w:p>
      <w:pPr>
        <w:spacing w:after="0" w:line="21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INVENTORY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r>
      <w:tr>
        <w:trPr>
          <w:trHeight w:val="134"/>
        </w:trPr>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1"/>
                <w:szCs w:val="11"/>
                <w:color w:val="auto"/>
              </w:rPr>
            </w:pPr>
          </w:p>
        </w:tc>
        <w:tc>
          <w:tcPr>
            <w:tcW w:w="130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September 27,</w:t>
            </w:r>
          </w:p>
        </w:tc>
      </w:tr>
      <w:tr>
        <w:trPr>
          <w:trHeight w:val="188"/>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 held on consignment by customers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consists of the following (in millions):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r>
      <w:tr>
        <w:trPr>
          <w:trHeight w:val="134"/>
        </w:trPr>
        <w:tc>
          <w:tcPr>
            <w:tcW w:w="8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Pr>
          <w:p>
            <w:pPr>
              <w:spacing w:after="0"/>
              <w:rPr>
                <w:sz w:val="11"/>
                <w:szCs w:val="11"/>
                <w:color w:val="auto"/>
              </w:rPr>
            </w:pPr>
          </w:p>
        </w:tc>
        <w:tc>
          <w:tcPr>
            <w:tcW w:w="1300" w:type="dxa"/>
            <w:vAlign w:val="bottom"/>
          </w:tcPr>
          <w:p>
            <w:pPr>
              <w:jc w:val="right"/>
              <w:ind w:right="234"/>
              <w:spacing w:after="0" w:line="135" w:lineRule="exact"/>
              <w:rPr>
                <w:sz w:val="20"/>
                <w:szCs w:val="20"/>
                <w:color w:val="auto"/>
              </w:rPr>
            </w:pPr>
            <w:r>
              <w:rPr>
                <w:rFonts w:ascii="Arial" w:cs="Arial" w:eastAsia="Arial" w:hAnsi="Arial"/>
                <w:sz w:val="14"/>
                <w:szCs w:val="14"/>
                <w:b w:val="1"/>
                <w:bCs w:val="1"/>
                <w:color w:val="auto"/>
              </w:rPr>
              <w:t>September 27,</w:t>
            </w: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4"/>
        </w:trPr>
        <w:tc>
          <w:tcPr>
            <w:tcW w:w="8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Land 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100" w:type="dxa"/>
            <w:vAlign w:val="bottom"/>
          </w:tcPr>
          <w:p>
            <w:pPr>
              <w:ind w:left="6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354.4</w:t>
            </w:r>
          </w:p>
        </w:tc>
      </w:tr>
      <w:tr>
        <w:trPr>
          <w:trHeight w:val="230"/>
        </w:trPr>
        <w:tc>
          <w:tcPr>
            <w:tcW w:w="8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8100" w:type="dxa"/>
            <w:vAlign w:val="bottom"/>
          </w:tcPr>
          <w:p>
            <w:pPr>
              <w:ind w:left="6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2,311.5</w:t>
            </w:r>
          </w:p>
        </w:tc>
      </w:tr>
      <w:tr>
        <w:trPr>
          <w:trHeight w:val="230"/>
        </w:trPr>
        <w:tc>
          <w:tcPr>
            <w:tcW w:w="8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property, plant, and equipment, gross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2,883.9</w:t>
            </w:r>
          </w:p>
        </w:tc>
      </w:tr>
      <w:tr>
        <w:trPr>
          <w:trHeight w:val="230"/>
        </w:trPr>
        <w:tc>
          <w:tcPr>
            <w:tcW w:w="8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(1,678.3)</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w:t>
            </w:r>
          </w:p>
        </w:tc>
      </w:tr>
      <w:tr>
        <w:trPr>
          <w:trHeight w:val="21"/>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goodwill balance was $1,189.8 million as of October 2, 2020, and September 27, 2019. The Company performed an impairment test of its goodwill as of the first day of the fourth fiscal quarter in accordance with its regularly scheduled testing. The results of this test indicated that the Company’s goodwill was not impaired. There were no other indicators of impairment noted during the fiscal year ended October 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2, 2020</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27, 2019</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24"/>
                <w:szCs w:val="24"/>
                <w:color w:val="auto"/>
              </w:rPr>
            </w:pPr>
          </w:p>
        </w:tc>
        <w:tc>
          <w:tcPr>
            <w:tcW w:w="96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carrying</w:t>
            </w:r>
          </w:p>
        </w:tc>
        <w:tc>
          <w:tcPr>
            <w:tcW w:w="200" w:type="dxa"/>
            <w:vAlign w:val="bottom"/>
          </w:tcPr>
          <w:p>
            <w:pPr>
              <w:spacing w:after="0"/>
              <w:rPr>
                <w:sz w:val="11"/>
                <w:szCs w:val="11"/>
                <w:color w:val="auto"/>
              </w:rPr>
            </w:pPr>
          </w:p>
        </w:tc>
        <w:tc>
          <w:tcPr>
            <w:tcW w:w="96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(years)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Developed technology and other</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(48.9)</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Technology licenses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IPR&amp;D</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7"/>
        </w:trPr>
        <w:tc>
          <w:tcPr>
            <w:tcW w:w="2600" w:type="dxa"/>
            <w:vAlign w:val="bottom"/>
          </w:tcPr>
          <w:p>
            <w:pPr>
              <w:ind w:left="220"/>
              <w:spacing w:after="0"/>
              <w:rPr>
                <w:sz w:val="20"/>
                <w:szCs w:val="20"/>
                <w:color w:val="auto"/>
              </w:rPr>
            </w:pPr>
            <w:r>
              <w:rPr>
                <w:rFonts w:ascii="Arial" w:cs="Arial" w:eastAsia="Arial" w:hAnsi="Arial"/>
                <w:sz w:val="16"/>
                <w:szCs w:val="16"/>
                <w:color w:val="auto"/>
              </w:rPr>
              <w:t>Total intangible assets</w:t>
            </w:r>
          </w:p>
        </w:tc>
        <w:tc>
          <w:tcPr>
            <w:tcW w:w="1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(74.5)</w:t>
            </w: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Fully amortized intangible assets are eliminated from both the gross and accumulated amortization amounts in the first quarter of each fiscal year. Accrued technology licenses payable of $11.5 million and $20.1 million have been included in other current liabilities within the consolidated balance sheets as of October 2, 2020, and September 27, 2019, respectively.</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amortization expense for the next five fiscal years related to definite-lived intangible assets, excluding IPR&amp;D, is expected to be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 cost of goods sold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 operating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 components (in millions):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October 2,</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3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consists of the following components(in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October 2,</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3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tax expense (benefit):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6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Deferred tax expense (benefit):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4"/>
        </w:trPr>
        <w:tc>
          <w:tcPr>
            <w:tcW w:w="6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30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6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expense at United States statutory rate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Foreign tax rate difference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on deemed repatriation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29"/>
        </w:trPr>
        <w:tc>
          <w:tcPr>
            <w:tcW w:w="6440" w:type="dxa"/>
            <w:vAlign w:val="bottom"/>
          </w:tcPr>
          <w:p>
            <w:pPr>
              <w:ind w:left="60"/>
              <w:spacing w:after="0"/>
              <w:rPr>
                <w:sz w:val="20"/>
                <w:szCs w:val="20"/>
                <w:color w:val="auto"/>
              </w:rPr>
            </w:pPr>
            <w:r>
              <w:rPr>
                <w:rFonts w:ascii="Arial" w:cs="Arial" w:eastAsia="Arial" w:hAnsi="Arial"/>
                <w:sz w:val="18"/>
                <w:szCs w:val="18"/>
                <w:color w:val="auto"/>
              </w:rPr>
              <w:t>Effect of stock compensation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of tax rate on deferred taxes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Research and development credits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in tax reserve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440" w:type="dxa"/>
            <w:vAlign w:val="bottom"/>
          </w:tcPr>
          <w:p>
            <w:pPr>
              <w:ind w:left="60"/>
              <w:spacing w:after="0"/>
              <w:rPr>
                <w:sz w:val="20"/>
                <w:szCs w:val="20"/>
                <w:color w:val="auto"/>
              </w:rPr>
            </w:pPr>
            <w:r>
              <w:rPr>
                <w:rFonts w:ascii="Arial" w:cs="Arial" w:eastAsia="Arial" w:hAnsi="Arial"/>
                <w:sz w:val="18"/>
                <w:szCs w:val="18"/>
                <w:color w:val="auto"/>
              </w:rPr>
              <w:t>Domestic production activities deduction</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Foreign Derived Intangible Income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in foreign jurisdictions with income tax rates lower than the United States tax rate of 21.0% for the fiscal years ended October 2, 2020, and September 27, 2019. The Company’s tax benefits related to foreign earnings taxed at a rate less than the United States federal rate were $86.6 million and $115.3 million for the fiscal years ended October 2, 2020, and September 27, 2019, respectively.</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Tax Reform Act includes, among other things, a reduction of the United States corporate tax rate from 35.0% to 21.0%, a mandatory deemed repatriation tax on foreign earnings, repeal of the corporate alternative minimum tax and the domestic production activities deduction, and expensing of certain capital investments. The law makes fundamental changes to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6"/>
          <w:szCs w:val="16"/>
          <w:color w:val="auto"/>
        </w:rPr>
        <w:t>taxation of multinational entities, including a shift from worldwide taxation with deferral to a hybrid territorial system, featuring a participation exemption regime, a minimum tax on low-taxed foreign earnings, and new measures to deter base erosion and promote export from the United States. As a result of this legislation, during fiscal 2018 the Company recognized a one-time transition tax related to the deemed repatriation of foreign earnings of $224.6 million and a charge related to the revaluation of its deferred tax assets at the new corporate tax rate of $18.3 million. During fiscal 2020 and fiscal 2019, the Company recorded discrete income tax expense adjustments of $0.2 million and $8.1 million, respectively, to the prior year provisional estimates. The Company had accrued $18.6 million and $177.0 million of the deemed repatriation tax in short-term and long-term liabilities within the consolidated balance sheet, respectively, as of October 2, 2020. The Company had accrued $18.8 million and $195.9 million of the deemed repatriation tax in short-term and long-term liabilities within the consolidated balance sheet, respectively, as of September 27, 2019.</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introduction of a modified territorial tax system, the Tax Reform Act includes new sets of provisions aimed at preventing or decreasing U.S. tax base erosion: the GILTI provisions, the base erosion and anti-abuse tax (“BEAT”) provisions, and the FDII provisions. The GILTI provisions impose a tax on foreign income in excess of a deemed return on tangible assets of foreign corporations. The Company has made an accounting policy election to account for taxes due on GILTI inclusions as a component of current-period tax expense. The BEAT provisions eliminate the deduction of certain base-erosion payments made to related foreign corporations and impose a minimum tax if greater than regular tax. The FDII provisions allow a U.S. corporation an immediate deduction for a portion of its FDII. The amount of the deduction will depend in part on the Company’s U.S. taxable income. The GILTI and FDII provisions became effective for the Company in fiscal 2019 and resulted in a $54.3 million tax expense and a $41.5 million tax benefit, respectively. In fiscal 2020, the GILTI and FDII provisions resulted in $35.9 million tax expense and $41.2 million tax benefit, respectively. The Company has analyzed the BEAT provisions for fiscal 2020, 2019, and 2018, and has determined that it is not subject to the minimum tax imposed by the BEAT provisions.</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federal income tax returns for fiscal 2015, fiscal 2016, fiscal 2018, and fiscal 2019 are currently under IRS examination. During the year ended September 27, 2019, the Company effectively settled a portion of this IRS examination. As a result, the Company accrued a tax payable of $3.8 million, including interest.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 2010, the Company expanded its presence in Asia by launching operations in Singapore. The Company operates under a tax holiday in Singapore, which is effective through September 30, 2030. The current tax holiday is conditioned upon the Company’s compliance with certain employment and investment thresholds in Singapore. The impact of the tax holiday decreased Singapore’s taxes by $63.1 million, $32.8 million, and $38.4 million for the fiscal years ended October 2, 2020, September 27, 2019, and September 28, 2018, respectively, which resulted in tax benefits of $0.37, $0.19, and $0.21 of diluted earnings per share,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consist of the tax effects of temporary differences related to the following (in millions):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Fiscal Years Ended</w:t>
            </w:r>
          </w:p>
        </w:tc>
      </w:tr>
      <w:tr>
        <w:trPr>
          <w:trHeight w:val="135"/>
        </w:trPr>
        <w:tc>
          <w:tcPr>
            <w:tcW w:w="8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1"/>
                <w:szCs w:val="11"/>
                <w:color w:val="auto"/>
              </w:rPr>
            </w:pPr>
          </w:p>
        </w:tc>
        <w:tc>
          <w:tcPr>
            <w:tcW w:w="130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September 27,</w:t>
            </w: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7"/>
        </w:trPr>
        <w:tc>
          <w:tcPr>
            <w:tcW w:w="810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returns, allowances, and warranty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and other deferred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Net operating loss carry forwards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Non-United States tax credits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State tax credits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Prepaid insurance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net deferred tax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GAAP, management has determined that it is more likely than not that a portion of the Company's historic and current year income tax benefits will not be realized. As of October 2, 2020, the Company has a valuation allowance of $137.4 million. This valuation allowance is comprised of $118.8 million related to United States state tax credits and $18.6 million related to foreign deferred tax assets. The Company does not anticipate sufficient taxable income or tax liability to utilize these state and foreign credits. If these benefits are recognized in a future period, the valuation allowance on deferred tax assets will be reversed and up to a $137.4 million income tax benefit may be recognized. The Company will need to generate $124.1 million of future United States federal taxable income to utilize its United States deferred tax assets as of October 2, 2020.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$8.3 million and $10.5 million in fiscal 2020 and fiscal 2019, respectively, primarily related to increases for foreign and state net operating loss and tax credit carryovers.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2, 2020, the Company has United States federal net operating loss carry forwards of approximately $8.1 million. The utilization of these net operating losses is subject to certain annual limitations as required under Internal Revenue Code section 382 and similar state income tax provisions. The United States federal net operating loss carry forwards expire at various dates through 2035. The Company also has state income tax credit carry forwards of $115.4 million, net of federal benefits, for which the Company has provided a valuation allowance. The state tax credits relate primarily to California research tax credits that can be carried forward indefinitely.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millions):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Unrecognized tax</w:t>
            </w:r>
          </w:p>
        </w:tc>
      </w:tr>
      <w:tr>
        <w:trPr>
          <w:trHeight w:val="188"/>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benefits</w:t>
            </w:r>
          </w:p>
        </w:tc>
      </w:tr>
      <w:tr>
        <w:trPr>
          <w:trHeight w:val="224"/>
        </w:trPr>
        <w:tc>
          <w:tcPr>
            <w:tcW w:w="9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September 27,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29"/>
        </w:trPr>
        <w:tc>
          <w:tcPr>
            <w:tcW w:w="9720" w:type="dxa"/>
            <w:vAlign w:val="bottom"/>
          </w:tcPr>
          <w:p>
            <w:pPr>
              <w:ind w:left="180"/>
              <w:spacing w:after="0"/>
              <w:rPr>
                <w:sz w:val="20"/>
                <w:szCs w:val="20"/>
                <w:color w:val="auto"/>
              </w:rPr>
            </w:pPr>
            <w:r>
              <w:rPr>
                <w:rFonts w:ascii="Arial" w:cs="Arial" w:eastAsia="Arial" w:hAnsi="Arial"/>
                <w:sz w:val="18"/>
                <w:szCs w:val="18"/>
                <w:color w:val="auto"/>
              </w:rPr>
              <w:t>Increases based on positions related to prior years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based on positions related to prior years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720" w:type="dxa"/>
            <w:vAlign w:val="bottom"/>
          </w:tcPr>
          <w:p>
            <w:pPr>
              <w:ind w:left="180"/>
              <w:spacing w:after="0"/>
              <w:rPr>
                <w:sz w:val="20"/>
                <w:szCs w:val="20"/>
                <w:color w:val="auto"/>
              </w:rPr>
            </w:pPr>
            <w:r>
              <w:rPr>
                <w:rFonts w:ascii="Arial" w:cs="Arial" w:eastAsia="Arial" w:hAnsi="Arial"/>
                <w:sz w:val="18"/>
                <w:szCs w:val="18"/>
                <w:color w:val="auto"/>
              </w:rPr>
              <w:t>Increases based on positions related to current year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relating to settlements with taxing authorities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Decreases relating to lapses of applicable statutes of limitations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9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at October 2,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total unrecognized tax benefits at October 2, 2020, $95.3 million would impact the effective tax rate, if recognized. The remaining unrecognized tax benefits would not impact the effective tax rate, if recognized, due to the Company’s valuation allowance and certain positions that were required to be capitalized.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anticipates reversals within the next 12 months related to items such as the lapse of the statute of limitations, audit closures, and other items that occur in the normal course of business. Due to open examinations, an estimate of anticipated reversals within the next 12 months cannot be made. During the fiscal years 2020, 2019, and 2018, the Company recognized $4.6 million, $6.0 million, and $4.1 million, respectively, of interest or penalties related to unrecognized tax benefits. Accrued interest and penalties of $16.1 million and $12.7 million related to uncertain tax positions have been included in long-term tax liabilities within the consolidated balance sheet as of October 2, 2020, and September 27, 2019, respectively.</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major tax jurisdictions as of October 2, 2020, are the United States, California, Canada, Mexico, Japan, and Singapore. For the United States, the Company has open tax years dating back to fiscal 2001 due to the carry forward of tax attributes. For California, the Company has open tax years dating back to fiscal 1999 due to the carry forward of tax attributes. For Canada, the Company has open tax years dating back to fiscal 2013. For Mexico, the Company has open tax years back to fiscal 2014. For Japan, the Company has open tax years back to fiscal 2014. For Singapore, the Company has open tax years dating back to fiscal 2014. The Company is subject to audit examinations by the respective taxing authorities on a periodic basis, of which the results could impact its financial position, results of operations or cash flows.</w:t>
      </w:r>
    </w:p>
    <w:p>
      <w:pPr>
        <w:spacing w:after="0" w:line="201"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October 2, 2020, the Company is authorized to issue 525.0 million shares of common stock, par value $0.25 per share, of which 232.3 million shares are issued and 165.6 million shares are outstanding.</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October 2, 2020, the Company had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30, 2019, the Board of Directors approved a stock repurchase program, pursuant to which the Company is authorized to repurchase up to $2.0 billion of its common stock from time to time prior to January 30, 2021, on the open market or in privately negotiated transactions as permitted by securities laws and other legal requirements. This authorized stock repurchase program replaced in its entirety the January 31, 2018, stock repurchase program. The timing and amount of any shares of the Company’s common stock that are repurchased under the repurchase program are determined by the Company’s management based on its evaluation of market conditions and other factors.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fiscal year ended October 2, 2020, the Company paid approximately $647.5 million (including commissions) in connection with the repurchase of 6.3 million shares of its common stock (paying an average price of $102.74 per share) under the January 30, 2019, stock repurchase plan. As of October 2, 2020, $978.8 million remained available under the January 30, 2019, stock repurchase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ended September 27, 2019, the Company paid approximately $657.6 million (including commissions) in connection with the repurchase of 8.9 million shares of its common stock (paying an average price of $74.26 per share). During the fiscal year ended September 28, 2018, the Company paid approximately $759.5 million (including commissions) in connection with the repurchase of 7.7 million shares of its common stock (paying an average price of $98.84 per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 2020, the Company announced that the Board of Directors had declared a cash dividend on the Company’s common stock of $0.50 per share. This dividend is payable on December 10, 2020, to the Company’s stockholders of record as of the close of business on November 19, 2020. Future dividends are subject to declaration by the Board of Directors. The dividends charged to retained earnings in fiscal 2020 and 2019 were as follows (in millions except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Fiscal Years Ended</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34"/>
        </w:trPr>
        <w:tc>
          <w:tcPr>
            <w:tcW w:w="6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October 2,</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ind w:left="540"/>
              <w:spacing w:after="0" w:line="135" w:lineRule="exact"/>
              <w:rPr>
                <w:sz w:val="20"/>
                <w:szCs w:val="20"/>
                <w:color w:val="auto"/>
              </w:rPr>
            </w:pPr>
            <w:r>
              <w:rPr>
                <w:rFonts w:ascii="Arial" w:cs="Arial" w:eastAsia="Arial" w:hAnsi="Arial"/>
                <w:sz w:val="14"/>
                <w:szCs w:val="14"/>
                <w:b w:val="1"/>
                <w:bCs w:val="1"/>
                <w:color w:val="auto"/>
                <w:w w:val="89"/>
              </w:rPr>
              <w:t>September 27,</w:t>
            </w:r>
          </w:p>
        </w:tc>
        <w:tc>
          <w:tcPr>
            <w:tcW w:w="700" w:type="dxa"/>
            <w:vAlign w:val="bottom"/>
          </w:tcPr>
          <w:p>
            <w:pPr>
              <w:spacing w:after="0"/>
              <w:rPr>
                <w:sz w:val="11"/>
                <w:szCs w:val="11"/>
                <w:color w:val="auto"/>
              </w:rPr>
            </w:pPr>
          </w:p>
        </w:tc>
      </w:t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5"/>
                <w:szCs w:val="15"/>
                <w:color w:val="auto"/>
              </w:rPr>
            </w:pPr>
          </w:p>
        </w:tc>
        <w:tc>
          <w:tcPr>
            <w:tcW w:w="700" w:type="dxa"/>
            <w:vAlign w:val="bottom"/>
          </w:tcPr>
          <w:p>
            <w:pPr>
              <w:jc w:val="right"/>
              <w:ind w:right="293"/>
              <w:spacing w:after="0"/>
              <w:rPr>
                <w:sz w:val="20"/>
                <w:szCs w:val="20"/>
                <w:color w:val="auto"/>
              </w:rPr>
            </w:pPr>
            <w:r>
              <w:rPr>
                <w:rFonts w:ascii="Arial" w:cs="Arial" w:eastAsia="Arial" w:hAnsi="Arial"/>
                <w:sz w:val="14"/>
                <w:szCs w:val="14"/>
                <w:b w:val="1"/>
                <w:bCs w:val="1"/>
                <w:color w:val="auto"/>
                <w:w w:val="89"/>
              </w:rPr>
              <w:t>Total</w:t>
            </w:r>
          </w:p>
        </w:tc>
      </w:tr>
      <w:tr>
        <w:trPr>
          <w:trHeight w:val="224"/>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0.38</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0.44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48"/>
        </w:trPr>
        <w:tc>
          <w:tcPr>
            <w:tcW w:w="6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Benefit Plans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2, 2020, the Company has the following equity compensation plans under which its equity securities were authorized for issuance to its employees and/or directors:</w:t>
      </w:r>
    </w:p>
    <w:p>
      <w:pPr>
        <w:spacing w:after="0" w:line="251"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49"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2015 Long-Term Incentive Plan</w:t>
      </w:r>
    </w:p>
    <w:p>
      <w:pPr>
        <w:spacing w:after="0" w:line="3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for the Non-Qualified Employee Stock Purchase Plan, each of the foregoing equity compensation plans was approved by the Company’s stockholders.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 2020, a total of 65.2 million shares are authorized for grant under the Company’s share-based compensation plans, with 0.4 million options outstanding. The number of common shares reserved for future awards to employees and directors under these plans was 11.0 million at October 2, 2020. The Company currently grants new equity awards to employees under the 2015 Long-Term Incentive Plan and to non-employee directors under the 2008 Director Long-Term Incentive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7"/>
          <w:szCs w:val="17"/>
          <w:i w:val="1"/>
          <w:iCs w:val="1"/>
          <w:color w:val="auto"/>
        </w:rPr>
        <w:t xml:space="preserve">2015 Long-Term Incentive Plan. </w:t>
      </w:r>
      <w:r>
        <w:rPr>
          <w:rFonts w:ascii="Arial" w:cs="Arial" w:eastAsia="Arial" w:hAnsi="Arial"/>
          <w:sz w:val="17"/>
          <w:szCs w:val="17"/>
          <w:color w:val="auto"/>
        </w:rPr>
        <w:t>Under this plan, officers, employees, and certain consultants may be granted stock options, restricted stock awards and</w:t>
      </w:r>
      <w:r>
        <w:rPr>
          <w:rFonts w:ascii="Arial" w:cs="Arial" w:eastAsia="Arial" w:hAnsi="Arial"/>
          <w:sz w:val="17"/>
          <w:szCs w:val="17"/>
          <w:i w:val="1"/>
          <w:iCs w:val="1"/>
          <w:color w:val="auto"/>
        </w:rPr>
        <w:t xml:space="preserve"> </w:t>
      </w:r>
      <w:r>
        <w:rPr>
          <w:rFonts w:ascii="Arial" w:cs="Arial" w:eastAsia="Arial" w:hAnsi="Arial"/>
          <w:sz w:val="17"/>
          <w:szCs w:val="17"/>
          <w:color w:val="auto"/>
        </w:rPr>
        <w:t>units, performance stock awards and units and other share-based awards. The plan has been approved by the stockholders. Under the plan, up to 19.4 million shares have been authorized for grant. A total of 10.4 million shares are available for new grants as of October 2, 2020. The maximum contractual term of options under the plan is seven years from the date of grant. Options granted under the plan at the determination of the compensation committee generally vest ratably over four years. Restricted stock awards and units granted under the plan at the determination of the compensation committee generally vest over three or more years. With respect to restricted stock awards, dividends are accumulated from the grant date and paid when the underlying shares vest. If the underlying shares are forfeited for any reason, the rights to the dividends with respect to such shares are forfeited. No dividends or dividend equivalents are accumulated or paid with respect to restricted stock unit awards or other awards until the shares underlying such awards vest and are issued to the award holder. Performance stock awards and units are contingently granted depending on the achievement of certain predetermined performance goals and generally vest over two or more years.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2008 Director Long-Term Incentive Plan. </w:t>
      </w:r>
      <w:r>
        <w:rPr>
          <w:rFonts w:ascii="Arial" w:cs="Arial" w:eastAsia="Arial" w:hAnsi="Arial"/>
          <w:sz w:val="16"/>
          <w:szCs w:val="16"/>
          <w:color w:val="auto"/>
        </w:rPr>
        <w:t>Under this plan, non-employee directors may be granted stock options, restricted stock awards, and other share-based awards. The plan has been approved by the stockholders. Under the plan a total of 1.5 million shares have been authorized for grant. A total of 0.6 million shares are available for new grants as of October 2, 2020. The maximum contractual term of options granted under the plan is ten years from the date of grant. Options granted under the plan are generally exercisable over four years. Restricted stock awards and units granted under the plan generally vest over one or more years. With respect to restricted stock awards, dividends are accumulated from the grant date and paid when the underlying shares vest. If the underlying shares are forfeited for any reason, the rights to the dividends with respect to such shares are forfeited.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Employee Stock Purchase Plans. </w:t>
      </w:r>
      <w:r>
        <w:rPr>
          <w:rFonts w:ascii="Arial" w:cs="Arial" w:eastAsia="Arial" w:hAnsi="Arial"/>
          <w:sz w:val="18"/>
          <w:szCs w:val="18"/>
          <w:color w:val="auto"/>
        </w:rPr>
        <w:t>The Company maintains a domestic and an international employee stock purchase plan. Under these plans,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may purchase common stock through payroll deductions of up to 10% of their compensation. The price per share is the lower of 85% of the fair market value of the common stock at the beginning or end of each offering period (six months). The plans provide for purchases by employees of up to an aggregate of 11.6 million shares. Shares of common stock purchased under these plans in the fiscal years ended October 2, 2020, September 27, 2019, and September 28, 2018, were 0.3 million, 0.3 million, and 0.2 million, respectively. At October 2, 2020, there are 1.8 million shares available for purchase. The Company recognized compensation expense of $6.6 million, $5.8 million, and $5.2 million for the fiscal years ended October 2, 2020, September 27, 2019, and September 28, 2018, respectively, related to the employee stock purchase plan. The unrecognized compensation expense on the employee stock purchase plan at October 2, 2020, was $3.1 million. The weighted average period over which the cost is expected to be recognized is approximately four months.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contractual life (in</w:t>
            </w:r>
          </w:p>
        </w:tc>
        <w:tc>
          <w:tcPr>
            <w:tcW w:w="1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380" w:type="dxa"/>
            <w:vAlign w:val="bottom"/>
          </w:tcPr>
          <w:p>
            <w:pPr>
              <w:jc w:val="right"/>
              <w:ind w:right="37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5020" w:type="dxa"/>
            <w:vAlign w:val="bottom"/>
          </w:tcPr>
          <w:p>
            <w:pPr>
              <w:ind w:left="60"/>
              <w:spacing w:after="0"/>
              <w:rPr>
                <w:sz w:val="20"/>
                <w:szCs w:val="20"/>
                <w:color w:val="auto"/>
              </w:rPr>
            </w:pPr>
            <w:r>
              <w:rPr>
                <w:rFonts w:ascii="Arial" w:cs="Arial" w:eastAsia="Arial" w:hAnsi="Arial"/>
                <w:sz w:val="18"/>
                <w:szCs w:val="18"/>
                <w:color w:val="auto"/>
              </w:rPr>
              <w:t>Balance outstanding at September 27, 2019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Canceled/forfeited</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60"/>
              <w:spacing w:after="0"/>
              <w:rPr>
                <w:sz w:val="20"/>
                <w:szCs w:val="20"/>
                <w:color w:val="auto"/>
              </w:rPr>
            </w:pPr>
            <w:r>
              <w:rPr>
                <w:rFonts w:ascii="Arial" w:cs="Arial" w:eastAsia="Arial" w:hAnsi="Arial"/>
                <w:sz w:val="18"/>
                <w:szCs w:val="18"/>
                <w:color w:val="auto"/>
              </w:rPr>
              <w:t>Balance outstanding at October 2, 2020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60"/>
              <w:spacing w:after="0"/>
              <w:rPr>
                <w:sz w:val="20"/>
                <w:szCs w:val="20"/>
                <w:color w:val="auto"/>
              </w:rPr>
            </w:pPr>
            <w:r>
              <w:rPr>
                <w:rFonts w:ascii="Arial" w:cs="Arial" w:eastAsia="Arial" w:hAnsi="Arial"/>
                <w:sz w:val="18"/>
                <w:szCs w:val="18"/>
                <w:color w:val="auto"/>
              </w:rPr>
              <w:t>Exercisable at October 2, 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per share of employee stock options granted during the fiscal years ended October 2, 2020, September 27, 2019, and September 28, 2018, was $24.49, $21.74, and $68.32,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and Performance Awards and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restricted and performance awards and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0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235"/>
              <w:spacing w:after="0"/>
              <w:rPr>
                <w:sz w:val="20"/>
                <w:szCs w:val="20"/>
                <w:color w:val="auto"/>
              </w:rPr>
            </w:pPr>
            <w:r>
              <w:rPr>
                <w:rFonts w:ascii="Arial" w:cs="Arial" w:eastAsia="Arial" w:hAnsi="Arial"/>
                <w:sz w:val="14"/>
                <w:szCs w:val="14"/>
                <w:b w:val="1"/>
                <w:bCs w:val="1"/>
                <w:color w:val="auto"/>
              </w:rPr>
              <w:t>Weighted average</w:t>
            </w:r>
          </w:p>
        </w:tc>
      </w:tr>
      <w:tr>
        <w:trPr>
          <w:trHeight w:val="188"/>
        </w:trPr>
        <w:tc>
          <w:tcPr>
            <w:tcW w:w="76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grant date fair value</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awards outstanding at September 27, 2019</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r>
      <w:tr>
        <w:trPr>
          <w:trHeight w:val="229"/>
        </w:trPr>
        <w:tc>
          <w:tcPr>
            <w:tcW w:w="8940" w:type="dxa"/>
            <w:vAlign w:val="bottom"/>
            <w:gridSpan w:val="2"/>
          </w:tcPr>
          <w:p>
            <w:pPr>
              <w:ind w:left="140"/>
              <w:spacing w:after="0"/>
              <w:rPr>
                <w:sz w:val="20"/>
                <w:szCs w:val="20"/>
                <w:color w:val="auto"/>
              </w:rPr>
            </w:pPr>
            <w:r>
              <w:rPr>
                <w:rFonts w:ascii="Arial" w:cs="Arial" w:eastAsia="Arial" w:hAnsi="Arial"/>
                <w:sz w:val="18"/>
                <w:szCs w:val="18"/>
                <w:color w:val="auto"/>
              </w:rPr>
              <w:t>Granted (1)</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99.68</w:t>
            </w:r>
          </w:p>
        </w:tc>
      </w:tr>
      <w:tr>
        <w:trPr>
          <w:trHeight w:val="230"/>
        </w:trPr>
        <w:tc>
          <w:tcPr>
            <w:tcW w:w="8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Canceled/forfeited</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w:t>
            </w: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outstanding at October 2, 2020</w:t>
            </w:r>
          </w:p>
        </w:tc>
        <w:tc>
          <w:tcPr>
            <w:tcW w:w="1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0</wp:posOffset>
            </wp:positionV>
            <wp:extent cx="1097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20" w:hanging="194"/>
        <w:spacing w:after="0"/>
        <w:tabs>
          <w:tab w:leader="none" w:pos="220" w:val="left"/>
        </w:tabs>
        <w:numPr>
          <w:ilvl w:val="0"/>
          <w:numId w:val="37"/>
        </w:numPr>
        <w:rPr>
          <w:rFonts w:ascii="Arial" w:cs="Arial" w:eastAsia="Arial" w:hAnsi="Arial"/>
          <w:sz w:val="14"/>
          <w:szCs w:val="14"/>
          <w:i w:val="1"/>
          <w:iCs w:val="1"/>
          <w:color w:val="auto"/>
        </w:rPr>
      </w:pPr>
      <w:r>
        <w:rPr>
          <w:rFonts w:ascii="Arial" w:cs="Arial" w:eastAsia="Arial" w:hAnsi="Arial"/>
          <w:sz w:val="14"/>
          <w:szCs w:val="14"/>
          <w:color w:val="auto"/>
        </w:rPr>
        <w:t>includes performance stock awards granted and earned assuming target performance under the underlying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-92710</wp:posOffset>
            </wp:positionV>
            <wp:extent cx="10972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grant date fair value per share for awards granted during the fiscal years ended October 2, 2020, September 27, 2019, and September 28, 2018, was $99.68, $78.41, and $108.86,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intrinsic value for stock options exercised and awards vested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34"/>
        </w:trPr>
        <w:tc>
          <w:tcPr>
            <w:tcW w:w="6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1"/>
                <w:szCs w:val="11"/>
                <w:color w:val="auto"/>
              </w:rPr>
            </w:pPr>
          </w:p>
        </w:tc>
        <w:tc>
          <w:tcPr>
            <w:tcW w:w="1240" w:type="dxa"/>
            <w:vAlign w:val="bottom"/>
          </w:tcPr>
          <w:p>
            <w:pPr>
              <w:jc w:val="right"/>
              <w:ind w:right="199"/>
              <w:spacing w:after="0" w:line="135" w:lineRule="exact"/>
              <w:rPr>
                <w:sz w:val="20"/>
                <w:szCs w:val="20"/>
                <w:color w:val="auto"/>
              </w:rPr>
            </w:pPr>
            <w:r>
              <w:rPr>
                <w:rFonts w:ascii="Arial" w:cs="Arial" w:eastAsia="Arial" w:hAnsi="Arial"/>
                <w:sz w:val="14"/>
                <w:szCs w:val="14"/>
                <w:b w:val="1"/>
                <w:bCs w:val="1"/>
                <w:color w:val="auto"/>
                <w:w w:val="98"/>
              </w:rPr>
              <w:t>September 28,</w:t>
            </w:r>
          </w:p>
        </w:tc>
      </w:tr>
      <w:tr>
        <w:trPr>
          <w:trHeight w:val="188"/>
        </w:trPr>
        <w:tc>
          <w:tcPr>
            <w:tcW w:w="6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Options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Expense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pre-tax share-based compensation expense by financial statement line and related tax benefit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5"/>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30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6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24"/>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6480" w:type="dxa"/>
            <w:vAlign w:val="bottom"/>
          </w:tcPr>
          <w:p>
            <w:pPr>
              <w:ind w:left="18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5"/>
        </w:trPr>
        <w:tc>
          <w:tcPr>
            <w:tcW w:w="6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Share-based compensation tax benefit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share-based compensation expense at period end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total compensation costs related to unvested share-based awards not yet recognized and the weighted average period over which it is expected to be recognized at October 2,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Unrecognized compensation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4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 recognition</w:t>
            </w:r>
          </w:p>
        </w:tc>
        <w:tc>
          <w:tcPr>
            <w:tcW w:w="0" w:type="dxa"/>
            <w:vAlign w:val="bottom"/>
          </w:tcPr>
          <w:p>
            <w:pPr>
              <w:spacing w:after="0"/>
              <w:rPr>
                <w:sz w:val="1"/>
                <w:szCs w:val="1"/>
                <w:color w:val="auto"/>
              </w:rPr>
            </w:pPr>
          </w:p>
        </w:tc>
      </w:tr>
      <w:tr>
        <w:trPr>
          <w:trHeight w:val="135"/>
        </w:trPr>
        <w:tc>
          <w:tcPr>
            <w:tcW w:w="7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cost for unvested awards</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88"/>
        </w:trPr>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Options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restricted stock awards and units is equal to the closing market price of the Company’s common stock on the date of grant.</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performance stock unit awards during fiscal 2020, fiscal 2019, and fiscal 2018 that contained market-based conditions. The fair value of these performance stock unit awards was estimated on the date of the grant using a Monte Carlo simulation with the following weighted average assumptions: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6" w:name="page57"/>
    <w:bookmarkEnd w:id="56"/>
    <w:tbl>
      <w:tblPr>
        <w:tblLayout w:type="fixed"/>
        <w:tblInd w:w="4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1620" w:type="dxa"/>
            <w:vAlign w:val="bottom"/>
            <w:tcBorders>
              <w:bottom w:val="single" w:sz="8" w:color="auto"/>
            </w:tcBorders>
          </w:tcPr>
          <w:p>
            <w:pPr>
              <w:spacing w:after="0"/>
              <w:rPr>
                <w:sz w:val="16"/>
                <w:szCs w:val="16"/>
                <w:color w:val="auto"/>
              </w:rPr>
            </w:pPr>
          </w:p>
        </w:tc>
      </w:tr>
      <w:tr>
        <w:trPr>
          <w:trHeight w:val="135"/>
        </w:trPr>
        <w:tc>
          <w:tcPr>
            <w:tcW w:w="6080" w:type="dxa"/>
            <w:vAlign w:val="bottom"/>
          </w:tcPr>
          <w:p>
            <w:pPr>
              <w:spacing w:after="0"/>
              <w:rPr>
                <w:sz w:val="11"/>
                <w:szCs w:val="11"/>
                <w:color w:val="auto"/>
              </w:rPr>
            </w:pPr>
          </w:p>
        </w:tc>
        <w:tc>
          <w:tcPr>
            <w:tcW w:w="1740" w:type="dxa"/>
            <w:vAlign w:val="bottom"/>
            <w:gridSpan w:val="2"/>
          </w:tcPr>
          <w:p>
            <w:pPr>
              <w:ind w:left="480"/>
              <w:spacing w:after="0" w:line="135" w:lineRule="exact"/>
              <w:rPr>
                <w:sz w:val="20"/>
                <w:szCs w:val="20"/>
                <w:color w:val="auto"/>
              </w:rPr>
            </w:pPr>
            <w:r>
              <w:rPr>
                <w:rFonts w:ascii="Arial" w:cs="Arial" w:eastAsia="Arial" w:hAnsi="Arial"/>
                <w:sz w:val="14"/>
                <w:szCs w:val="14"/>
                <w:b w:val="1"/>
                <w:bCs w:val="1"/>
                <w:color w:val="auto"/>
              </w:rPr>
              <w:t>October 2,</w:t>
            </w:r>
          </w:p>
        </w:tc>
        <w:tc>
          <w:tcPr>
            <w:tcW w:w="1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620" w:type="dxa"/>
            <w:vAlign w:val="bottom"/>
          </w:tcPr>
          <w:p>
            <w:pPr>
              <w:jc w:val="right"/>
              <w:ind w:right="295"/>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60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Volatility of 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35.54 %</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Average volatility of peer companies</w:t>
            </w:r>
          </w:p>
        </w:tc>
        <w:tc>
          <w:tcPr>
            <w:tcW w:w="1620" w:type="dxa"/>
            <w:vAlign w:val="bottom"/>
          </w:tcPr>
          <w:p>
            <w:pPr>
              <w:jc w:val="right"/>
              <w:spacing w:after="0"/>
              <w:rPr>
                <w:sz w:val="20"/>
                <w:szCs w:val="20"/>
                <w:color w:val="auto"/>
              </w:rPr>
            </w:pPr>
            <w:r>
              <w:rPr>
                <w:rFonts w:ascii="Arial" w:cs="Arial" w:eastAsia="Arial" w:hAnsi="Arial"/>
                <w:sz w:val="18"/>
                <w:szCs w:val="18"/>
                <w:color w:val="auto"/>
              </w:rPr>
              <w:t>33.96 %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37.07 %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36.78 %</w:t>
            </w: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Average correlation coefficient of peer companies</w:t>
            </w: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1.74 %</w:t>
            </w:r>
          </w:p>
        </w:tc>
      </w:tr>
      <w:tr>
        <w:trPr>
          <w:trHeight w:val="22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is estimated on the date of the grant using the Black-Scholes option pricing model with the following weighted average assumptions: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Years Ended</w:t>
            </w:r>
          </w:p>
        </w:tc>
        <w:tc>
          <w:tcPr>
            <w:tcW w:w="1620" w:type="dxa"/>
            <w:vAlign w:val="bottom"/>
            <w:tcBorders>
              <w:bottom w:val="single" w:sz="8" w:color="auto"/>
            </w:tcBorders>
          </w:tcPr>
          <w:p>
            <w:pPr>
              <w:spacing w:after="0"/>
              <w:rPr>
                <w:sz w:val="16"/>
                <w:szCs w:val="16"/>
                <w:color w:val="auto"/>
              </w:rPr>
            </w:pPr>
          </w:p>
        </w:tc>
      </w:tr>
      <w:tr>
        <w:trPr>
          <w:trHeight w:val="135"/>
        </w:trPr>
        <w:tc>
          <w:tcPr>
            <w:tcW w:w="6180" w:type="dxa"/>
            <w:vAlign w:val="bottom"/>
          </w:tcPr>
          <w:p>
            <w:pPr>
              <w:spacing w:after="0"/>
              <w:rPr>
                <w:sz w:val="11"/>
                <w:szCs w:val="11"/>
                <w:color w:val="auto"/>
              </w:rPr>
            </w:pPr>
          </w:p>
        </w:tc>
        <w:tc>
          <w:tcPr>
            <w:tcW w:w="1720" w:type="dxa"/>
            <w:vAlign w:val="bottom"/>
            <w:gridSpan w:val="2"/>
          </w:tcPr>
          <w:p>
            <w:pPr>
              <w:ind w:left="480"/>
              <w:spacing w:after="0" w:line="135" w:lineRule="exact"/>
              <w:rPr>
                <w:sz w:val="20"/>
                <w:szCs w:val="20"/>
                <w:color w:val="auto"/>
              </w:rPr>
            </w:pPr>
            <w:r>
              <w:rPr>
                <w:rFonts w:ascii="Arial" w:cs="Arial" w:eastAsia="Arial" w:hAnsi="Arial"/>
                <w:sz w:val="14"/>
                <w:szCs w:val="14"/>
                <w:b w:val="1"/>
                <w:bCs w:val="1"/>
                <w:color w:val="auto"/>
              </w:rPr>
              <w:t>October 2,</w:t>
            </w: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620" w:type="dxa"/>
            <w:vAlign w:val="bottom"/>
          </w:tcPr>
          <w:p>
            <w:pPr>
              <w:jc w:val="right"/>
              <w:ind w:right="296"/>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61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35.86 %</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option life (in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used a historical volatility calculated by the mean reversion of the weekly-adjusted closing stock price over the expected life of the options. The risk-free interest rate assumption is based upon observed treasury bill interest rates appropriate for the expected life of the Company’s employee stock options. The dividend yield was calculated based on the annualized dividend and the stock price on the date of grant.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expected life of employee stock options represents a calculation based upon the historical exercise, cancellation, and forfeiture experience for the Company across its demographic population. The Company believes that this historical data is the best estimate of the expected life of a new option and that generally all groups of the Company’s employees exhibit similar behavior.</w:t>
      </w:r>
    </w:p>
    <w:p>
      <w:pPr>
        <w:spacing w:after="0" w:line="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lease arrangements consist primarily of corporate, manufacturing, and other facility agreements as well as various machinery and office equipment agreements. The leases expire at various dates through 2033, some of which include options to extend the lease term. The options with the longest potential total lease term consist of options for extension of up to three five-year periods following expiration of the original lease term.</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fiscal year ended October 2, 2020, the Company recorded $28.1 million of operating lease expense and $7.6 million of variable lease expense. During the fiscal years ended September 27, 2019, and September 28, 2018, the Company recorded $18.7 million and $20.5 million of rent expense, respectively. The Company’s finance leases and short-term leases are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information and non-cash activities related to operating leases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2"/>
              </w:rPr>
              <w:t>Fiscal Year Ended</w:t>
            </w:r>
          </w:p>
        </w:tc>
      </w:tr>
      <w:tr>
        <w:trPr>
          <w:trHeight w:val="135"/>
        </w:trPr>
        <w:tc>
          <w:tcPr>
            <w:tcW w:w="9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2"/>
              </w:rPr>
              <w:t>October 2,</w:t>
            </w:r>
          </w:p>
        </w:tc>
      </w:tr>
      <w:tr>
        <w:trPr>
          <w:trHeight w:val="188"/>
        </w:trPr>
        <w:tc>
          <w:tcPr>
            <w:tcW w:w="9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25.4</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
              <w:spacing w:after="0"/>
              <w:rPr>
                <w:sz w:val="20"/>
                <w:szCs w:val="20"/>
                <w:color w:val="auto"/>
              </w:rPr>
            </w:pPr>
            <w:r>
              <w:rPr>
                <w:rFonts w:ascii="Arial" w:cs="Arial" w:eastAsia="Arial" w:hAnsi="Arial"/>
                <w:sz w:val="18"/>
                <w:szCs w:val="18"/>
                <w:color w:val="auto"/>
              </w:rPr>
              <w:t>31.0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under operating leases by fiscal year are as follows (in millions):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1"/>
              </w:rPr>
              <w:t>As of</w:t>
            </w:r>
          </w:p>
        </w:tc>
      </w:tr>
      <w:tr>
        <w:trPr>
          <w:trHeight w:val="134"/>
        </w:trPr>
        <w:tc>
          <w:tcPr>
            <w:tcW w:w="4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tcPr>
          <w:p>
            <w:pPr>
              <w:jc w:val="center"/>
              <w:ind w:right="296"/>
              <w:spacing w:after="0" w:line="135" w:lineRule="exact"/>
              <w:rPr>
                <w:sz w:val="20"/>
                <w:szCs w:val="20"/>
                <w:color w:val="auto"/>
              </w:rPr>
            </w:pPr>
            <w:r>
              <w:rPr>
                <w:rFonts w:ascii="Arial" w:cs="Arial" w:eastAsia="Arial" w:hAnsi="Arial"/>
                <w:sz w:val="14"/>
                <w:szCs w:val="14"/>
                <w:b w:val="1"/>
                <w:bCs w:val="1"/>
                <w:color w:val="auto"/>
                <w:w w:val="95"/>
              </w:rPr>
              <w:t>October 2,</w:t>
            </w:r>
          </w:p>
        </w:tc>
      </w:tr>
      <w:tr>
        <w:trPr>
          <w:trHeight w:val="186"/>
        </w:trPr>
        <w:tc>
          <w:tcPr>
            <w:tcW w:w="4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6"/>
              </w:rPr>
              <w:t>2020</w:t>
            </w:r>
          </w:p>
        </w:tc>
      </w:tr>
      <w:tr>
        <w:trPr>
          <w:trHeight w:val="226"/>
        </w:trPr>
        <w:tc>
          <w:tcPr>
            <w:tcW w:w="898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4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4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4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4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40" w:type="dxa"/>
            <w:vAlign w:val="bottom"/>
          </w:tcPr>
          <w:p>
            <w:pPr>
              <w:spacing w:after="0"/>
              <w:rPr>
                <w:sz w:val="19"/>
                <w:szCs w:val="19"/>
                <w:color w:val="auto"/>
              </w:rPr>
            </w:pPr>
          </w:p>
        </w:tc>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23"/>
        </w:trPr>
        <w:tc>
          <w:tcPr>
            <w:tcW w:w="40" w:type="dxa"/>
            <w:vAlign w:val="bottom"/>
          </w:tcPr>
          <w:p>
            <w:pPr>
              <w:spacing w:after="0"/>
              <w:rPr>
                <w:sz w:val="19"/>
                <w:szCs w:val="19"/>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0"/>
        </w:trPr>
        <w:tc>
          <w:tcPr>
            <w:tcW w:w="40" w:type="dxa"/>
            <w:vAlign w:val="bottom"/>
          </w:tcPr>
          <w:p>
            <w:pPr>
              <w:spacing w:after="0"/>
              <w:rPr>
                <w:sz w:val="19"/>
                <w:szCs w:val="19"/>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40" w:type="dxa"/>
            <w:vAlign w:val="bottom"/>
          </w:tcPr>
          <w:p>
            <w:pPr>
              <w:spacing w:after="0"/>
              <w:rPr>
                <w:sz w:val="19"/>
                <w:szCs w:val="19"/>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178.9</w:t>
            </w:r>
          </w:p>
        </w:tc>
      </w:tr>
      <w:tr>
        <w:trPr>
          <w:trHeight w:val="230"/>
        </w:trPr>
        <w:tc>
          <w:tcPr>
            <w:tcW w:w="40" w:type="dxa"/>
            <w:vAlign w:val="bottom"/>
          </w:tcPr>
          <w:p>
            <w:pPr>
              <w:spacing w:after="0"/>
              <w:rPr>
                <w:sz w:val="19"/>
                <w:szCs w:val="19"/>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current portion (included in 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40" w:type="dxa"/>
            <w:vAlign w:val="bottom"/>
          </w:tcPr>
          <w:p>
            <w:pPr>
              <w:spacing w:after="0"/>
              <w:rPr>
                <w:sz w:val="19"/>
                <w:szCs w:val="19"/>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r>
      <w:tr>
        <w:trPr>
          <w:trHeight w:val="561"/>
        </w:trPr>
        <w:tc>
          <w:tcPr>
            <w:tcW w:w="9100" w:type="dxa"/>
            <w:vAlign w:val="bottom"/>
            <w:gridSpan w:val="3"/>
          </w:tcPr>
          <w:p>
            <w:pPr>
              <w:spacing w:after="0"/>
              <w:rPr>
                <w:sz w:val="20"/>
                <w:szCs w:val="20"/>
                <w:color w:val="auto"/>
              </w:rPr>
            </w:pPr>
            <w:r>
              <w:rPr>
                <w:rFonts w:ascii="Arial" w:cs="Arial" w:eastAsia="Arial" w:hAnsi="Arial"/>
                <w:sz w:val="18"/>
                <w:szCs w:val="18"/>
                <w:color w:val="auto"/>
              </w:rPr>
              <w:t>Future minimum lease liabilities under non-cancelable operating leases are as follows (in millions):</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1"/>
              </w:rPr>
              <w:t>As of</w:t>
            </w:r>
          </w:p>
        </w:tc>
      </w:tr>
      <w:tr>
        <w:trPr>
          <w:trHeight w:val="134"/>
        </w:trPr>
        <w:tc>
          <w:tcPr>
            <w:tcW w:w="4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tcPr>
          <w:p>
            <w:pPr>
              <w:jc w:val="center"/>
              <w:ind w:right="276"/>
              <w:spacing w:after="0" w:line="135" w:lineRule="exact"/>
              <w:rPr>
                <w:sz w:val="20"/>
                <w:szCs w:val="20"/>
                <w:color w:val="auto"/>
              </w:rPr>
            </w:pPr>
            <w:r>
              <w:rPr>
                <w:rFonts w:ascii="Arial" w:cs="Arial" w:eastAsia="Arial" w:hAnsi="Arial"/>
                <w:sz w:val="14"/>
                <w:szCs w:val="14"/>
                <w:b w:val="1"/>
                <w:bCs w:val="1"/>
                <w:color w:val="auto"/>
                <w:w w:val="91"/>
              </w:rPr>
              <w:t>September 27,</w:t>
            </w:r>
          </w:p>
        </w:tc>
      </w:tr>
      <w:tr>
        <w:trPr>
          <w:trHeight w:val="186"/>
        </w:trPr>
        <w:tc>
          <w:tcPr>
            <w:tcW w:w="4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6"/>
              </w:rPr>
              <w:t>2019</w:t>
            </w:r>
          </w:p>
        </w:tc>
      </w:tr>
      <w:tr>
        <w:trPr>
          <w:trHeight w:val="226"/>
        </w:trPr>
        <w:tc>
          <w:tcPr>
            <w:tcW w:w="89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4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4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4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40" w:type="dxa"/>
            <w:vAlign w:val="bottom"/>
          </w:tcPr>
          <w:p>
            <w:pPr>
              <w:spacing w:after="0"/>
              <w:rPr>
                <w:sz w:val="19"/>
                <w:szCs w:val="19"/>
                <w:color w:val="auto"/>
              </w:rPr>
            </w:pPr>
          </w:p>
        </w:tc>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3"/>
        </w:trPr>
        <w:tc>
          <w:tcPr>
            <w:tcW w:w="40" w:type="dxa"/>
            <w:vAlign w:val="bottom"/>
          </w:tcPr>
          <w:p>
            <w:pPr>
              <w:spacing w:after="0"/>
              <w:rPr>
                <w:sz w:val="19"/>
                <w:szCs w:val="19"/>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r>
      <w:tr>
        <w:trPr>
          <w:trHeight w:val="560"/>
        </w:trPr>
        <w:tc>
          <w:tcPr>
            <w:tcW w:w="9100" w:type="dxa"/>
            <w:vAlign w:val="bottom"/>
            <w:gridSpan w:val="3"/>
          </w:tcPr>
          <w:p>
            <w:pPr>
              <w:spacing w:after="0"/>
              <w:rPr>
                <w:sz w:val="20"/>
                <w:szCs w:val="20"/>
                <w:color w:val="auto"/>
              </w:rPr>
            </w:pPr>
            <w:r>
              <w:rPr>
                <w:rFonts w:ascii="Arial" w:cs="Arial" w:eastAsia="Arial" w:hAnsi="Arial"/>
                <w:sz w:val="18"/>
                <w:szCs w:val="18"/>
                <w:color w:val="auto"/>
              </w:rPr>
              <w:t>Weighted-average remaining lease term and discount rate related to operating leases are as follows:</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436"/>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4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tcPr>
          <w:p>
            <w:pPr>
              <w:jc w:val="center"/>
              <w:ind w:right="436"/>
              <w:spacing w:after="0" w:line="135" w:lineRule="exact"/>
              <w:rPr>
                <w:sz w:val="20"/>
                <w:szCs w:val="20"/>
                <w:color w:val="auto"/>
              </w:rPr>
            </w:pPr>
            <w:r>
              <w:rPr>
                <w:rFonts w:ascii="Arial" w:cs="Arial" w:eastAsia="Arial" w:hAnsi="Arial"/>
                <w:sz w:val="14"/>
                <w:szCs w:val="14"/>
                <w:b w:val="1"/>
                <w:bCs w:val="1"/>
                <w:color w:val="auto"/>
                <w:w w:val="92"/>
              </w:rPr>
              <w:t>October 2,</w:t>
            </w:r>
          </w:p>
        </w:tc>
      </w:tr>
      <w:tr>
        <w:trPr>
          <w:trHeight w:val="188"/>
        </w:trPr>
        <w:tc>
          <w:tcPr>
            <w:tcW w:w="4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6"/>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0" w:type="dxa"/>
            <w:vAlign w:val="bottom"/>
          </w:tcPr>
          <w:p>
            <w:pPr>
              <w:spacing w:after="0"/>
              <w:rPr>
                <w:sz w:val="19"/>
                <w:szCs w:val="19"/>
                <w:color w:val="auto"/>
              </w:rPr>
            </w:pPr>
          </w:p>
        </w:tc>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00" w:lineRule="exact"/>
        <w:rPr>
          <w:sz w:val="20"/>
          <w:szCs w:val="20"/>
          <w:color w:val="auto"/>
        </w:rPr>
      </w:pPr>
    </w:p>
    <w:p>
      <w:pPr>
        <w:spacing w:after="0" w:line="308"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The Company monitors the status of legal proceedings and other contingencies on an ongoing basis to ensure loss contingencies are recognized and/or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21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INDEMNITIES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 Years Ended</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28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8"/>
        </w:trPr>
        <w:tc>
          <w:tcPr>
            <w:tcW w:w="6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equity-based awards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Anti-dilutive common stock equivalents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fiscal years ended October 2, 2020, September 27, 2019, and September 28, 2018, using the treasury stock method. Shares issuable upon the vesting of performance stock awards are likewise included in the calculation of diluted earnings per share as of the date the condition(s) have been satisfied. Certain of the Company’s outstanding share-based awards, noted in the table above, were excluded because they were anti-dilutive, but they could become dilutive in the future.</w:t>
      </w:r>
    </w:p>
    <w:p>
      <w:pPr>
        <w:spacing w:after="0" w:line="21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Arial" w:cs="Arial" w:eastAsia="Arial" w:hAnsi="Arial"/>
          <w:sz w:val="17"/>
          <w:szCs w:val="17"/>
          <w:color w:val="010000"/>
        </w:rPr>
        <w:t>CODM</w:t>
      </w:r>
      <w:r>
        <w:rPr>
          <w:rFonts w:ascii="Arial" w:cs="Arial" w:eastAsia="Arial" w:hAnsi="Arial"/>
          <w:sz w:val="17"/>
          <w:szCs w:val="17"/>
          <w:color w:val="auto"/>
        </w:rPr>
        <w:t>”),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net revenue by geographic area based upon the location of the OEMs’ headquarters as it believes that doing so best depicts how the nature, amount, timing, and uncertainty of revenue and cash flows are affected by economic factors. Net revenue by geographic area is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5"/>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220" w:type="dxa"/>
            <w:vAlign w:val="bottom"/>
          </w:tcPr>
          <w:p>
            <w:pPr>
              <w:spacing w:after="0"/>
              <w:rPr>
                <w:sz w:val="11"/>
                <w:szCs w:val="11"/>
                <w:color w:val="auto"/>
              </w:rPr>
            </w:pPr>
          </w:p>
        </w:tc>
        <w:tc>
          <w:tcPr>
            <w:tcW w:w="1300" w:type="dxa"/>
            <w:vAlign w:val="bottom"/>
          </w:tcPr>
          <w:p>
            <w:pPr>
              <w:jc w:val="right"/>
              <w:ind w:right="234"/>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6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4"/>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w:t>
            </w: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2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South Korea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r>
      <w:tr>
        <w:trPr>
          <w:trHeight w:val="229"/>
        </w:trPr>
        <w:tc>
          <w:tcPr>
            <w:tcW w:w="6480" w:type="dxa"/>
            <w:vAlign w:val="bottom"/>
          </w:tcPr>
          <w:p>
            <w:pPr>
              <w:ind w:left="60"/>
              <w:spacing w:after="0"/>
              <w:rPr>
                <w:sz w:val="20"/>
                <w:szCs w:val="20"/>
                <w:color w:val="auto"/>
              </w:rPr>
            </w:pPr>
            <w:r>
              <w:rPr>
                <w:rFonts w:ascii="Arial" w:cs="Arial" w:eastAsia="Arial" w:hAnsi="Arial"/>
                <w:sz w:val="18"/>
                <w:szCs w:val="18"/>
                <w:color w:val="auto"/>
              </w:rPr>
              <w:t>Taiwan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0"/>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Europe, Middle East, and Africa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29"/>
        </w:trPr>
        <w:tc>
          <w:tcPr>
            <w:tcW w:w="6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 Asia-Pacific</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 from external customers is generated principally from the sale of semiconductor products that facilitate various wireless communication applications. Accordingly, the Company considers its product offerings to be similar in nature and therefore not segregated for reporting purposes. Accrued customer liabilities of $20.3 million and $38.5 million have been included in other current liabilities within the consolidated balance sheets as of October 2, 2020 and September 27,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Net property, plant, and equipment balances, based on the physical locations within the indicated geographic areas are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r>
      <w:tr>
        <w:trPr>
          <w:trHeight w:val="134"/>
        </w:trPr>
        <w:tc>
          <w:tcPr>
            <w:tcW w:w="8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1"/>
                <w:szCs w:val="11"/>
                <w:color w:val="auto"/>
              </w:rPr>
            </w:pPr>
          </w:p>
        </w:tc>
        <w:tc>
          <w:tcPr>
            <w:tcW w:w="130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September 27,</w:t>
            </w: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8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The Company performs ongoing credit evaluations of customers.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2020, 2019, and 2018, Apple, through sales to multiple distributors, contract manufacturers and direct sales for multiple applications including smartphones, tablets, desktop, and notebook computers, watches and other devices, in the aggregate accounted for 56%, 51%, and 47% of the Company’s net revenue,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2, 2020, the Company’s three largest accounts receivable balances comprised 70% of aggregate gross accounts receivable. This concentration was 67% and 66% at September 27, 2019, and September 28, 2018, respectively.</w:t>
      </w:r>
    </w:p>
    <w:p>
      <w:pPr>
        <w:spacing w:after="0" w:line="19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quarterly and annual results (in millions, except per share data). Amounts may not total for the fiscal year due to rounding: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Fourth quarter</w:t>
            </w:r>
          </w:p>
        </w:tc>
        <w:tc>
          <w:tcPr>
            <w:tcW w:w="240" w:type="dxa"/>
            <w:vAlign w:val="bottom"/>
          </w:tcPr>
          <w:p>
            <w:pPr>
              <w:spacing w:after="0"/>
              <w:rPr>
                <w:sz w:val="16"/>
                <w:szCs w:val="16"/>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Fiscal year</w:t>
            </w:r>
          </w:p>
        </w:tc>
      </w:tr>
      <w:tr>
        <w:trPr>
          <w:trHeight w:val="215"/>
        </w:trPr>
        <w:tc>
          <w:tcPr>
            <w:tcW w:w="38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Fiscal 2020</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956.8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3,355.7</w:t>
            </w: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814.8</w:t>
            </w: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 data (1)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Net income,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03"/>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Fiscal 2019</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3,376.8</w:t>
            </w: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853.6</w:t>
            </w: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 data (1)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Net income,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13" w:lineRule="exact"/>
        <w:rPr>
          <w:sz w:val="20"/>
          <w:szCs w:val="20"/>
          <w:color w:val="auto"/>
        </w:rPr>
      </w:pPr>
    </w:p>
    <w:p>
      <w:pPr>
        <w:ind w:left="300" w:right="80" w:hanging="252"/>
        <w:spacing w:after="0" w:line="288" w:lineRule="auto"/>
        <w:tabs>
          <w:tab w:leader="none" w:pos="447"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Earnings per share calculations for each of the quarters are based on the weighted average number of shares outstanding and included common stock equivalents in each period. Therefore, the sums of the quarters do not necessarily equal the full year earnings per share.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October 2,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October 2, 2020, our chief executive officer and chief financial officer concluded that, as of such date, our disclosure controls and procedures were effective at the reasonable assurance level.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3"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October 2, 2020. In making this assessment, the Company’s management used the criteria set forth by the Committee of Sponsoring Organizations of the Treadway Commission (COSO) 2013 Internal Control-Integrated Framework.</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their assessment, management concluded that, as of October 2, 2020, the Company’s internal control over financial reporting is effective based on those criteria.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type w:val="continuous"/>
        </w:sectPr>
      </w:pPr>
    </w:p>
    <w:bookmarkStart w:id="62" w:name="page63"/>
    <w:bookmarkEnd w:id="62"/>
    <w:p>
      <w:pPr>
        <w:ind w:right="20"/>
        <w:spacing w:after="0" w:line="342" w:lineRule="auto"/>
        <w:rPr>
          <w:sz w:val="20"/>
          <w:szCs w:val="20"/>
          <w:color w:val="auto"/>
        </w:rPr>
      </w:pPr>
      <w:r>
        <w:rPr>
          <w:rFonts w:ascii="Arial" w:cs="Arial" w:eastAsia="Arial" w:hAnsi="Arial"/>
          <w:sz w:val="16"/>
          <w:szCs w:val="16"/>
          <w:color w:val="auto"/>
        </w:rPr>
        <w:t>There are no changes to our internal control over financial reporting (as defined in Rules 13a-15(f) and 15d-15(f) of the Exchange Act) that occurred during the fourth quarter of fiscal 2020 that have materially affected or are reasonably likely to materially affect our internal control over financial reporting.</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the ongoing COVID-19 pandemic, a significant number of our employees are now working from home. The design of our processes, systems, and controls allows for remote execution with accessibility to secure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under the captions “Directors and Executive Officers,” “Corporate Governance─Committees of the Board of Directors,” and “Other Matters—Delinquent Section 16(a) Reports,” if applicable, in our definitive proxy statement for the 2021 Annual Meeting of Stockholders is incorporated herein by reference.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SEC requirements and rules of the Nasdaq Global Select Market.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to be included under the caption “Information about Executive and Director Compensation” in our definitive proxy statement for the 2021 Annual Meeting of Stockholders is incorporated herein by reference.</w:t>
      </w:r>
    </w:p>
    <w:p>
      <w:pPr>
        <w:spacing w:after="0" w:line="200" w:lineRule="exact"/>
        <w:rPr>
          <w:sz w:val="20"/>
          <w:szCs w:val="20"/>
          <w:color w:val="auto"/>
        </w:rPr>
      </w:pPr>
    </w:p>
    <w:p>
      <w:pPr>
        <w:spacing w:after="0" w:line="209" w:lineRule="exact"/>
        <w:rPr>
          <w:sz w:val="20"/>
          <w:szCs w:val="20"/>
          <w:color w:val="auto"/>
        </w:rPr>
      </w:pPr>
    </w:p>
    <w:p>
      <w:pPr>
        <w:ind w:left="820" w:right="5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to be included under the captions “Security Ownership of Certain Beneficial Owners and Management” and “Equity Compensation Plan Information” in our definitive proxy statement for the 2021 Annual Meeting of Stockholders is incorporated herein by reference.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captions “Certain Relationships and Related Transactions” and “Corporate Governance─Director Independence” in our definitive proxy statement for the 2021 Annual Meeting of Stockholders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 “Ratification of Independent Registered Public Accounting Firm—Audit Fees” in our definitive proxy statement for the 2021 Annual Meeting of Stockholders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600" w:type="dxa"/>
            <w:vAlign w:val="bottom"/>
          </w:tcPr>
          <w:p>
            <w:pPr>
              <w:ind w:left="4920"/>
              <w:spacing w:after="0"/>
              <w:rPr>
                <w:sz w:val="20"/>
                <w:szCs w:val="20"/>
                <w:color w:val="auto"/>
              </w:rPr>
            </w:pPr>
            <w:r>
              <w:rPr>
                <w:rFonts w:ascii="Arial" w:cs="Arial" w:eastAsia="Arial" w:hAnsi="Arial"/>
                <w:sz w:val="18"/>
                <w:szCs w:val="18"/>
                <w:b w:val="1"/>
                <w:bCs w:val="1"/>
                <w:color w:val="auto"/>
              </w:rPr>
              <w:t>PART IV</w:t>
            </w:r>
          </w:p>
        </w:tc>
        <w:tc>
          <w:tcPr>
            <w:tcW w:w="3040" w:type="dxa"/>
            <w:vAlign w:val="bottom"/>
          </w:tcPr>
          <w:p>
            <w:pPr>
              <w:spacing w:after="0"/>
              <w:rPr>
                <w:sz w:val="20"/>
                <w:szCs w:val="20"/>
                <w:color w:val="auto"/>
              </w:rPr>
            </w:pPr>
          </w:p>
        </w:tc>
      </w:tr>
      <w:tr>
        <w:trPr>
          <w:trHeight w:val="45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3040" w:type="dxa"/>
            <w:vAlign w:val="bottom"/>
          </w:tcPr>
          <w:p>
            <w:pPr>
              <w:spacing w:after="0"/>
              <w:rPr>
                <w:sz w:val="24"/>
                <w:szCs w:val="24"/>
                <w:color w:val="auto"/>
              </w:rPr>
            </w:pPr>
          </w:p>
        </w:tc>
      </w:tr>
      <w:tr>
        <w:trPr>
          <w:trHeight w:val="459"/>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3040" w:type="dxa"/>
            <w:vAlign w:val="bottom"/>
          </w:tcPr>
          <w:p>
            <w:pPr>
              <w:spacing w:after="0"/>
              <w:rPr>
                <w:sz w:val="24"/>
                <w:szCs w:val="24"/>
                <w:color w:val="auto"/>
              </w:rPr>
            </w:pPr>
          </w:p>
        </w:tc>
      </w:tr>
      <w:tr>
        <w:trPr>
          <w:trHeight w:val="351"/>
        </w:trPr>
        <w:tc>
          <w:tcPr>
            <w:tcW w:w="340" w:type="dxa"/>
            <w:vAlign w:val="bottom"/>
          </w:tcPr>
          <w:p>
            <w:pPr>
              <w:ind w:left="20"/>
              <w:spacing w:after="0"/>
              <w:rPr>
                <w:sz w:val="20"/>
                <w:szCs w:val="20"/>
                <w:color w:val="auto"/>
              </w:rPr>
            </w:pPr>
            <w:r>
              <w:rPr>
                <w:rFonts w:ascii="Arial" w:cs="Arial" w:eastAsia="Arial" w:hAnsi="Arial"/>
                <w:sz w:val="18"/>
                <w:szCs w:val="18"/>
                <w:color w:val="auto"/>
              </w:rPr>
              <w:t>1.</w:t>
            </w:r>
          </w:p>
        </w:tc>
        <w:tc>
          <w:tcPr>
            <w:tcW w:w="7600" w:type="dxa"/>
            <w:vAlign w:val="bottom"/>
          </w:tcPr>
          <w:p>
            <w:pPr>
              <w:ind w:left="180"/>
              <w:spacing w:after="0"/>
              <w:rPr>
                <w:sz w:val="20"/>
                <w:szCs w:val="20"/>
                <w:color w:val="auto"/>
              </w:rPr>
            </w:pPr>
            <w:r>
              <w:rPr>
                <w:rFonts w:ascii="Arial" w:cs="Arial" w:eastAsia="Arial" w:hAnsi="Arial"/>
                <w:sz w:val="18"/>
                <w:szCs w:val="18"/>
                <w:color w:val="auto"/>
              </w:rPr>
              <w:t>Index to Financial Statements</w:t>
            </w:r>
          </w:p>
        </w:tc>
        <w:tc>
          <w:tcPr>
            <w:tcW w:w="3040" w:type="dxa"/>
            <w:vAlign w:val="bottom"/>
          </w:tcPr>
          <w:p>
            <w:pPr>
              <w:jc w:val="center"/>
              <w:ind w:left="1050"/>
              <w:spacing w:after="0"/>
              <w:rPr>
                <w:sz w:val="20"/>
                <w:szCs w:val="20"/>
                <w:color w:val="auto"/>
              </w:rPr>
            </w:pPr>
            <w:r>
              <w:rPr>
                <w:rFonts w:ascii="Arial" w:cs="Arial" w:eastAsia="Arial" w:hAnsi="Arial"/>
                <w:sz w:val="18"/>
                <w:szCs w:val="18"/>
                <w:color w:val="auto"/>
                <w:w w:val="89"/>
              </w:rPr>
              <w:t>Page number in this report</w:t>
            </w:r>
          </w:p>
        </w:tc>
      </w:tr>
      <w:tr>
        <w:trPr>
          <w:trHeight w:val="391"/>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3040" w:type="dxa"/>
            <w:vAlign w:val="bottom"/>
          </w:tcPr>
          <w:p>
            <w:pPr>
              <w:jc w:val="center"/>
              <w:ind w:left="105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5">
              <w:r>
                <w:rPr>
                  <w:rFonts w:ascii="Arial" w:cs="Arial" w:eastAsia="Arial" w:hAnsi="Arial"/>
                  <w:sz w:val="18"/>
                  <w:szCs w:val="18"/>
                  <w:u w:val="single" w:color="auto"/>
                  <w:color w:val="0000FF"/>
                  <w:w w:val="86"/>
                </w:rPr>
                <w:t>36</w:t>
              </w:r>
            </w:hyperlink>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 for the three years ended October 2, 2020</w:t>
            </w:r>
          </w:p>
        </w:tc>
        <w:tc>
          <w:tcPr>
            <w:tcW w:w="3040" w:type="dxa"/>
            <w:vAlign w:val="bottom"/>
          </w:tcPr>
          <w:p>
            <w:pPr>
              <w:jc w:val="center"/>
              <w:ind w:left="105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7">
              <w:r>
                <w:rPr>
                  <w:rFonts w:ascii="Arial" w:cs="Arial" w:eastAsia="Arial" w:hAnsi="Arial"/>
                  <w:sz w:val="18"/>
                  <w:szCs w:val="18"/>
                  <w:u w:val="single" w:color="auto"/>
                  <w:color w:val="0000FF"/>
                  <w:w w:val="86"/>
                </w:rPr>
                <w:t>38</w:t>
              </w:r>
            </w:hyperlink>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 for the three years ended October 2, 2020</w:t>
            </w:r>
          </w:p>
        </w:tc>
        <w:tc>
          <w:tcPr>
            <w:tcW w:w="3040" w:type="dxa"/>
            <w:vAlign w:val="bottom"/>
          </w:tcPr>
          <w:p>
            <w:pPr>
              <w:jc w:val="center"/>
              <w:ind w:left="105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8">
              <w:r>
                <w:rPr>
                  <w:rFonts w:ascii="Arial" w:cs="Arial" w:eastAsia="Arial" w:hAnsi="Arial"/>
                  <w:sz w:val="18"/>
                  <w:szCs w:val="18"/>
                  <w:u w:val="single" w:color="auto"/>
                  <w:color w:val="0000FF"/>
                  <w:w w:val="86"/>
                </w:rPr>
                <w:t>39</w:t>
              </w:r>
            </w:hyperlink>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at October 2, 2020, and September 27, 2019</w:t>
            </w:r>
          </w:p>
        </w:tc>
        <w:tc>
          <w:tcPr>
            <w:tcW w:w="3040" w:type="dxa"/>
            <w:vAlign w:val="bottom"/>
          </w:tcPr>
          <w:p>
            <w:pPr>
              <w:jc w:val="center"/>
              <w:ind w:left="105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9">
              <w:r>
                <w:rPr>
                  <w:rFonts w:ascii="Arial" w:cs="Arial" w:eastAsia="Arial" w:hAnsi="Arial"/>
                  <w:sz w:val="18"/>
                  <w:szCs w:val="18"/>
                  <w:u w:val="single" w:color="auto"/>
                  <w:color w:val="0000FF"/>
                  <w:w w:val="86"/>
                </w:rPr>
                <w:t>40</w:t>
              </w:r>
            </w:hyperlink>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 for the three years ended October 2, 2020</w:t>
            </w:r>
          </w:p>
        </w:tc>
        <w:tc>
          <w:tcPr>
            <w:tcW w:w="3040" w:type="dxa"/>
            <w:vAlign w:val="bottom"/>
          </w:tcPr>
          <w:p>
            <w:pPr>
              <w:jc w:val="center"/>
              <w:ind w:left="105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40">
              <w:r>
                <w:rPr>
                  <w:rFonts w:ascii="Arial" w:cs="Arial" w:eastAsia="Arial" w:hAnsi="Arial"/>
                  <w:sz w:val="18"/>
                  <w:szCs w:val="18"/>
                  <w:u w:val="single" w:color="auto"/>
                  <w:color w:val="0000FF"/>
                  <w:w w:val="86"/>
                </w:rPr>
                <w:t>41</w:t>
              </w:r>
            </w:hyperlink>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Stockholders’ Equity for the three years ended October 2, 2020</w:t>
            </w:r>
          </w:p>
        </w:tc>
        <w:tc>
          <w:tcPr>
            <w:tcW w:w="3040" w:type="dxa"/>
            <w:vAlign w:val="bottom"/>
          </w:tcPr>
          <w:p>
            <w:pPr>
              <w:jc w:val="center"/>
              <w:ind w:left="105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41">
              <w:r>
                <w:rPr>
                  <w:rFonts w:ascii="Arial" w:cs="Arial" w:eastAsia="Arial" w:hAnsi="Arial"/>
                  <w:sz w:val="18"/>
                  <w:szCs w:val="18"/>
                  <w:u w:val="single" w:color="auto"/>
                  <w:color w:val="0000FF"/>
                  <w:w w:val="86"/>
                </w:rPr>
                <w:t>42</w:t>
              </w:r>
            </w:hyperlink>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3040" w:type="dxa"/>
            <w:vAlign w:val="bottom"/>
          </w:tcPr>
          <w:p>
            <w:pPr>
              <w:jc w:val="center"/>
              <w:ind w:left="1050"/>
              <w:spacing w:after="0"/>
              <w:rPr>
                <w:rFonts w:ascii="Arial" w:cs="Arial" w:eastAsia="Arial" w:hAnsi="Arial"/>
                <w:sz w:val="18"/>
                <w:szCs w:val="18"/>
                <w:color w:val="auto"/>
                <w:w w:val="87"/>
              </w:rPr>
            </w:pPr>
            <w:r>
              <w:rPr>
                <w:rFonts w:ascii="Arial" w:cs="Arial" w:eastAsia="Arial" w:hAnsi="Arial"/>
                <w:sz w:val="18"/>
                <w:szCs w:val="18"/>
                <w:color w:val="auto"/>
                <w:w w:val="87"/>
              </w:rPr>
              <w:t xml:space="preserve">Pages </w:t>
            </w:r>
            <w:hyperlink w:anchor="page42">
              <w:r>
                <w:rPr>
                  <w:rFonts w:ascii="Arial" w:cs="Arial" w:eastAsia="Arial" w:hAnsi="Arial"/>
                  <w:sz w:val="18"/>
                  <w:szCs w:val="18"/>
                  <w:u w:val="single" w:color="auto"/>
                  <w:color w:val="0000FF"/>
                  <w:w w:val="87"/>
                </w:rPr>
                <w:t>43</w:t>
              </w:r>
              <w:r>
                <w:rPr>
                  <w:rFonts w:ascii="Arial" w:cs="Arial" w:eastAsia="Arial" w:hAnsi="Arial"/>
                  <w:sz w:val="18"/>
                  <w:szCs w:val="18"/>
                  <w:u w:val="single" w:color="auto"/>
                  <w:color w:val="auto"/>
                  <w:w w:val="87"/>
                </w:rPr>
                <w:t xml:space="preserve"> </w:t>
              </w:r>
            </w:hyperlink>
            <w:r>
              <w:rPr>
                <w:rFonts w:ascii="Arial" w:cs="Arial" w:eastAsia="Arial" w:hAnsi="Arial"/>
                <w:sz w:val="18"/>
                <w:szCs w:val="18"/>
                <w:color w:val="auto"/>
                <w:w w:val="87"/>
              </w:rPr>
              <w:t xml:space="preserve">through </w:t>
            </w:r>
            <w:hyperlink w:anchor="page60">
              <w:r>
                <w:rPr>
                  <w:rFonts w:ascii="Arial" w:cs="Arial" w:eastAsia="Arial" w:hAnsi="Arial"/>
                  <w:sz w:val="18"/>
                  <w:szCs w:val="18"/>
                  <w:u w:val="single" w:color="auto"/>
                  <w:color w:val="0000FF"/>
                  <w:w w:val="87"/>
                </w:rPr>
                <w:t>60</w:t>
              </w:r>
            </w:hyperlink>
          </w:p>
        </w:tc>
      </w:tr>
    </w:tbl>
    <w:p>
      <w:pPr>
        <w:spacing w:after="0" w:line="269" w:lineRule="exact"/>
        <w:rPr>
          <w:sz w:val="20"/>
          <w:szCs w:val="20"/>
          <w:color w:val="auto"/>
        </w:rPr>
      </w:pPr>
    </w:p>
    <w:p>
      <w:pPr>
        <w:ind w:left="520" w:hanging="170"/>
        <w:spacing w:after="0"/>
        <w:tabs>
          <w:tab w:leader="none" w:pos="5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schedule listed below is filed as part of this Annual Report on Form 10-K:</w:t>
      </w:r>
    </w:p>
    <w:p>
      <w:pPr>
        <w:spacing w:after="0" w:line="23" w:lineRule="exact"/>
        <w:rPr>
          <w:rFonts w:ascii="Arial" w:cs="Arial" w:eastAsia="Arial" w:hAnsi="Arial"/>
          <w:sz w:val="18"/>
          <w:szCs w:val="18"/>
          <w:color w:val="auto"/>
        </w:rPr>
      </w:pPr>
    </w:p>
    <w:p>
      <w:pPr>
        <w:ind w:left="520" w:right="2420"/>
        <w:spacing w:after="0" w:line="234" w:lineRule="auto"/>
        <w:rPr>
          <w:rFonts w:ascii="Arial" w:cs="Arial" w:eastAsia="Arial" w:hAnsi="Arial"/>
          <w:sz w:val="18"/>
          <w:szCs w:val="18"/>
          <w:color w:val="auto"/>
        </w:rPr>
      </w:pPr>
      <w:r>
        <w:rPr>
          <w:rFonts w:ascii="Arial" w:cs="Arial" w:eastAsia="Arial" w:hAnsi="Arial"/>
          <w:sz w:val="18"/>
          <w:szCs w:val="18"/>
          <w:color w:val="auto"/>
        </w:rPr>
        <w:t>All required schedule information is included in the Notes to Consolidated Financial Statements or is omitted because it is either not required or not applicable.</w:t>
      </w:r>
    </w:p>
    <w:p>
      <w:pPr>
        <w:spacing w:after="0" w:line="1" w:lineRule="exact"/>
        <w:rPr>
          <w:rFonts w:ascii="Arial" w:cs="Arial" w:eastAsia="Arial" w:hAnsi="Arial"/>
          <w:sz w:val="18"/>
          <w:szCs w:val="18"/>
          <w:color w:val="auto"/>
        </w:rPr>
      </w:pPr>
    </w:p>
    <w:p>
      <w:pPr>
        <w:ind w:left="840" w:right="2420" w:hanging="814"/>
        <w:spacing w:after="0" w:line="219" w:lineRule="auto"/>
        <w:tabs>
          <w:tab w:leader="none" w:pos="5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following Item 16 are filed as a part of this Annual Report on Form 10-K.</w:t>
      </w:r>
    </w:p>
    <w:p>
      <w:pPr>
        <w:spacing w:after="0" w:line="282" w:lineRule="exact"/>
        <w:rPr>
          <w:rFonts w:ascii="Arial" w:cs="Arial" w:eastAsia="Arial" w:hAnsi="Arial"/>
          <w:sz w:val="18"/>
          <w:szCs w:val="18"/>
          <w:color w:val="auto"/>
        </w:rPr>
      </w:pPr>
    </w:p>
    <w:p>
      <w:pPr>
        <w:ind w:left="620" w:hanging="572"/>
        <w:spacing w:after="0"/>
        <w:tabs>
          <w:tab w:leader="none" w:pos="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 (a)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20" w:type="dxa"/>
            <w:vAlign w:val="bottom"/>
            <w:gridSpan w:val="3"/>
          </w:tcPr>
          <w:p>
            <w:pPr>
              <w:jc w:val="right"/>
              <w:ind w:right="811"/>
              <w:spacing w:after="0"/>
              <w:rPr>
                <w:sz w:val="20"/>
                <w:szCs w:val="20"/>
                <w:color w:val="auto"/>
              </w:rPr>
            </w:pPr>
            <w:r>
              <w:rPr>
                <w:rFonts w:ascii="Arial" w:cs="Arial" w:eastAsia="Arial" w:hAnsi="Arial"/>
                <w:sz w:val="14"/>
                <w:szCs w:val="14"/>
                <w:b w:val="1"/>
                <w:bCs w:val="1"/>
                <w:color w:val="auto"/>
              </w:rPr>
              <w:t>Incorporated by Reference</w:t>
            </w: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39"/>
        </w:trPr>
        <w:tc>
          <w:tcPr>
            <w:tcW w:w="13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19"/>
            <w:vMerge w:val="restart"/>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Filing Date</w:t>
            </w: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9"/>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13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4260" w:type="dxa"/>
            <w:vAlign w:val="bottom"/>
            <w:tcBorders>
              <w:top w:val="single" w:sz="8" w:color="auto"/>
              <w:bottom w:val="single" w:sz="8" w:color="0000FF"/>
            </w:tcBorders>
            <w:gridSpan w:val="24"/>
          </w:tcPr>
          <w:p>
            <w:pPr>
              <w:spacing w:after="0" w:line="184"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Agreement and Plan of Merger dated as of August 3, 2018,</w:t>
              </w:r>
            </w:hyperlink>
          </w:p>
        </w:tc>
        <w:tc>
          <w:tcPr>
            <w:tcW w:w="980" w:type="dxa"/>
            <w:vAlign w:val="bottom"/>
            <w:tcBorders>
              <w:top w:val="single" w:sz="8" w:color="auto"/>
            </w:tcBorders>
          </w:tcPr>
          <w:p>
            <w:pPr>
              <w:jc w:val="center"/>
              <w:ind w:left="11"/>
              <w:spacing w:after="0" w:line="184" w:lineRule="exact"/>
              <w:rPr>
                <w:sz w:val="20"/>
                <w:szCs w:val="20"/>
                <w:color w:val="auto"/>
              </w:rPr>
            </w:pPr>
            <w:r>
              <w:rPr>
                <w:rFonts w:ascii="Arial" w:cs="Arial" w:eastAsia="Arial" w:hAnsi="Arial"/>
                <w:sz w:val="18"/>
                <w:szCs w:val="18"/>
                <w:color w:val="auto"/>
                <w:w w:val="94"/>
              </w:rPr>
              <w:t>10-K</w:t>
            </w:r>
          </w:p>
        </w:tc>
        <w:tc>
          <w:tcPr>
            <w:tcW w:w="12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001-05560</w:t>
            </w:r>
          </w:p>
        </w:tc>
        <w:tc>
          <w:tcPr>
            <w:tcW w:w="9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2.3</w:t>
            </w:r>
          </w:p>
        </w:tc>
        <w:tc>
          <w:tcPr>
            <w:tcW w:w="12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11/15/2018</w:t>
            </w:r>
          </w:p>
        </w:tc>
        <w:tc>
          <w:tcPr>
            <w:tcW w:w="8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60" w:type="dxa"/>
            <w:vAlign w:val="bottom"/>
            <w:gridSpan w:val="24"/>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by and among the Company, Avnera Corporation, AI</w:t>
              </w:r>
            </w:hyperlink>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Acquisition Corp., and Shareholder Representative</w:t>
              </w:r>
            </w:hyperlink>
          </w:p>
        </w:tc>
        <w:tc>
          <w:tcPr>
            <w:tcW w:w="14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260" w:type="dxa"/>
            <w:vAlign w:val="bottom"/>
            <w:gridSpan w:val="24"/>
          </w:tcPr>
          <w:p>
            <w:pPr>
              <w:spacing w:after="0" w:line="142" w:lineRule="exact"/>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Services LLC, solely in its capacity as the representative</w:t>
              </w:r>
            </w:hyperlink>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260" w:type="dxa"/>
            <w:vAlign w:val="bottom"/>
            <w:gridSpan w:val="24"/>
          </w:tcPr>
          <w:p>
            <w:pPr>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and agent of the Equityholders</w:t>
              </w:r>
            </w:hyperlink>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60" w:type="dxa"/>
            <w:vAlign w:val="bottom"/>
            <w:gridSpan w:val="24"/>
          </w:tcPr>
          <w:p>
            <w:pPr>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Restated Certificate of Incorporation, as Amended</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8/3/2016</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60" w:type="dxa"/>
            <w:vAlign w:val="bottom"/>
            <w:gridSpan w:val="24"/>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Third Amended and Restated By-laws, as Amended</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2/5/2018</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60" w:type="dxa"/>
            <w:vAlign w:val="bottom"/>
            <w:gridSpan w:val="24"/>
          </w:tcPr>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Specimen Certificate of Common Stock</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5"/>
              </w:rPr>
              <w:t>S-3</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7/15/2002</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60" w:type="dxa"/>
            <w:vAlign w:val="bottom"/>
            <w:gridSpan w:val="24"/>
          </w:tcPr>
          <w:p>
            <w:pPr>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Description of Capital Stock</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40" w:type="dxa"/>
            <w:vAlign w:val="bottom"/>
          </w:tcPr>
          <w:p>
            <w:pPr>
              <w:jc w:val="right"/>
              <w:spacing w:after="0"/>
              <w:rPr>
                <w:sz w:val="20"/>
                <w:szCs w:val="20"/>
                <w:color w:val="auto"/>
              </w:rPr>
            </w:pPr>
            <w:r>
              <w:rPr>
                <w:rFonts w:ascii="Arial" w:cs="Arial" w:eastAsia="Arial" w:hAnsi="Arial"/>
                <w:sz w:val="18"/>
                <w:szCs w:val="18"/>
                <w:color w:val="auto"/>
              </w:rPr>
              <w:t>11/14/2019</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9"/>
              </w:rPr>
              <w:t>10.1*</w:t>
            </w:r>
          </w:p>
        </w:tc>
        <w:tc>
          <w:tcPr>
            <w:tcW w:w="4260" w:type="dxa"/>
            <w:vAlign w:val="bottom"/>
            <w:gridSpan w:val="24"/>
          </w:tcPr>
          <w:p>
            <w:pPr>
              <w:spacing w:after="0" w:line="190"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Skyworks Solutions, Inc. 2002 Employee Stock Purchase</w:t>
              </w:r>
            </w:hyperlink>
          </w:p>
        </w:tc>
        <w:tc>
          <w:tcPr>
            <w:tcW w:w="980" w:type="dxa"/>
            <w:vAlign w:val="bottom"/>
          </w:tcPr>
          <w:p>
            <w:pPr>
              <w:jc w:val="center"/>
              <w:ind w:left="11"/>
              <w:spacing w:after="0" w:line="190"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240" w:type="dxa"/>
            <w:vAlign w:val="bottom"/>
          </w:tcPr>
          <w:p>
            <w:pPr>
              <w:jc w:val="center"/>
              <w:spacing w:after="0" w:line="190" w:lineRule="exact"/>
              <w:rPr>
                <w:sz w:val="20"/>
                <w:szCs w:val="20"/>
                <w:color w:val="auto"/>
              </w:rPr>
            </w:pPr>
            <w:r>
              <w:rPr>
                <w:rFonts w:ascii="Arial" w:cs="Arial" w:eastAsia="Arial" w:hAnsi="Arial"/>
                <w:sz w:val="18"/>
                <w:szCs w:val="18"/>
                <w:color w:val="auto"/>
                <w:w w:val="92"/>
              </w:rPr>
              <w:t>7/24/2020</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84">
              <w:r>
                <w:rPr>
                  <w:rFonts w:ascii="Arial" w:cs="Arial" w:eastAsia="Arial" w:hAnsi="Arial"/>
                  <w:sz w:val="18"/>
                  <w:szCs w:val="18"/>
                  <w:color w:val="0000FF"/>
                  <w:w w:val="88"/>
                </w:rPr>
                <w:t>Plan, as Amended</w:t>
              </w:r>
            </w:hyperlink>
          </w:p>
        </w:tc>
        <w:tc>
          <w:tcPr>
            <w:tcW w:w="28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4260" w:type="dxa"/>
            <w:vAlign w:val="bottom"/>
            <w:gridSpan w:val="24"/>
          </w:tcPr>
          <w:p>
            <w:pP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Skyworks Solutions, Inc. Non-Qualified Employee Stock</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7/24/2020</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1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Purchase Plan, as Amended</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4260" w:type="dxa"/>
            <w:vAlign w:val="bottom"/>
            <w:gridSpan w:val="24"/>
          </w:tcPr>
          <w:p>
            <w:pPr>
              <w:spacing w:after="0"/>
              <w:rPr>
                <w:rFonts w:ascii="Arial" w:cs="Arial" w:eastAsia="Arial" w:hAnsi="Arial"/>
                <w:sz w:val="18"/>
                <w:szCs w:val="18"/>
                <w:color w:val="0000FF"/>
                <w:w w:val="97"/>
              </w:rPr>
            </w:pPr>
            <w:hyperlink r:id="rId86">
              <w:r>
                <w:rPr>
                  <w:rFonts w:ascii="Arial" w:cs="Arial" w:eastAsia="Arial" w:hAnsi="Arial"/>
                  <w:sz w:val="18"/>
                  <w:szCs w:val="18"/>
                  <w:color w:val="0000FF"/>
                  <w:w w:val="97"/>
                </w:rPr>
                <w:t>Skyworks Solutions, Inc. Amended and Restated 2005</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5/13/2013</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Long-Term Incentive Plan</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4260" w:type="dxa"/>
            <w:vAlign w:val="bottom"/>
            <w:gridSpan w:val="24"/>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Form of Nonstatutory Stock Option Agreement under the</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Company’s 2005 Long-Term Incentive Plan</w:t>
              </w:r>
            </w:hyperlink>
          </w:p>
        </w:tc>
        <w:tc>
          <w:tcPr>
            <w:tcW w:w="9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4260" w:type="dxa"/>
            <w:vAlign w:val="bottom"/>
            <w:gridSpan w:val="24"/>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Skyworks Solutions, Inc. Amended and Restated 2008</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5/4/2018</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396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Director Long-Term Incentive Plan, as Amended</w:t>
              </w:r>
            </w:hyperlink>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9"/>
              </w:rPr>
              <w:t>10.6*</w:t>
            </w:r>
          </w:p>
        </w:tc>
        <w:tc>
          <w:tcPr>
            <w:tcW w:w="4260" w:type="dxa"/>
            <w:vAlign w:val="bottom"/>
            <w:gridSpan w:val="24"/>
          </w:tcPr>
          <w:p>
            <w:pPr>
              <w:spacing w:after="0" w:line="190"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Form of Nonstatutory Stock Option Agreement under the</w:t>
              </w:r>
            </w:hyperlink>
          </w:p>
        </w:tc>
        <w:tc>
          <w:tcPr>
            <w:tcW w:w="980" w:type="dxa"/>
            <w:vAlign w:val="bottom"/>
          </w:tcPr>
          <w:p>
            <w:pPr>
              <w:jc w:val="center"/>
              <w:ind w:left="11"/>
              <w:spacing w:after="0" w:line="190"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0"/>
              </w:rPr>
              <w:t>10.OO</w:t>
            </w:r>
          </w:p>
        </w:tc>
        <w:tc>
          <w:tcPr>
            <w:tcW w:w="1240" w:type="dxa"/>
            <w:vAlign w:val="bottom"/>
          </w:tcPr>
          <w:p>
            <w:pPr>
              <w:jc w:val="center"/>
              <w:spacing w:after="0" w:line="190" w:lineRule="exact"/>
              <w:rPr>
                <w:sz w:val="20"/>
                <w:szCs w:val="20"/>
                <w:color w:val="auto"/>
              </w:rPr>
            </w:pPr>
            <w:r>
              <w:rPr>
                <w:rFonts w:ascii="Arial" w:cs="Arial" w:eastAsia="Arial" w:hAnsi="Arial"/>
                <w:sz w:val="18"/>
                <w:szCs w:val="18"/>
                <w:color w:val="auto"/>
                <w:w w:val="88"/>
              </w:rPr>
              <w:t>5/7/2008</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414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w w:val="99"/>
              </w:rPr>
            </w:pPr>
            <w:hyperlink r:id="rId89">
              <w:r>
                <w:rPr>
                  <w:rFonts w:ascii="Arial" w:cs="Arial" w:eastAsia="Arial" w:hAnsi="Arial"/>
                  <w:sz w:val="18"/>
                  <w:szCs w:val="18"/>
                  <w:u w:val="single" w:color="auto"/>
                  <w:color w:val="0000FF"/>
                  <w:w w:val="99"/>
                </w:rPr>
                <w:t>Company’s 2008 Director Long-Term Incentive Plan</w:t>
              </w:r>
            </w:hyperlink>
          </w:p>
        </w:tc>
        <w:tc>
          <w:tcPr>
            <w:tcW w:w="6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9"/>
              </w:rPr>
              <w:t>10.7*</w:t>
            </w:r>
          </w:p>
        </w:tc>
        <w:tc>
          <w:tcPr>
            <w:tcW w:w="4260" w:type="dxa"/>
            <w:vAlign w:val="bottom"/>
            <w:gridSpan w:val="24"/>
          </w:tcPr>
          <w:p>
            <w:pPr>
              <w:spacing w:after="0" w:line="190" w:lineRule="exact"/>
              <w:rPr>
                <w:rFonts w:ascii="Arial" w:cs="Arial" w:eastAsia="Arial" w:hAnsi="Arial"/>
                <w:sz w:val="18"/>
                <w:szCs w:val="18"/>
                <w:color w:val="0000FF"/>
              </w:rPr>
            </w:pPr>
            <w:hyperlink r:id="rId90">
              <w:r>
                <w:rPr>
                  <w:rFonts w:ascii="Arial" w:cs="Arial" w:eastAsia="Arial" w:hAnsi="Arial"/>
                  <w:sz w:val="18"/>
                  <w:szCs w:val="18"/>
                  <w:color w:val="0000FF"/>
                </w:rPr>
                <w:t>Form of Restricted Stock Unit Agreement under the</w:t>
              </w:r>
            </w:hyperlink>
          </w:p>
        </w:tc>
        <w:tc>
          <w:tcPr>
            <w:tcW w:w="980" w:type="dxa"/>
            <w:vAlign w:val="bottom"/>
            <w:vMerge w:val="restart"/>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8"/>
              </w:rPr>
              <w:t>5/4/2016</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378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w w:val="90"/>
              </w:rPr>
            </w:pPr>
            <w:hyperlink r:id="rId90">
              <w:r>
                <w:rPr>
                  <w:rFonts w:ascii="Arial" w:cs="Arial" w:eastAsia="Arial" w:hAnsi="Arial"/>
                  <w:sz w:val="18"/>
                  <w:szCs w:val="18"/>
                  <w:u w:val="single" w:color="auto"/>
                  <w:color w:val="0000FF"/>
                  <w:w w:val="90"/>
                </w:rPr>
                <w:t>Company’s 2008 Director Long-Term Incentive Plan</w:t>
              </w:r>
            </w:hyperlink>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9"/>
              </w:rPr>
              <w:t>10.8*</w:t>
            </w:r>
          </w:p>
        </w:tc>
        <w:tc>
          <w:tcPr>
            <w:tcW w:w="4260" w:type="dxa"/>
            <w:vAlign w:val="bottom"/>
            <w:gridSpan w:val="24"/>
          </w:tcPr>
          <w:p>
            <w:pPr>
              <w:spacing w:after="0" w:line="190"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Skyworks Solutions, Inc. 2015 Long-Term Incentive Plan,</w:t>
              </w:r>
            </w:hyperlink>
          </w:p>
        </w:tc>
        <w:tc>
          <w:tcPr>
            <w:tcW w:w="980" w:type="dxa"/>
            <w:vAlign w:val="bottom"/>
            <w:vMerge w:val="restart"/>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8"/>
              </w:rPr>
              <w:t>8/7/2019</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2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as Amended</w:t>
              </w:r>
            </w:hyperlink>
          </w:p>
        </w:tc>
        <w:tc>
          <w:tcPr>
            <w:tcW w:w="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4260" w:type="dxa"/>
            <w:vAlign w:val="bottom"/>
            <w:gridSpan w:val="24"/>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Form of Nonstatutory Stock Option Agreement under the</w:t>
              </w:r>
            </w:hyperlink>
          </w:p>
        </w:tc>
        <w:tc>
          <w:tcPr>
            <w:tcW w:w="980" w:type="dxa"/>
            <w:vAlign w:val="bottom"/>
            <w:vMerge w:val="restart"/>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8"/>
              </w:rPr>
              <w:t>8/5/2015</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Company’s 2015 Long-Term Incentive Plan</w:t>
              </w:r>
            </w:hyperlink>
          </w:p>
        </w:tc>
        <w:tc>
          <w:tcPr>
            <w:tcW w:w="960" w:type="dxa"/>
            <w:vAlign w:val="bottom"/>
            <w:tcBorders>
              <w:top w:val="single" w:sz="8" w:color="0000FF"/>
            </w:tcBorders>
            <w:gridSpan w:val="12"/>
          </w:tcPr>
          <w:p>
            <w:pPr>
              <w:spacing w:after="0"/>
              <w:rPr>
                <w:sz w:val="13"/>
                <w:szCs w:val="13"/>
                <w:color w:val="auto"/>
              </w:rPr>
            </w:pPr>
          </w:p>
        </w:tc>
        <w:tc>
          <w:tcPr>
            <w:tcW w:w="120" w:type="dxa"/>
            <w:vAlign w:val="bottom"/>
            <w:gridSpan w:val="4"/>
          </w:tcPr>
          <w:p>
            <w:pPr>
              <w:spacing w:after="0"/>
              <w:rPr>
                <w:sz w:val="13"/>
                <w:szCs w:val="13"/>
                <w:color w:val="auto"/>
              </w:rPr>
            </w:pPr>
          </w:p>
        </w:tc>
        <w:tc>
          <w:tcPr>
            <w:tcW w:w="9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4260" w:type="dxa"/>
            <w:vAlign w:val="bottom"/>
            <w:gridSpan w:val="24"/>
          </w:tcPr>
          <w:p>
            <w:pPr>
              <w:spacing w:after="0"/>
              <w:rPr>
                <w:rFonts w:ascii="Arial" w:cs="Arial" w:eastAsia="Arial" w:hAnsi="Arial"/>
                <w:sz w:val="18"/>
                <w:szCs w:val="18"/>
                <w:color w:val="0000FF"/>
              </w:rPr>
            </w:pPr>
            <w:hyperlink r:id="rId93">
              <w:r>
                <w:rPr>
                  <w:rFonts w:ascii="Arial" w:cs="Arial" w:eastAsia="Arial" w:hAnsi="Arial"/>
                  <w:sz w:val="18"/>
                  <w:szCs w:val="18"/>
                  <w:color w:val="0000FF"/>
                </w:rPr>
                <w:t>Form of Performance Share Agreement under the</w:t>
              </w:r>
            </w:hyperlink>
          </w:p>
        </w:tc>
        <w:tc>
          <w:tcPr>
            <w:tcW w:w="980" w:type="dxa"/>
            <w:vAlign w:val="bottom"/>
            <w:vMerge w:val="restart"/>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8"/>
              </w:rPr>
              <w:t>8/5/2015</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3580" w:type="dxa"/>
            <w:vAlign w:val="bottom"/>
            <w:tcBorders>
              <w:top w:val="single" w:sz="8" w:color="0000FF"/>
            </w:tcBorders>
            <w:gridSpan w:val="10"/>
          </w:tcPr>
          <w:p>
            <w:pPr>
              <w:spacing w:after="0" w:line="195" w:lineRule="exact"/>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Company’s 2015 Long-Term Incentive Plan</w:t>
              </w:r>
            </w:hyperlink>
          </w:p>
        </w:tc>
        <w:tc>
          <w:tcPr>
            <w:tcW w:w="180" w:type="dxa"/>
            <w:vAlign w:val="bottom"/>
            <w:gridSpan w:val="2"/>
          </w:tcPr>
          <w:p>
            <w:pPr>
              <w:spacing w:after="0"/>
              <w:rPr>
                <w:sz w:val="16"/>
                <w:szCs w:val="16"/>
                <w:color w:val="auto"/>
              </w:rPr>
            </w:pPr>
          </w:p>
        </w:tc>
        <w:tc>
          <w:tcPr>
            <w:tcW w:w="1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5"/>
          </w:tcPr>
          <w:p>
            <w:pPr>
              <w:spacing w:after="0"/>
              <w:rPr>
                <w:sz w:val="16"/>
                <w:szCs w:val="16"/>
                <w:color w:val="auto"/>
              </w:rPr>
            </w:pPr>
          </w:p>
        </w:tc>
        <w:tc>
          <w:tcPr>
            <w:tcW w:w="9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5"/>
              </w:rPr>
              <w:t>10.11*</w:t>
            </w:r>
          </w:p>
        </w:tc>
        <w:tc>
          <w:tcPr>
            <w:tcW w:w="4260" w:type="dxa"/>
            <w:vAlign w:val="bottom"/>
            <w:gridSpan w:val="24"/>
          </w:tcPr>
          <w:p>
            <w:pPr>
              <w:spacing w:after="0" w:line="190" w:lineRule="exact"/>
              <w:rPr>
                <w:rFonts w:ascii="Arial" w:cs="Arial" w:eastAsia="Arial" w:hAnsi="Arial"/>
                <w:sz w:val="18"/>
                <w:szCs w:val="18"/>
                <w:color w:val="0000FF"/>
              </w:rPr>
            </w:pPr>
            <w:hyperlink r:id="rId94">
              <w:r>
                <w:rPr>
                  <w:rFonts w:ascii="Arial" w:cs="Arial" w:eastAsia="Arial" w:hAnsi="Arial"/>
                  <w:sz w:val="18"/>
                  <w:szCs w:val="18"/>
                  <w:color w:val="0000FF"/>
                </w:rPr>
                <w:t>Form of Restricted Stock Unit Agreement under the</w:t>
              </w:r>
            </w:hyperlink>
          </w:p>
        </w:tc>
        <w:tc>
          <w:tcPr>
            <w:tcW w:w="980" w:type="dxa"/>
            <w:vAlign w:val="bottom"/>
            <w:vMerge w:val="restart"/>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8"/>
              </w:rPr>
              <w:t>8/5/2015</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3760" w:type="dxa"/>
            <w:vAlign w:val="bottom"/>
            <w:tcBorders>
              <w:top w:val="single" w:sz="8" w:color="0000FF"/>
            </w:tcBorders>
            <w:gridSpan w:val="12"/>
          </w:tcPr>
          <w:p>
            <w:pPr>
              <w:spacing w:after="0" w:line="195" w:lineRule="exact"/>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Company’s 2015 Long-Term Incentive Plan</w:t>
              </w:r>
            </w:hyperlink>
          </w:p>
        </w:tc>
        <w:tc>
          <w:tcPr>
            <w:tcW w:w="1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5"/>
          </w:tcPr>
          <w:p>
            <w:pPr>
              <w:spacing w:after="0"/>
              <w:rPr>
                <w:sz w:val="16"/>
                <w:szCs w:val="16"/>
                <w:color w:val="auto"/>
              </w:rPr>
            </w:pPr>
          </w:p>
        </w:tc>
        <w:tc>
          <w:tcPr>
            <w:tcW w:w="9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4260" w:type="dxa"/>
            <w:vAlign w:val="bottom"/>
            <w:gridSpan w:val="24"/>
          </w:tcPr>
          <w:p>
            <w:pPr>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Fiscal Year 2020 Executive Incentive Plan</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1/24/2020</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5"/>
              </w:rPr>
              <w:t>10.13*</w:t>
            </w:r>
          </w:p>
        </w:tc>
        <w:tc>
          <w:tcPr>
            <w:tcW w:w="4260" w:type="dxa"/>
            <w:vAlign w:val="bottom"/>
            <w:gridSpan w:val="24"/>
          </w:tcPr>
          <w:p>
            <w:pPr>
              <w:spacing w:after="0" w:line="190" w:lineRule="exact"/>
              <w:rPr>
                <w:rFonts w:ascii="Arial" w:cs="Arial" w:eastAsia="Arial" w:hAnsi="Arial"/>
                <w:sz w:val="18"/>
                <w:szCs w:val="18"/>
                <w:color w:val="0000FF"/>
                <w:w w:val="98"/>
              </w:rPr>
            </w:pPr>
            <w:hyperlink r:id="rId96">
              <w:r>
                <w:rPr>
                  <w:rFonts w:ascii="Arial" w:cs="Arial" w:eastAsia="Arial" w:hAnsi="Arial"/>
                  <w:sz w:val="18"/>
                  <w:szCs w:val="18"/>
                  <w:color w:val="0000FF"/>
                  <w:w w:val="98"/>
                </w:rPr>
                <w:t>Skyworks Solutions, Inc. Cash Compensation Plan for</w:t>
              </w:r>
            </w:hyperlink>
          </w:p>
        </w:tc>
        <w:tc>
          <w:tcPr>
            <w:tcW w:w="980" w:type="dxa"/>
            <w:vAlign w:val="bottom"/>
          </w:tcPr>
          <w:p>
            <w:pPr>
              <w:jc w:val="center"/>
              <w:ind w:left="11"/>
              <w:spacing w:after="0" w:line="190"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240" w:type="dxa"/>
            <w:vAlign w:val="bottom"/>
          </w:tcPr>
          <w:p>
            <w:pPr>
              <w:jc w:val="center"/>
              <w:spacing w:after="0" w:line="190" w:lineRule="exact"/>
              <w:rPr>
                <w:sz w:val="20"/>
                <w:szCs w:val="20"/>
                <w:color w:val="auto"/>
              </w:rPr>
            </w:pPr>
            <w:r>
              <w:rPr>
                <w:rFonts w:ascii="Arial" w:cs="Arial" w:eastAsia="Arial" w:hAnsi="Arial"/>
                <w:sz w:val="18"/>
                <w:szCs w:val="18"/>
                <w:color w:val="auto"/>
                <w:w w:val="88"/>
              </w:rPr>
              <w:t>5/5/2020</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Directors</w:t>
              </w:r>
            </w:hyperlink>
          </w:p>
        </w:tc>
        <w:tc>
          <w:tcPr>
            <w:tcW w:w="32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4260" w:type="dxa"/>
            <w:vAlign w:val="bottom"/>
            <w:gridSpan w:val="24"/>
          </w:tcPr>
          <w:p>
            <w:pPr>
              <w:spacing w:after="0"/>
              <w:rPr>
                <w:rFonts w:ascii="Arial" w:cs="Arial" w:eastAsia="Arial" w:hAnsi="Arial"/>
                <w:sz w:val="18"/>
                <w:szCs w:val="18"/>
                <w:color w:val="0000FF"/>
                <w:w w:val="96"/>
              </w:rPr>
            </w:pPr>
            <w:hyperlink r:id="rId97">
              <w:r>
                <w:rPr>
                  <w:rFonts w:ascii="Arial" w:cs="Arial" w:eastAsia="Arial" w:hAnsi="Arial"/>
                  <w:sz w:val="18"/>
                  <w:szCs w:val="18"/>
                  <w:color w:val="0000FF"/>
                  <w:w w:val="96"/>
                </w:rPr>
                <w:t>Amended and Restated Change in Control / Severance</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8/3/2016</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7"/>
              </w:rPr>
            </w:pPr>
            <w:hyperlink r:id="rId97">
              <w:r>
                <w:rPr>
                  <w:rFonts w:ascii="Arial" w:cs="Arial" w:eastAsia="Arial" w:hAnsi="Arial"/>
                  <w:sz w:val="18"/>
                  <w:szCs w:val="18"/>
                  <w:color w:val="0000FF"/>
                  <w:w w:val="87"/>
                </w:rPr>
                <w:t>Agreement, dated May 11, 2016, between the Company</w:t>
              </w:r>
            </w:hyperlink>
          </w:p>
        </w:tc>
        <w:tc>
          <w:tcPr>
            <w:tcW w:w="80" w:type="dxa"/>
            <w:vAlign w:val="bottom"/>
            <w:tcBorders>
              <w:bottom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240" w:type="dxa"/>
            <w:vAlign w:val="bottom"/>
            <w:tcBorders>
              <w:bottom w:val="single" w:sz="8" w:color="0000FF"/>
            </w:tcBorders>
            <w:gridSpan w:val="4"/>
          </w:tcPr>
          <w:p>
            <w:pPr>
              <w:spacing w:after="0" w:line="156"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and Liam Griffin</w:t>
              </w:r>
            </w:hyperlink>
          </w:p>
        </w:tc>
        <w:tc>
          <w:tcPr>
            <w:tcW w:w="2780" w:type="dxa"/>
            <w:vAlign w:val="bottom"/>
            <w:gridSpan w:val="14"/>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4260" w:type="dxa"/>
            <w:vAlign w:val="bottom"/>
            <w:gridSpan w:val="24"/>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Change in Control / Severance Agreement, dated August</w:t>
              </w:r>
            </w:hyperlink>
          </w:p>
        </w:tc>
        <w:tc>
          <w:tcPr>
            <w:tcW w:w="98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410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w w:val="96"/>
              </w:rPr>
            </w:pPr>
            <w:hyperlink r:id="rId98">
              <w:r>
                <w:rPr>
                  <w:rFonts w:ascii="Arial" w:cs="Arial" w:eastAsia="Arial" w:hAnsi="Arial"/>
                  <w:sz w:val="18"/>
                  <w:szCs w:val="18"/>
                  <w:u w:val="single" w:color="auto"/>
                  <w:color w:val="0000FF"/>
                  <w:w w:val="96"/>
                </w:rPr>
                <w:t>29, 2016, between the Company and Kris Sennesael</w:t>
              </w:r>
            </w:hyperlink>
          </w:p>
        </w:tc>
        <w:tc>
          <w:tcPr>
            <w:tcW w:w="160" w:type="dxa"/>
            <w:vAlign w:val="bottom"/>
            <w:gridSpan w:val="5"/>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5"/>
              </w:rPr>
              <w:t>10.16*</w:t>
            </w:r>
          </w:p>
        </w:tc>
        <w:tc>
          <w:tcPr>
            <w:tcW w:w="4260" w:type="dxa"/>
            <w:vAlign w:val="bottom"/>
            <w:gridSpan w:val="24"/>
          </w:tcPr>
          <w:p>
            <w:pPr>
              <w:spacing w:after="0" w:line="190" w:lineRule="exact"/>
              <w:rPr>
                <w:rFonts w:ascii="Arial" w:cs="Arial" w:eastAsia="Arial" w:hAnsi="Arial"/>
                <w:sz w:val="18"/>
                <w:szCs w:val="18"/>
                <w:color w:val="0000FF"/>
              </w:rPr>
            </w:pPr>
            <w:hyperlink r:id="rId99">
              <w:r>
                <w:rPr>
                  <w:rFonts w:ascii="Arial" w:cs="Arial" w:eastAsia="Arial" w:hAnsi="Arial"/>
                  <w:sz w:val="18"/>
                  <w:szCs w:val="18"/>
                  <w:color w:val="0000FF"/>
                </w:rPr>
                <w:t>Change in Control / Severance Agreement, dated</w:t>
              </w:r>
            </w:hyperlink>
          </w:p>
        </w:tc>
        <w:tc>
          <w:tcPr>
            <w:tcW w:w="980" w:type="dxa"/>
            <w:vAlign w:val="bottom"/>
          </w:tcPr>
          <w:p>
            <w:pPr>
              <w:jc w:val="center"/>
              <w:ind w:left="11"/>
              <w:spacing w:after="0" w:line="190"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1"/>
              </w:rPr>
              <w:t>10.2</w:t>
            </w:r>
          </w:p>
        </w:tc>
        <w:tc>
          <w:tcPr>
            <w:tcW w:w="1240" w:type="dxa"/>
            <w:vAlign w:val="bottom"/>
          </w:tcPr>
          <w:p>
            <w:pPr>
              <w:jc w:val="center"/>
              <w:spacing w:after="0" w:line="190" w:lineRule="exact"/>
              <w:rPr>
                <w:sz w:val="20"/>
                <w:szCs w:val="20"/>
                <w:color w:val="auto"/>
              </w:rPr>
            </w:pPr>
            <w:r>
              <w:rPr>
                <w:rFonts w:ascii="Arial" w:cs="Arial" w:eastAsia="Arial" w:hAnsi="Arial"/>
                <w:sz w:val="18"/>
                <w:szCs w:val="18"/>
                <w:color w:val="auto"/>
                <w:w w:val="88"/>
              </w:rPr>
              <w:t>2/7/2017</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54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November 10, 2016, between the Company and</w:t>
              </w:r>
            </w:hyperlink>
          </w:p>
        </w:tc>
        <w:tc>
          <w:tcPr>
            <w:tcW w:w="720" w:type="dxa"/>
            <w:vAlign w:val="bottom"/>
            <w:gridSpan w:val="15"/>
          </w:tcPr>
          <w:p>
            <w:pPr>
              <w:spacing w:after="0" w:line="15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Robert J.</w:t>
              </w:r>
            </w:hyperlink>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1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Terry</w:t>
              </w:r>
            </w:hyperlink>
          </w:p>
        </w:tc>
        <w:tc>
          <w:tcPr>
            <w:tcW w:w="120" w:type="dxa"/>
            <w:vAlign w:val="bottom"/>
            <w:gridSpan w:val="4"/>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7"/>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40" w:type="dxa"/>
            <w:vAlign w:val="bottom"/>
            <w:gridSpan w:val="3"/>
          </w:tcPr>
          <w:p>
            <w:pPr>
              <w:ind w:left="88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39"/>
        </w:trPr>
        <w:tc>
          <w:tcPr>
            <w:tcW w:w="13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120" w:type="dxa"/>
            <w:vAlign w:val="bottom"/>
            <w:gridSpan w:val="11"/>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1"/>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1300" w:type="dxa"/>
            <w:vAlign w:val="bottom"/>
          </w:tcPr>
          <w:p>
            <w:pPr>
              <w:jc w:val="center"/>
              <w:spacing w:after="0" w:line="184" w:lineRule="exact"/>
              <w:rPr>
                <w:sz w:val="20"/>
                <w:szCs w:val="20"/>
                <w:color w:val="auto"/>
              </w:rPr>
            </w:pPr>
            <w:r>
              <w:rPr>
                <w:rFonts w:ascii="Arial" w:cs="Arial" w:eastAsia="Arial" w:hAnsi="Arial"/>
                <w:sz w:val="18"/>
                <w:szCs w:val="18"/>
                <w:color w:val="auto"/>
                <w:w w:val="95"/>
              </w:rPr>
              <w:t>10.17*</w:t>
            </w:r>
          </w:p>
        </w:tc>
        <w:tc>
          <w:tcPr>
            <w:tcW w:w="4440" w:type="dxa"/>
            <w:vAlign w:val="bottom"/>
            <w:gridSpan w:val="12"/>
          </w:tcPr>
          <w:p>
            <w:pPr>
              <w:spacing w:after="0" w:line="184" w:lineRule="exact"/>
              <w:rPr>
                <w:rFonts w:ascii="Arial" w:cs="Arial" w:eastAsia="Arial" w:hAnsi="Arial"/>
                <w:sz w:val="18"/>
                <w:szCs w:val="18"/>
                <w:color w:val="0000FF"/>
              </w:rPr>
            </w:pPr>
            <w:hyperlink r:id="rId102">
              <w:r>
                <w:rPr>
                  <w:rFonts w:ascii="Arial" w:cs="Arial" w:eastAsia="Arial" w:hAnsi="Arial"/>
                  <w:sz w:val="18"/>
                  <w:szCs w:val="18"/>
                  <w:color w:val="0000FF"/>
                </w:rPr>
                <w:t>Change in Control / Severance Agreement, dated</w:t>
              </w:r>
            </w:hyperlink>
          </w:p>
        </w:tc>
        <w:tc>
          <w:tcPr>
            <w:tcW w:w="800" w:type="dxa"/>
            <w:vAlign w:val="bottom"/>
          </w:tcPr>
          <w:p>
            <w:pPr>
              <w:ind w:left="180"/>
              <w:spacing w:after="0" w:line="184" w:lineRule="exact"/>
              <w:rPr>
                <w:sz w:val="20"/>
                <w:szCs w:val="20"/>
                <w:color w:val="auto"/>
              </w:rPr>
            </w:pPr>
            <w:r>
              <w:rPr>
                <w:rFonts w:ascii="Arial" w:cs="Arial" w:eastAsia="Arial" w:hAnsi="Arial"/>
                <w:sz w:val="18"/>
                <w:szCs w:val="18"/>
                <w:color w:val="auto"/>
              </w:rPr>
              <w:t>10-K</w:t>
            </w:r>
          </w:p>
        </w:tc>
        <w:tc>
          <w:tcPr>
            <w:tcW w:w="1280" w:type="dxa"/>
            <w:vAlign w:val="bottom"/>
          </w:tcPr>
          <w:p>
            <w:pPr>
              <w:jc w:val="center"/>
              <w:spacing w:after="0" w:line="184" w:lineRule="exact"/>
              <w:rPr>
                <w:sz w:val="20"/>
                <w:szCs w:val="20"/>
                <w:color w:val="auto"/>
              </w:rPr>
            </w:pPr>
            <w:r>
              <w:rPr>
                <w:rFonts w:ascii="Arial" w:cs="Arial" w:eastAsia="Arial" w:hAnsi="Arial"/>
                <w:sz w:val="18"/>
                <w:szCs w:val="18"/>
                <w:color w:val="auto"/>
                <w:w w:val="90"/>
              </w:rPr>
              <w:t>001-05560</w:t>
            </w:r>
          </w:p>
        </w:tc>
        <w:tc>
          <w:tcPr>
            <w:tcW w:w="900" w:type="dxa"/>
            <w:vAlign w:val="bottom"/>
          </w:tcPr>
          <w:p>
            <w:pPr>
              <w:jc w:val="right"/>
              <w:ind w:right="156"/>
              <w:spacing w:after="0" w:line="184" w:lineRule="exact"/>
              <w:rPr>
                <w:sz w:val="20"/>
                <w:szCs w:val="20"/>
                <w:color w:val="auto"/>
              </w:rPr>
            </w:pPr>
            <w:r>
              <w:rPr>
                <w:rFonts w:ascii="Arial" w:cs="Arial" w:eastAsia="Arial" w:hAnsi="Arial"/>
                <w:sz w:val="18"/>
                <w:szCs w:val="18"/>
                <w:color w:val="auto"/>
              </w:rPr>
              <w:t>10.27</w:t>
            </w:r>
          </w:p>
        </w:tc>
        <w:tc>
          <w:tcPr>
            <w:tcW w:w="1160" w:type="dxa"/>
            <w:vAlign w:val="bottom"/>
          </w:tcPr>
          <w:p>
            <w:pPr>
              <w:jc w:val="right"/>
              <w:ind w:right="56"/>
              <w:spacing w:after="0" w:line="184" w:lineRule="exact"/>
              <w:rPr>
                <w:sz w:val="20"/>
                <w:szCs w:val="20"/>
                <w:color w:val="auto"/>
              </w:rPr>
            </w:pPr>
            <w:r>
              <w:rPr>
                <w:rFonts w:ascii="Arial" w:cs="Arial" w:eastAsia="Arial" w:hAnsi="Arial"/>
                <w:sz w:val="18"/>
                <w:szCs w:val="18"/>
                <w:color w:val="auto"/>
              </w:rPr>
              <w:t>11/13/2017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440" w:type="dxa"/>
            <w:vAlign w:val="bottom"/>
            <w:gridSpan w:val="12"/>
          </w:tcPr>
          <w:p>
            <w:pPr>
              <w:spacing w:after="0" w:line="156" w:lineRule="exact"/>
              <w:rPr>
                <w:rFonts w:ascii="Arial" w:cs="Arial" w:eastAsia="Arial" w:hAnsi="Arial"/>
                <w:sz w:val="18"/>
                <w:szCs w:val="18"/>
                <w:color w:val="0000FF"/>
                <w:w w:val="97"/>
              </w:rPr>
            </w:pPr>
            <w:hyperlink r:id="rId102">
              <w:r>
                <w:rPr>
                  <w:rFonts w:ascii="Arial" w:cs="Arial" w:eastAsia="Arial" w:hAnsi="Arial"/>
                  <w:sz w:val="18"/>
                  <w:szCs w:val="18"/>
                  <w:color w:val="0000FF"/>
                  <w:w w:val="97"/>
                </w:rPr>
                <w:t>November 9, 2016, between the Company and Carlos S.</w:t>
              </w:r>
            </w:hyperlink>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Bori</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4440" w:type="dxa"/>
            <w:vAlign w:val="bottom"/>
            <w:gridSpan w:val="12"/>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Change in Control / Severance Agreement, dated April 13,</w:t>
              </w:r>
            </w:hyperlink>
          </w:p>
        </w:tc>
        <w:tc>
          <w:tcPr>
            <w:tcW w:w="800" w:type="dxa"/>
            <w:vAlign w:val="bottom"/>
          </w:tcPr>
          <w:p>
            <w:pPr>
              <w:ind w:left="180"/>
              <w:spacing w:after="0"/>
              <w:rPr>
                <w:sz w:val="20"/>
                <w:szCs w:val="20"/>
                <w:color w:val="auto"/>
              </w:rPr>
            </w:pPr>
            <w:r>
              <w:rPr>
                <w:rFonts w:ascii="Arial" w:cs="Arial" w:eastAsia="Arial" w:hAnsi="Arial"/>
                <w:sz w:val="18"/>
                <w:szCs w:val="18"/>
                <w:color w:val="auto"/>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10.2</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1/24/2020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4240" w:type="dxa"/>
            <w:vAlign w:val="bottom"/>
            <w:tcBorders>
              <w:top w:val="single" w:sz="8" w:color="0000FF"/>
            </w:tcBorders>
            <w:gridSpan w:val="10"/>
          </w:tcPr>
          <w:p>
            <w:pPr>
              <w:spacing w:after="0" w:line="195" w:lineRule="exact"/>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2018, between the Company and Kari A. Durham</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444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Subsidiaries of the Company</w:t>
              </w:r>
            </w:hyperlink>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4440" w:type="dxa"/>
            <w:vAlign w:val="bottom"/>
            <w:gridSpan w:val="12"/>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Consent of KPMG LLP</w:t>
              </w:r>
            </w:hyperlink>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85"/>
              </w:rPr>
              <w:t>31.1</w:t>
            </w:r>
          </w:p>
        </w:tc>
        <w:tc>
          <w:tcPr>
            <w:tcW w:w="4020" w:type="dxa"/>
            <w:vAlign w:val="bottom"/>
            <w:tcBorders>
              <w:bottom w:val="single" w:sz="8" w:color="0000FF"/>
            </w:tcBorders>
            <w:gridSpan w:val="6"/>
          </w:tcPr>
          <w:p>
            <w:pPr>
              <w:spacing w:after="0" w:line="190" w:lineRule="exact"/>
              <w:rPr>
                <w:rFonts w:ascii="Arial" w:cs="Arial" w:eastAsia="Arial" w:hAnsi="Arial"/>
                <w:sz w:val="18"/>
                <w:szCs w:val="18"/>
                <w:color w:val="0000FF"/>
                <w:w w:val="93"/>
              </w:rPr>
            </w:pPr>
            <w:hyperlink w:anchor="page71">
              <w:r>
                <w:rPr>
                  <w:rFonts w:ascii="Arial" w:cs="Arial" w:eastAsia="Arial" w:hAnsi="Arial"/>
                  <w:sz w:val="18"/>
                  <w:szCs w:val="18"/>
                  <w:color w:val="0000FF"/>
                  <w:w w:val="93"/>
                </w:rPr>
                <w:t>Certification of the Company’s Chief Executive Officer</w:t>
              </w:r>
            </w:hyperlink>
          </w:p>
        </w:tc>
        <w:tc>
          <w:tcPr>
            <w:tcW w:w="42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440" w:type="dxa"/>
            <w:vAlign w:val="bottom"/>
            <w:gridSpan w:val="12"/>
          </w:tcPr>
          <w:p>
            <w:pPr>
              <w:spacing w:after="0" w:line="156" w:lineRule="exact"/>
              <w:rPr>
                <w:rFonts w:ascii="Arial" w:cs="Arial" w:eastAsia="Arial" w:hAnsi="Arial"/>
                <w:sz w:val="18"/>
                <w:szCs w:val="18"/>
                <w:color w:val="0000FF"/>
                <w:w w:val="96"/>
              </w:rPr>
            </w:pPr>
            <w:hyperlink w:anchor="page71">
              <w:r>
                <w:rPr>
                  <w:rFonts w:ascii="Arial" w:cs="Arial" w:eastAsia="Arial" w:hAnsi="Arial"/>
                  <w:sz w:val="18"/>
                  <w:szCs w:val="18"/>
                  <w:color w:val="0000FF"/>
                  <w:w w:val="96"/>
                </w:rPr>
                <w:t>pursuant to Securities and Exchange Act Rules 13a-14(a)</w:t>
              </w:r>
            </w:hyperlink>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14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and 15d-14(a), as adopted pursuant to Section 302 of the</w:t>
              </w:r>
            </w:hyperlink>
          </w:p>
        </w:tc>
        <w:tc>
          <w:tcPr>
            <w:tcW w:w="1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Sarbanes-Oxley Act of 2002</w:t>
              </w:r>
            </w:hyperlink>
          </w:p>
        </w:tc>
        <w:tc>
          <w:tcPr>
            <w:tcW w:w="18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4440" w:type="dxa"/>
            <w:vAlign w:val="bottom"/>
            <w:gridSpan w:val="1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the Company’s Chief Financial Officer</w:t>
              </w:r>
            </w:hyperlink>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440" w:type="dxa"/>
            <w:vAlign w:val="bottom"/>
            <w:gridSpan w:val="12"/>
          </w:tcPr>
          <w:p>
            <w:pPr>
              <w:spacing w:after="0" w:line="156" w:lineRule="exact"/>
              <w:rPr>
                <w:rFonts w:ascii="Arial" w:cs="Arial" w:eastAsia="Arial" w:hAnsi="Arial"/>
                <w:sz w:val="18"/>
                <w:szCs w:val="18"/>
                <w:color w:val="0000FF"/>
                <w:w w:val="96"/>
              </w:rPr>
            </w:pPr>
            <w:hyperlink w:anchor="page72">
              <w:r>
                <w:rPr>
                  <w:rFonts w:ascii="Arial" w:cs="Arial" w:eastAsia="Arial" w:hAnsi="Arial"/>
                  <w:sz w:val="18"/>
                  <w:szCs w:val="18"/>
                  <w:color w:val="0000FF"/>
                  <w:w w:val="96"/>
                </w:rPr>
                <w:t>pursuant to Securities and Exchange Act Rules 13a-14(a)</w:t>
              </w:r>
            </w:hyperlink>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14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and 15d-14(a), as adopted pursuant to Section 302 of the</w:t>
              </w:r>
            </w:hyperlink>
          </w:p>
        </w:tc>
        <w:tc>
          <w:tcPr>
            <w:tcW w:w="1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Sarbanes-Oxley Act of 2002</w:t>
              </w:r>
            </w:hyperlink>
          </w:p>
        </w:tc>
        <w:tc>
          <w:tcPr>
            <w:tcW w:w="18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4440" w:type="dxa"/>
            <w:vAlign w:val="bottom"/>
            <w:gridSpan w:val="12"/>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the Company’s Chief Executive Officer</w:t>
              </w:r>
            </w:hyperlink>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20" w:type="dxa"/>
            <w:vAlign w:val="bottom"/>
            <w:tcBorders>
              <w:top w:val="single" w:sz="8" w:color="0000FF"/>
            </w:tcBorders>
            <w:gridSpan w:val="6"/>
          </w:tcPr>
          <w:p>
            <w:pPr>
              <w:spacing w:after="0" w:line="156" w:lineRule="exact"/>
              <w:rPr>
                <w:rFonts w:ascii="Arial" w:cs="Arial" w:eastAsia="Arial" w:hAnsi="Arial"/>
                <w:sz w:val="18"/>
                <w:szCs w:val="18"/>
                <w:color w:val="0000FF"/>
                <w:w w:val="87"/>
              </w:rPr>
            </w:pPr>
            <w:hyperlink w:anchor="page73">
              <w:r>
                <w:rPr>
                  <w:rFonts w:ascii="Arial" w:cs="Arial" w:eastAsia="Arial" w:hAnsi="Arial"/>
                  <w:sz w:val="18"/>
                  <w:szCs w:val="18"/>
                  <w:color w:val="0000FF"/>
                  <w:w w:val="87"/>
                </w:rPr>
                <w:t>pursuant to 18 U.S.C. Section 1350, as adopted pursuant</w:t>
              </w:r>
            </w:hyperlink>
          </w:p>
        </w:tc>
        <w:tc>
          <w:tcPr>
            <w:tcW w:w="420" w:type="dxa"/>
            <w:vAlign w:val="bottom"/>
            <w:gridSpan w:val="6"/>
          </w:tcPr>
          <w:p>
            <w:pPr>
              <w:ind w:left="100"/>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to</w:t>
              </w:r>
            </w:hyperlink>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Section 906 of the Sarbanes-Oxley Act of 2002</w:t>
              </w:r>
            </w:hyperlink>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4440" w:type="dxa"/>
            <w:vAlign w:val="bottom"/>
            <w:gridSpan w:val="1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the Company’s Chief Financial Officer</w:t>
              </w:r>
            </w:hyperlink>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60" w:type="dxa"/>
            <w:vAlign w:val="bottom"/>
            <w:tcBorders>
              <w:top w:val="single" w:sz="8" w:color="0000FF"/>
            </w:tcBorders>
            <w:gridSpan w:val="5"/>
          </w:tcPr>
          <w:p>
            <w:pPr>
              <w:spacing w:after="0" w:line="156" w:lineRule="exact"/>
              <w:rPr>
                <w:rFonts w:ascii="Arial" w:cs="Arial" w:eastAsia="Arial" w:hAnsi="Arial"/>
                <w:sz w:val="18"/>
                <w:szCs w:val="18"/>
                <w:color w:val="0000FF"/>
                <w:w w:val="86"/>
              </w:rPr>
            </w:pPr>
            <w:hyperlink w:anchor="page74">
              <w:r>
                <w:rPr>
                  <w:rFonts w:ascii="Arial" w:cs="Arial" w:eastAsia="Arial" w:hAnsi="Arial"/>
                  <w:sz w:val="18"/>
                  <w:szCs w:val="18"/>
                  <w:color w:val="0000FF"/>
                  <w:w w:val="86"/>
                </w:rPr>
                <w:t>pursuant to 18 U.S.C. Section 1350, as adopted pursuant</w:t>
              </w:r>
            </w:hyperlink>
          </w:p>
        </w:tc>
        <w:tc>
          <w:tcPr>
            <w:tcW w:w="480" w:type="dxa"/>
            <w:vAlign w:val="bottom"/>
            <w:gridSpan w:val="7"/>
          </w:tcPr>
          <w:p>
            <w:pPr>
              <w:ind w:left="160"/>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to</w:t>
              </w:r>
            </w:hyperlink>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Section 906 of the Sarbanes-Oxley Act of 2002</w:t>
              </w:r>
            </w:hyperlink>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5"/>
              </w:rPr>
              <w:t>101.INS</w:t>
            </w:r>
          </w:p>
        </w:tc>
        <w:tc>
          <w:tcPr>
            <w:tcW w:w="4440" w:type="dxa"/>
            <w:vAlign w:val="bottom"/>
            <w:gridSpan w:val="12"/>
          </w:tcPr>
          <w:p>
            <w:pPr>
              <w:spacing w:after="0" w:line="196" w:lineRule="exact"/>
              <w:rPr>
                <w:sz w:val="20"/>
                <w:szCs w:val="20"/>
                <w:color w:val="auto"/>
              </w:rPr>
            </w:pPr>
            <w:r>
              <w:rPr>
                <w:rFonts w:ascii="Arial" w:cs="Arial" w:eastAsia="Arial" w:hAnsi="Arial"/>
                <w:sz w:val="18"/>
                <w:szCs w:val="18"/>
                <w:color w:val="auto"/>
                <w:w w:val="97"/>
              </w:rPr>
              <w:t>Inline XBRL Instance Document - the instance document</w:t>
            </w: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does not appear in the Interactive Data File because its</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4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4"/>
              </w:rPr>
              <w:t>101.CAL</w:t>
            </w: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2"/>
              </w:rPr>
              <w:t>101.DEF</w:t>
            </w: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5"/>
              </w:rPr>
              <w:t>101.LAB</w:t>
            </w: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1"/>
              </w:rPr>
              <w:t>101.PRE</w:t>
            </w:r>
          </w:p>
        </w:tc>
        <w:tc>
          <w:tcPr>
            <w:tcW w:w="4440" w:type="dxa"/>
            <w:vAlign w:val="bottom"/>
            <w:gridSpan w:val="12"/>
          </w:tcPr>
          <w:p>
            <w:pPr>
              <w:spacing w:after="0" w:line="176" w:lineRule="exact"/>
              <w:rPr>
                <w:sz w:val="20"/>
                <w:szCs w:val="20"/>
                <w:color w:val="auto"/>
              </w:rPr>
            </w:pPr>
            <w:r>
              <w:rPr>
                <w:rFonts w:ascii="Arial" w:cs="Arial" w:eastAsia="Arial" w:hAnsi="Arial"/>
                <w:sz w:val="18"/>
                <w:szCs w:val="18"/>
                <w:color w:val="auto"/>
                <w:w w:val="97"/>
              </w:rPr>
              <w:t>Inline XBRL Taxonomy Extension Presentation Linkbase</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44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5420" w:hanging="786"/>
        <w:spacing w:after="0" w:line="22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1026160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30" w:right="81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pacing w:after="0" w:line="144" w:lineRule="exact"/>
        <w:rPr>
          <w:sz w:val="20"/>
          <w:szCs w:val="20"/>
          <w:color w:val="auto"/>
        </w:rPr>
      </w:pPr>
    </w:p>
    <w:p>
      <w:pPr>
        <w:ind w:left="7040"/>
        <w:spacing w:after="0"/>
        <w:rPr>
          <w:sz w:val="20"/>
          <w:szCs w:val="20"/>
          <w:color w:val="auto"/>
        </w:rPr>
      </w:pPr>
      <w:r>
        <w:rPr>
          <w:rFonts w:ascii="Arial" w:cs="Arial" w:eastAsia="Arial" w:hAnsi="Arial"/>
          <w:sz w:val="18"/>
          <w:szCs w:val="18"/>
          <w:u w:val="single" w:color="auto"/>
          <w:color w:val="auto"/>
        </w:rPr>
        <w:t>SKYWORKS SOLUTIONS, INC.</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7040"/>
        <w:spacing w:after="0"/>
        <w:tabs>
          <w:tab w:leader="none" w:pos="7480" w:val="left"/>
        </w:tabs>
        <w:rPr>
          <w:sz w:val="20"/>
          <w:szCs w:val="20"/>
          <w:color w:val="auto"/>
        </w:rPr>
      </w:pPr>
      <w:r>
        <w:rPr>
          <w:rFonts w:ascii="Arial" w:cs="Arial" w:eastAsia="Arial" w:hAnsi="Arial"/>
          <w:sz w:val="18"/>
          <w:szCs w:val="18"/>
          <w:color w:val="auto"/>
        </w:rPr>
        <w:t>By:</w:t>
        <w:tab/>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2826385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November 16, 2020.</w:t>
      </w:r>
    </w:p>
    <w:p>
      <w:pPr>
        <w:sectPr>
          <w:pgSz w:w="11900" w:h="16838" w:orient="portrait"/>
          <w:cols w:equalWidth="0" w:num="1">
            <w:col w:w="11240"/>
          </w:cols>
          <w:pgMar w:left="320" w:top="130" w:right="339" w:bottom="1440" w:gutter="0" w:footer="0" w:header="0"/>
        </w:sectPr>
      </w:pPr>
    </w:p>
    <w:p>
      <w:pPr>
        <w:spacing w:after="0" w:line="8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Director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20" w:right="2120"/>
        <w:spacing w:after="0" w:line="376" w:lineRule="auto"/>
        <w:rPr>
          <w:sz w:val="20"/>
          <w:szCs w:val="20"/>
          <w:color w:val="auto"/>
        </w:rPr>
      </w:pPr>
      <w:r>
        <w:rPr>
          <w:rFonts w:ascii="Arial" w:cs="Arial" w:eastAsia="Arial" w:hAnsi="Arial"/>
          <w:sz w:val="16"/>
          <w:szCs w:val="16"/>
          <w:color w:val="auto"/>
        </w:rPr>
        <w:t>Senior Vice President and Chief Financial Officer (principal accounting and financial officer)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J. Aldrich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S. Batey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L. Beebe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Timothy R.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R. Furey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Christine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P. McGlade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Schriesheim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Kimberly 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S. Stevenson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720" w:space="720"/>
            <w:col w:w="48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30" w:right="3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4020"/>
              <w:spacing w:after="0"/>
              <w:rPr>
                <w:sz w:val="20"/>
                <w:szCs w:val="20"/>
                <w:color w:val="auto"/>
              </w:rPr>
            </w:pPr>
            <w:r>
              <w:rPr>
                <w:rFonts w:ascii="Arial" w:cs="Arial" w:eastAsia="Arial" w:hAnsi="Arial"/>
                <w:sz w:val="18"/>
                <w:szCs w:val="18"/>
                <w:b w:val="1"/>
                <w:bCs w:val="1"/>
                <w:color w:val="auto"/>
              </w:rPr>
              <w:t>SUBSIDIARIES OF THE REGISTRANT</w:t>
            </w:r>
          </w:p>
        </w:tc>
        <w:tc>
          <w:tcPr>
            <w:tcW w:w="3580" w:type="dxa"/>
            <w:vAlign w:val="bottom"/>
          </w:tcPr>
          <w:p>
            <w:pPr>
              <w:spacing w:after="0"/>
              <w:rPr>
                <w:sz w:val="20"/>
                <w:szCs w:val="20"/>
                <w:color w:val="auto"/>
              </w:rPr>
            </w:pPr>
          </w:p>
        </w:tc>
      </w:tr>
      <w:tr>
        <w:trPr>
          <w:trHeight w:val="28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5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Jurisdiction Of Incorporation</w:t>
            </w:r>
          </w:p>
        </w:tc>
      </w:tr>
      <w:tr>
        <w:trPr>
          <w:trHeight w:val="228"/>
        </w:trPr>
        <w:tc>
          <w:tcPr>
            <w:tcW w:w="7640" w:type="dxa"/>
            <w:vAlign w:val="bottom"/>
          </w:tcPr>
          <w:p>
            <w:pPr>
              <w:ind w:left="20"/>
              <w:spacing w:after="0"/>
              <w:rPr>
                <w:sz w:val="20"/>
                <w:szCs w:val="20"/>
                <w:color w:val="auto"/>
              </w:rPr>
            </w:pPr>
            <w:r>
              <w:rPr>
                <w:rFonts w:ascii="Arial" w:cs="Arial" w:eastAsia="Arial" w:hAnsi="Arial"/>
                <w:sz w:val="18"/>
                <w:szCs w:val="18"/>
                <w:color w:val="auto"/>
              </w:rPr>
              <w:t>Skyworks Filter Solutions Japan Co., Ltd.</w:t>
            </w:r>
          </w:p>
        </w:tc>
        <w:tc>
          <w:tcPr>
            <w:tcW w:w="358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Filter Solutions Korea, Inc.</w:t>
            </w:r>
          </w:p>
        </w:tc>
        <w:tc>
          <w:tcPr>
            <w:tcW w:w="3580" w:type="dxa"/>
            <w:vAlign w:val="bottom"/>
          </w:tcPr>
          <w:p>
            <w:pPr>
              <w:ind w:left="400"/>
              <w:spacing w:after="0"/>
              <w:rPr>
                <w:sz w:val="20"/>
                <w:szCs w:val="20"/>
                <w:color w:val="auto"/>
              </w:rPr>
            </w:pPr>
            <w:r>
              <w:rPr>
                <w:rFonts w:ascii="Arial" w:cs="Arial" w:eastAsia="Arial" w:hAnsi="Arial"/>
                <w:sz w:val="18"/>
                <w:szCs w:val="18"/>
                <w:color w:val="auto"/>
              </w:rPr>
              <w:t>South Korea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Global Pte. Ltd.</w:t>
            </w:r>
          </w:p>
        </w:tc>
        <w:tc>
          <w:tcPr>
            <w:tcW w:w="3580" w:type="dxa"/>
            <w:vAlign w:val="bottom"/>
          </w:tcPr>
          <w:p>
            <w:pPr>
              <w:ind w:left="400"/>
              <w:spacing w:after="0"/>
              <w:rPr>
                <w:sz w:val="20"/>
                <w:szCs w:val="20"/>
                <w:color w:val="auto"/>
              </w:rPr>
            </w:pPr>
            <w:r>
              <w:rPr>
                <w:rFonts w:ascii="Arial" w:cs="Arial" w:eastAsia="Arial" w:hAnsi="Arial"/>
                <w:sz w:val="18"/>
                <w:szCs w:val="18"/>
                <w:color w:val="auto"/>
              </w:rPr>
              <w:t>Singapore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International Investments, LLC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Ireland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Ireland</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Luxembourg S.à r.l</w:t>
            </w:r>
          </w:p>
        </w:tc>
        <w:tc>
          <w:tcPr>
            <w:tcW w:w="358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Semiconductor</w:t>
            </w:r>
          </w:p>
        </w:tc>
        <w:tc>
          <w:tcPr>
            <w:tcW w:w="3580" w:type="dxa"/>
            <w:vAlign w:val="bottom"/>
          </w:tcPr>
          <w:p>
            <w:pPr>
              <w:ind w:left="400"/>
              <w:spacing w:after="0"/>
              <w:rPr>
                <w:sz w:val="20"/>
                <w:szCs w:val="20"/>
                <w:color w:val="auto"/>
              </w:rPr>
            </w:pPr>
            <w:r>
              <w:rPr>
                <w:rFonts w:ascii="Arial" w:cs="Arial" w:eastAsia="Arial" w:hAnsi="Arial"/>
                <w:sz w:val="18"/>
                <w:szCs w:val="18"/>
                <w:color w:val="auto"/>
              </w:rPr>
              <w:t>France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Canada Inc.</w:t>
            </w:r>
          </w:p>
        </w:tc>
        <w:tc>
          <w:tcPr>
            <w:tcW w:w="358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w:t>
            </w:r>
          </w:p>
        </w:tc>
        <w:tc>
          <w:tcPr>
            <w:tcW w:w="3580" w:type="dxa"/>
            <w:vAlign w:val="bottom"/>
          </w:tcPr>
          <w:p>
            <w:pPr>
              <w:ind w:left="400"/>
              <w:spacing w:after="0"/>
              <w:rPr>
                <w:sz w:val="20"/>
                <w:szCs w:val="20"/>
                <w:color w:val="auto"/>
              </w:rPr>
            </w:pPr>
            <w:r>
              <w:rPr>
                <w:rFonts w:ascii="Arial" w:cs="Arial" w:eastAsia="Arial" w:hAnsi="Arial"/>
                <w:sz w:val="18"/>
                <w:szCs w:val="18"/>
                <w:color w:val="auto"/>
              </w:rPr>
              <w:t>China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 - Beijing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Beijing</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 - Shanghai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Shanghai</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 Ltd.</w:t>
            </w:r>
          </w:p>
        </w:tc>
        <w:tc>
          <w:tcPr>
            <w:tcW w:w="358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de México, S. de R.L. de C.V.</w:t>
            </w:r>
          </w:p>
        </w:tc>
        <w:tc>
          <w:tcPr>
            <w:tcW w:w="3580" w:type="dxa"/>
            <w:vAlign w:val="bottom"/>
          </w:tcPr>
          <w:p>
            <w:pPr>
              <w:ind w:left="400"/>
              <w:spacing w:after="0"/>
              <w:rPr>
                <w:sz w:val="20"/>
                <w:szCs w:val="20"/>
                <w:color w:val="auto"/>
              </w:rPr>
            </w:pPr>
            <w:r>
              <w:rPr>
                <w:rFonts w:ascii="Arial" w:cs="Arial" w:eastAsia="Arial" w:hAnsi="Arial"/>
                <w:sz w:val="18"/>
                <w:szCs w:val="18"/>
                <w:color w:val="auto"/>
              </w:rPr>
              <w:t>Mexico</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(Hong Kong)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Hong Kong</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Korea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South Korea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Luxembourg S.à r.l.</w:t>
            </w:r>
          </w:p>
        </w:tc>
        <w:tc>
          <w:tcPr>
            <w:tcW w:w="358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Oy</w:t>
            </w:r>
          </w:p>
        </w:tc>
        <w:tc>
          <w:tcPr>
            <w:tcW w:w="3580" w:type="dxa"/>
            <w:vAlign w:val="bottom"/>
          </w:tcPr>
          <w:p>
            <w:pPr>
              <w:ind w:left="400"/>
              <w:spacing w:after="0"/>
              <w:rPr>
                <w:sz w:val="20"/>
                <w:szCs w:val="20"/>
                <w:color w:val="auto"/>
              </w:rPr>
            </w:pPr>
            <w:r>
              <w:rPr>
                <w:rFonts w:ascii="Arial" w:cs="Arial" w:eastAsia="Arial" w:hAnsi="Arial"/>
                <w:sz w:val="18"/>
                <w:szCs w:val="18"/>
                <w:color w:val="auto"/>
              </w:rPr>
              <w:t>Finland</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Worldwide, Inc.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Worldwide, Inc. - Taiwan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Taiwan</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Worldwide, Inc. - Malaysia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Malaysia</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Advanced Analogic Technologies Incorporated</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Advanced Analogic Technologies (China), Inc.</w:t>
            </w:r>
          </w:p>
        </w:tc>
        <w:tc>
          <w:tcPr>
            <w:tcW w:w="3580" w:type="dxa"/>
            <w:vAlign w:val="bottom"/>
          </w:tcPr>
          <w:p>
            <w:pPr>
              <w:ind w:left="400"/>
              <w:spacing w:after="0"/>
              <w:rPr>
                <w:sz w:val="20"/>
                <w:szCs w:val="20"/>
                <w:color w:val="auto"/>
              </w:rPr>
            </w:pPr>
            <w:r>
              <w:rPr>
                <w:rFonts w:ascii="Arial" w:cs="Arial" w:eastAsia="Arial" w:hAnsi="Arial"/>
                <w:sz w:val="18"/>
                <w:szCs w:val="18"/>
                <w:color w:val="auto"/>
              </w:rPr>
              <w:t>China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Avnera Corporation</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Axiom Microdevices, Inc.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ICWave, LLC</w:t>
            </w:r>
          </w:p>
        </w:tc>
        <w:tc>
          <w:tcPr>
            <w:tcW w:w="3580" w:type="dxa"/>
            <w:vAlign w:val="bottom"/>
          </w:tcPr>
          <w:p>
            <w:pPr>
              <w:ind w:left="400"/>
              <w:spacing w:after="0"/>
              <w:rPr>
                <w:sz w:val="20"/>
                <w:szCs w:val="20"/>
                <w:color w:val="auto"/>
              </w:rPr>
            </w:pPr>
            <w:r>
              <w:rPr>
                <w:rFonts w:ascii="Arial" w:cs="Arial" w:eastAsia="Arial" w:hAnsi="Arial"/>
                <w:sz w:val="18"/>
                <w:szCs w:val="18"/>
                <w:color w:val="auto"/>
              </w:rPr>
              <w:t>Massachusetts</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Isolink, Inc.</w:t>
            </w:r>
          </w:p>
        </w:tc>
        <w:tc>
          <w:tcPr>
            <w:tcW w:w="3580" w:type="dxa"/>
            <w:vAlign w:val="bottom"/>
          </w:tcPr>
          <w:p>
            <w:pPr>
              <w:ind w:left="400"/>
              <w:spacing w:after="0"/>
              <w:rPr>
                <w:sz w:val="20"/>
                <w:szCs w:val="20"/>
                <w:color w:val="auto"/>
              </w:rPr>
            </w:pPr>
            <w:r>
              <w:rPr>
                <w:rFonts w:ascii="Arial" w:cs="Arial" w:eastAsia="Arial" w:hAnsi="Arial"/>
                <w:sz w:val="18"/>
                <w:szCs w:val="18"/>
                <w:color w:val="auto"/>
              </w:rPr>
              <w:t>California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Quantance, Inc.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SiGe Semiconductor (Europe)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Trans-Tech, Inc.</w:t>
            </w:r>
          </w:p>
        </w:tc>
        <w:tc>
          <w:tcPr>
            <w:tcW w:w="3580" w:type="dxa"/>
            <w:vAlign w:val="bottom"/>
          </w:tcPr>
          <w:p>
            <w:pPr>
              <w:ind w:left="400"/>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200" w:lineRule="exact"/>
        <w:rPr>
          <w:sz w:val="20"/>
          <w:szCs w:val="20"/>
          <w:color w:val="auto"/>
        </w:rPr>
      </w:pPr>
    </w:p>
    <w:p>
      <w:pPr>
        <w:spacing w:after="0" w:line="336" w:lineRule="exact"/>
        <w:rPr>
          <w:sz w:val="20"/>
          <w:szCs w:val="20"/>
          <w:color w:val="auto"/>
        </w:rPr>
      </w:pPr>
    </w:p>
    <w:p>
      <w:pPr>
        <w:ind w:right="120"/>
        <w:spacing w:after="0" w:line="193" w:lineRule="exact"/>
        <w:rPr>
          <w:sz w:val="20"/>
          <w:szCs w:val="20"/>
          <w:color w:val="auto"/>
        </w:rPr>
      </w:pPr>
      <w:r>
        <w:rPr>
          <w:rFonts w:ascii="Arial" w:cs="Arial" w:eastAsia="Arial" w:hAnsi="Arial"/>
          <w:sz w:val="18"/>
          <w:szCs w:val="18"/>
          <w:color w:val="auto"/>
        </w:rPr>
        <w:t>We consent to the incorporation by reference in the registration statements (Nos. 333-91524, 333-100312, 333-100313, 333-122333, 333-131628, 333-132880, 333-134375, 333-150780, 333-150782, 333-162960, 333-176282, 333-176285, 333-176286, 333-191311, 333-204310, and 333-238910) on Form S-8 of Skyworks Solutions, Inc. of our report dated November 16, 2020, with respect to the consolidated balance sheets of Skyworks Solutions, Inc. as of October 2, 2020 and September 27, 2019, and the related consolidated statements of operations, comprehensive income, cash flows, and stockholders’ equity for each of the years in the three-year period ended October 2, 2020, and the related notes, and the effectiveness of internal control over financial reporting as of October 2, 2020, which report appears in the October 2,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Skyworks Solutions, Inc.</w:t>
      </w:r>
    </w:p>
    <w:p>
      <w:pPr>
        <w:spacing w:after="0" w:line="1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Our report refers to a change in the method of accounting for leases in fiscal 2020 due to the adoption of the Financial Accounting Standards Board’s (FASB)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2020</w:t>
      </w:r>
    </w:p>
    <w:p>
      <w:pPr>
        <w:sectPr>
          <w:pgSz w:w="11900" w:h="16838" w:orient="portrait"/>
          <w:cols w:equalWidth="0" w:num="1">
            <w:col w:w="11240"/>
          </w:cols>
          <w:pgMar w:left="320" w:top="886" w:right="339" w:bottom="1440" w:gutter="0" w:footer="0" w:header="0"/>
        </w:sectPr>
      </w:pPr>
    </w:p>
    <w:bookmarkStart w:id="70" w:name="page71"/>
    <w:bookmarkEnd w:id="70"/>
    <w:p>
      <w:pPr>
        <w:ind w:left="10160"/>
        <w:spacing w:after="0"/>
        <w:rPr>
          <w:sz w:val="20"/>
          <w:szCs w:val="20"/>
          <w:color w:val="auto"/>
        </w:rPr>
      </w:pPr>
      <w:r>
        <w:rPr>
          <w:rFonts w:ascii="Arial" w:cs="Arial" w:eastAsia="Arial" w:hAnsi="Arial"/>
          <w:sz w:val="17"/>
          <w:szCs w:val="17"/>
          <w:color w:val="auto"/>
        </w:rPr>
        <w:t>EXHIBIT 31.1</w:t>
      </w:r>
    </w:p>
    <w:p>
      <w:pPr>
        <w:spacing w:after="0" w:line="26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CERTIFICATION OF THE CEO PURSUANT TO SECURITIES EXCHANGE ACT RULES 13a-14(a) AND 15d-14(a) AS ADOPTED PURSUANT TO SECTION 302 OF THE SARBANES-OXLEY ACT OF 2002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Liam K. Griffin, certify that:</w:t>
      </w:r>
    </w:p>
    <w:p>
      <w:pPr>
        <w:spacing w:after="0" w:line="11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60" w:hanging="320"/>
        <w:spacing w:after="0" w:line="26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16, 2020</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8117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Liam K. Griffin</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5" w:right="339" w:bottom="1440" w:gutter="0" w:footer="0" w:header="0"/>
        </w:sectPr>
      </w:pPr>
    </w:p>
    <w:bookmarkStart w:id="71" w:name="page72"/>
    <w:bookmarkEnd w:id="71"/>
    <w:p>
      <w:pPr>
        <w:ind w:left="10160"/>
        <w:spacing w:after="0"/>
        <w:rPr>
          <w:sz w:val="20"/>
          <w:szCs w:val="20"/>
          <w:color w:val="auto"/>
        </w:rPr>
      </w:pPr>
      <w:r>
        <w:rPr>
          <w:rFonts w:ascii="Arial" w:cs="Arial" w:eastAsia="Arial" w:hAnsi="Arial"/>
          <w:sz w:val="17"/>
          <w:szCs w:val="17"/>
          <w:color w:val="auto"/>
        </w:rPr>
        <w:t>EXHIBIT 31.2</w:t>
      </w:r>
    </w:p>
    <w:p>
      <w:pPr>
        <w:spacing w:after="0" w:line="264"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CERTIFICATION OF THE CFO PURSUANT TO SECURITIES EXCHANGE ACT RULES 13a-14(a) AND 15d-14(a) AS ADOPTED PURSUANT TO SECTION 302 OF THE SARBANES-OXLEY ACT OF 2002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1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60" w:hanging="320"/>
        <w:spacing w:after="0" w:line="26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16, 2020</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820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72" w:name="page73"/>
    <w:bookmarkEnd w:id="72"/>
    <w:p>
      <w:pPr>
        <w:ind w:left="10160"/>
        <w:spacing w:after="0"/>
        <w:rPr>
          <w:sz w:val="20"/>
          <w:szCs w:val="20"/>
          <w:color w:val="auto"/>
        </w:rPr>
      </w:pPr>
      <w:r>
        <w:rPr>
          <w:rFonts w:ascii="Arial" w:cs="Arial" w:eastAsia="Arial" w:hAnsi="Arial"/>
          <w:sz w:val="17"/>
          <w:szCs w:val="17"/>
          <w:color w:val="auto"/>
        </w:rPr>
        <w:t>EXHIBIT 32.1</w:t>
      </w:r>
    </w:p>
    <w:p>
      <w:pPr>
        <w:spacing w:after="0" w:line="2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ending October 2, 2020 as filed with the Securities and Exchange Commission on the date hereof (the “Report”), I, Liam K. Griffin,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Liam K. Griffin</w:t>
      </w: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16, 2020</w:t>
      </w:r>
    </w:p>
    <w:p>
      <w:pPr>
        <w:sectPr>
          <w:pgSz w:w="11900" w:h="16838" w:orient="portrait"/>
          <w:cols w:equalWidth="0" w:num="1">
            <w:col w:w="11240"/>
          </w:cols>
          <w:pgMar w:left="320" w:top="895" w:right="339" w:bottom="1440" w:gutter="0" w:footer="0" w:header="0"/>
        </w:sectPr>
      </w:pPr>
    </w:p>
    <w:bookmarkStart w:id="73" w:name="page74"/>
    <w:bookmarkEnd w:id="73"/>
    <w:p>
      <w:pPr>
        <w:ind w:left="10160"/>
        <w:spacing w:after="0"/>
        <w:rPr>
          <w:sz w:val="20"/>
          <w:szCs w:val="20"/>
          <w:color w:val="auto"/>
        </w:rPr>
      </w:pPr>
      <w:r>
        <w:rPr>
          <w:rFonts w:ascii="Arial" w:cs="Arial" w:eastAsia="Arial" w:hAnsi="Arial"/>
          <w:sz w:val="17"/>
          <w:szCs w:val="17"/>
          <w:color w:val="auto"/>
        </w:rPr>
        <w:t>EXHIBIT 32.2</w:t>
      </w:r>
    </w:p>
    <w:p>
      <w:pPr>
        <w:spacing w:after="0" w:line="2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ending October 2, 2020 as filed with the Securities and Exchange Commission on the date hereof (the “Report”), I, Kris Sennesael, Senior Vice President and Chief Financial Officer of the Company, certify, pursuant to 18 U.S.C. Section 1350, as adopted pursuant to Section 906 of the Sarbanes-Oxley Act of 2002, that:</w:t>
      </w:r>
    </w:p>
    <w:p>
      <w:pPr>
        <w:spacing w:after="0" w:line="192"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 Sennesael</w:t>
      </w: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16, 2020</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3"/>
    </w:lvl>
  </w:abstractNum>
  <w:abstractNum w:abstractNumId="27">
    <w:nsid w:val="2D517796"/>
    <w:multiLevelType w:val="hybridMultilevel"/>
    <w:lvl w:ilvl="0">
      <w:lvlJc w:val="left"/>
      <w:lvlText w:val="\endash "/>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2"/>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7"/>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0"/>
    </w:lvl>
  </w:abstractNum>
  <w:abstractNum w:abstractNumId="38">
    <w:nsid w:val="7A6D8D3C"/>
    <w:multiLevelType w:val="hybridMultilevel"/>
    <w:lvl w:ilvl="0">
      <w:lvlJc w:val="left"/>
      <w:lvlText w:val="%1."/>
      <w:numFmt w:val="decimal"/>
      <w:start w:val="11"/>
    </w:lvl>
  </w:abstractNum>
  <w:abstractNum w:abstractNumId="39">
    <w:nsid w:val="4B588F54"/>
    <w:multiLevelType w:val="hybridMultilevel"/>
    <w:lvl w:ilvl="0">
      <w:lvlJc w:val="left"/>
      <w:lvlText w:val="%1."/>
      <w:numFmt w:val="decimal"/>
      <w:start w:val="12"/>
    </w:lvl>
  </w:abstractNum>
  <w:abstractNum w:abstractNumId="40">
    <w:nsid w:val="542289EC"/>
    <w:multiLevelType w:val="hybridMultilevel"/>
    <w:lvl w:ilvl="0">
      <w:lvlJc w:val="left"/>
      <w:lvlText w:val="%1."/>
      <w:numFmt w:val="decimal"/>
      <w:start w:val="13"/>
    </w:lvl>
  </w:abstractNum>
  <w:abstractNum w:abstractNumId="41">
    <w:nsid w:val="6DE91B18"/>
    <w:multiLevelType w:val="hybridMultilevel"/>
    <w:lvl w:ilvl="0">
      <w:lvlJc w:val="left"/>
      <w:lvlText w:val="%1."/>
      <w:numFmt w:val="decimal"/>
      <w:start w:val="14"/>
    </w:lvl>
  </w:abstractNum>
  <w:abstractNum w:abstractNumId="42">
    <w:nsid w:val="38437FDB"/>
    <w:multiLevelType w:val="hybridMultilevel"/>
    <w:lvl w:ilvl="0">
      <w:lvlJc w:val="left"/>
      <w:lvlText w:val="%1."/>
      <w:numFmt w:val="decimal"/>
      <w:start w:val="15"/>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6">
    <w:nsid w:val="579478FE"/>
    <w:multiLevelType w:val="hybridMultilevel"/>
    <w:lvl w:ilvl="0">
      <w:lvlJc w:val="left"/>
      <w:lvlText w:val="%1."/>
      <w:numFmt w:val="decimal"/>
      <w:start w:val="3"/>
    </w:lvl>
    <w:lvl w:ilvl="1">
      <w:lvlJc w:val="left"/>
      <w:lvlText w:val="(%2)"/>
      <w:numFmt w:val="lowerLetter"/>
      <w:start w:val="2"/>
    </w:lvl>
    <w:lvl w:ilvl="2">
      <w:lvlJc w:val="left"/>
      <w:lvlText w:val="%3"/>
      <w:numFmt w:val="decimal"/>
      <w:start w:val="1"/>
    </w:lvl>
  </w:abstractNum>
  <w:abstractNum w:abstractNumId="47">
    <w:nsid w:val="749ABB43"/>
    <w:multiLevelType w:val="hybridMultilevel"/>
    <w:lvl w:ilvl="0">
      <w:lvlJc w:val="left"/>
      <w:lvlText w:val="*"/>
      <w:numFmt w:val="bullet"/>
      <w:start w:val="1"/>
    </w:lvl>
    <w:lvl w:ilvl="1">
      <w:lvlJc w:val="left"/>
      <w:lvlText w:val="%2"/>
      <w:numFmt w:val="decimal"/>
      <w:start w:val="104"/>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79" Type="http://schemas.openxmlformats.org/officeDocument/2006/relationships/hyperlink" Target="http://www.sec.gov/Archives/edgar/data/4127/000000412718000046/exhibit23-mergeragreement.htm" TargetMode="External"/><Relationship Id="rId80" Type="http://schemas.openxmlformats.org/officeDocument/2006/relationships/hyperlink" Target="http://www.sec.gov/Archives/edgar/data/4127/000000412716000062/q316exhibit31skyworksresta.htm" TargetMode="External"/><Relationship Id="rId81" Type="http://schemas.openxmlformats.org/officeDocument/2006/relationships/hyperlink" Target="https://www.sec.gov/Archives/edgar/data/4127/000000412718000011/exh31-thirdamendedandresta.htm" TargetMode="External"/><Relationship Id="rId82" Type="http://schemas.openxmlformats.org/officeDocument/2006/relationships/hyperlink" Target="http://www.sec.gov/Archives/edgar/data/4127/000095013502003322/b43499ssexv4.txt" TargetMode="External"/><Relationship Id="rId83" Type="http://schemas.openxmlformats.org/officeDocument/2006/relationships/hyperlink" Target="https://www.sec.gov/Archives/edgar/data/4127/000000412719000049/fy1910k92719ex42.htm" TargetMode="External"/><Relationship Id="rId84" Type="http://schemas.openxmlformats.org/officeDocument/2006/relationships/hyperlink" Target="https://www.sec.gov/Archives/edgar/data/4127/000000412720000046/ex1012002esppmay2020.htm" TargetMode="External"/><Relationship Id="rId85" Type="http://schemas.openxmlformats.org/officeDocument/2006/relationships/hyperlink" Target="https://www.sec.gov/Archives/edgar/data/4127/000000412720000046/ex102nqesppmay2020.htm" TargetMode="External"/><Relationship Id="rId86" Type="http://schemas.openxmlformats.org/officeDocument/2006/relationships/hyperlink" Target="http://www.sec.gov/Archives/edgar/data/4127/000000412713000023/fy12proxyvoteexhibit101.htm" TargetMode="External"/><Relationship Id="rId87" Type="http://schemas.openxmlformats.org/officeDocument/2006/relationships/hyperlink" Target="http://www.sec.gov/Archives/edgar/data/4127/000000412713000006/a2005long-termincentiveupd.htm" TargetMode="External"/><Relationship Id="rId88" Type="http://schemas.openxmlformats.org/officeDocument/2006/relationships/hyperlink" Target="http://www.sec.gov/Archives/edgar/data/4127/000000412718000021/q218exhibit101amendedandre.htm" TargetMode="External"/><Relationship Id="rId89" Type="http://schemas.openxmlformats.org/officeDocument/2006/relationships/hyperlink" Target="http://www.sec.gov/Archives/edgar/data/4127/000089256908000778/a40452exv10woo.htm" TargetMode="External"/><Relationship Id="rId90" Type="http://schemas.openxmlformats.org/officeDocument/2006/relationships/hyperlink" Target="http://www.sec.gov/Archives/edgar/data/4127/000000412716000049/ex1022008dltiprsuagreement.htm" TargetMode="External"/><Relationship Id="rId91" Type="http://schemas.openxmlformats.org/officeDocument/2006/relationships/hyperlink" Target="http://www.sec.gov/Archives/edgar/data/4127/000000412719000041/q319exhibit101.htm" TargetMode="External"/><Relationship Id="rId92" Type="http://schemas.openxmlformats.org/officeDocument/2006/relationships/hyperlink" Target="http://www.sec.gov/Archives/edgar/data/4127/000000412715000027/exh102optionagreement.htm" TargetMode="External"/><Relationship Id="rId93" Type="http://schemas.openxmlformats.org/officeDocument/2006/relationships/hyperlink" Target="http://www.sec.gov/Archives/edgar/data/4127/000000412715000027/exh103psaagreement.htm" TargetMode="External"/><Relationship Id="rId94" Type="http://schemas.openxmlformats.org/officeDocument/2006/relationships/hyperlink" Target="http://www.sec.gov/Archives/edgar/data/4127/000000412715000027/exh104rsuagreement.htm" TargetMode="External"/><Relationship Id="rId95" Type="http://schemas.openxmlformats.org/officeDocument/2006/relationships/hyperlink" Target="https://www.sec.gov/Archives/edgar/data/4127/000000412720000007/q120exhibit101.htm" TargetMode="External"/><Relationship Id="rId96" Type="http://schemas.openxmlformats.org/officeDocument/2006/relationships/hyperlink" Target="https://www.sec.gov/Archives/edgar/data/4127/000000412720000027/q220exhibit101.htm" TargetMode="External"/><Relationship Id="rId97" Type="http://schemas.openxmlformats.org/officeDocument/2006/relationships/hyperlink" Target="http://www.sec.gov/Archives/edgar/data/4127/000000412716000062/q316exhibit102griffincicag.htm" TargetMode="External"/><Relationship Id="rId98" Type="http://schemas.openxmlformats.org/officeDocument/2006/relationships/hyperlink" Target="http://www.sec.gov/Archives/edgar/data/4127/000000412716000068/fy1610k903016ex1032sennesa.htm" TargetMode="External"/><Relationship Id="rId99" Type="http://schemas.openxmlformats.org/officeDocument/2006/relationships/hyperlink" Target="http://www.sec.gov/Archives/edgar/data/4127/000000412717000012/ex102terrycicagreement.htm" TargetMode="External"/><Relationship Id="rId102" Type="http://schemas.openxmlformats.org/officeDocument/2006/relationships/hyperlink" Target="http://www.sec.gov/Archives/edgar/data/4127/000000412717000033/fy1710k92917ex1027boricic.htm" TargetMode="External"/><Relationship Id="rId103" Type="http://schemas.openxmlformats.org/officeDocument/2006/relationships/hyperlink" Target="https://www.sec.gov/Archives/edgar/data/4127/000000412720000007/q120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2020-11-17T05:19:13Z</dcterms:created>
  <dcterms:modified xsi:type="dcterms:W3CDTF">2020-11-17T05:19:13Z</dcterms:modified>
</cp:coreProperties>
</file>