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CLEMMER RICHARD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5260 CALIFORNIA AVENUE</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10/05/2026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SKYWORKS SOLUTIONS, INC.</w:t>
              </w:r>
            </w:hyperlink>
            <w:r>
              <w:rPr/>
              <w:t xml:space="preserve"> [ </w:t>
            </w:r>
            <w:r>
              <w:rPr>
                <w:rFonts w:ascii="Times;serif" w:hAnsi="Times;serif"/>
                <w:color w:val="0000FF"/>
                <w:sz w:val="24"/>
                <w:shd w:fill="FFFFFF" w:val="clear"/>
              </w:rPr>
              <w:t>SWKS</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Ashran Jen, as Attorney-In-Fact for Richard L. Clemmer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b/>
        </w:rPr>
      </w:pPr>
      <w:bookmarkStart w:id="2" w:name="swks-ex24.htm"/>
      <w:bookmarkStart w:id="3" w:name="ksswksex24"/>
      <w:bookmarkEnd w:id="2"/>
      <w:bookmarkEnd w:id="3"/>
      <w:r>
        <w:rPr>
          <w:b/>
        </w:rPr>
        <w:t xml:space="preserve">Power of Attorney </w:t>
      </w:r>
      <w:r>
        <w:br w:type="page"/>
      </w:r>
    </w:p>
    <w:p>
      <w:pPr>
        <w:pStyle w:val="TextBody"/>
        <w:bidi w:val="0"/>
        <w:spacing w:before="0" w:after="0"/>
        <w:jc w:val="center"/>
        <w:rPr/>
      </w:pPr>
      <w:r>
        <w:rPr/>
        <w:t xml:space="preserve">  </w:t>
      </w:r>
    </w:p>
    <w:p>
      <w:pPr>
        <w:pStyle w:val="TextBody"/>
        <w:bidi w:val="0"/>
        <w:spacing w:before="0" w:after="240"/>
        <w:ind w:left="0" w:right="0" w:firstLine="720"/>
        <w:jc w:val="both"/>
        <w:rPr/>
      </w:pPr>
      <w:r>
        <w:rPr/>
        <w:t xml:space="preserve">Know all by these presents, that the undersigned hereby makes, constitutes and appoints each of Philip G. Brace, Philip Carter, Jason K. Givens, Ashran Jen, Bradley T. Kamlet, John Macdonald and Blake Toten, with full power of substitution and re-substitution, acting individually, as the undersigned’s true and lawful attorney-in-fact, with full power and authority as hereinafter described on behalf of and in the name, place and stead of the undersigned to: </w:t>
      </w:r>
    </w:p>
    <w:p>
      <w:pPr>
        <w:pStyle w:val="TextBody"/>
        <w:bidi w:val="0"/>
        <w:spacing w:before="0" w:after="240"/>
        <w:ind w:left="0" w:right="0" w:hanging="720"/>
        <w:jc w:val="both"/>
        <w:rPr/>
      </w:pPr>
      <w:r>
        <w:rPr/>
        <w:t>obtain credentials (including codes or passwords) to enable the undersigned to submit and file documents, forms and information required by Section 16(a) of the Securities Exchange Act of 1934, as amended (the “</w:t>
      </w:r>
      <w:r>
        <w:rPr>
          <w:u w:val="single"/>
        </w:rPr>
        <w:t>Exchange Act</w:t>
      </w:r>
      <w:r>
        <w:rPr/>
        <w:t>”), or any rule or regulation of the U.S. Securities and Exchange Commission (“</w:t>
      </w:r>
      <w:r>
        <w:rPr>
          <w:u w:val="single"/>
        </w:rPr>
        <w:t>SEC</w:t>
      </w:r>
      <w:r>
        <w:rPr/>
        <w:t>”) via the Electronic Data Gathering and Retrieval (“</w:t>
      </w:r>
      <w:r>
        <w:rPr>
          <w:u w:val="single"/>
        </w:rPr>
        <w:t>EDGAR</w:t>
      </w:r>
      <w:r>
        <w:rPr/>
        <w:t xml:space="preserve">”) system, including: (i)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(ii) enrolling the undersigned in EDGAR Next or any successor filing system;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457200" cy="175260"/>
                <wp:effectExtent l="0" t="0" r="0" b="0"/>
                <wp:wrapSquare wrapText="right"/>
                <wp:docPr id="3"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rPr>
                              <w:t>(1)</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(1)</w:t>
                      </w:r>
                      <w:r>
                        <w:rPr/>
                        <w:t xml:space="preserve"> </w:t>
                      </w:r>
                    </w:p>
                  </w:txbxContent>
                </v:textbox>
                <w10:wrap type="square" side="right"/>
              </v:rect>
            </w:pict>
          </mc:Fallback>
        </mc:AlternateContent>
      </w:r>
    </w:p>
    <w:p>
      <w:pPr>
        <w:pStyle w:val="TextBody"/>
        <w:bidi w:val="0"/>
        <w:spacing w:before="0" w:after="240"/>
        <w:ind w:left="0" w:right="0" w:hanging="720"/>
        <w:jc w:val="both"/>
        <w:rPr/>
      </w:pPr>
      <w:r>
        <w:rPr/>
        <w:t xml:space="preserve">act as an account administrator for the undersigned’s EDGAR account, including: (i) appointing, removing and replacing account administrators, technical administrators, account users and delegated entities; (ii) maintaining the security of the undersigned’s EDGAR account, including modification of access codes; (iii) maintaining, modifying and certifying the accuracy of information on the undersigned’s EDGAR account dashboard; and (iv) taking any other actions contemplated by Rule 10 of Regulation S-T;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457200" cy="175260"/>
                <wp:effectExtent l="0" t="0" r="0" b="0"/>
                <wp:wrapSquare wrapText="right"/>
                <wp:docPr id="4"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rPr>
                              <w:t>(2)</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(2)</w:t>
                      </w:r>
                      <w:r>
                        <w:rPr/>
                        <w:t xml:space="preserve"> </w:t>
                      </w:r>
                    </w:p>
                  </w:txbxContent>
                </v:textbox>
                <w10:wrap type="square" side="right"/>
              </v:rect>
            </w:pict>
          </mc:Fallback>
        </mc:AlternateContent>
      </w:r>
    </w:p>
    <w:p>
      <w:pPr>
        <w:pStyle w:val="TextBody"/>
        <w:bidi w:val="0"/>
        <w:spacing w:before="0" w:after="240"/>
        <w:ind w:left="0" w:right="0" w:hanging="720"/>
        <w:jc w:val="both"/>
        <w:rPr/>
      </w:pPr>
      <w:r>
        <w:rPr/>
        <w:t>execute for, and on behalf of, the undersigned, in the undersigned’s capacity as an officer and/or director of Skyworks Solutions, Inc. (the “</w:t>
      </w:r>
      <w:r>
        <w:rPr>
          <w:u w:val="single"/>
        </w:rPr>
        <w:t>Company</w:t>
      </w:r>
      <w:r>
        <w:rPr/>
        <w:t>”), Form 3, 4 or 5 relating to the Company in accordance with Section 16(a) of the Exchange Act and the rules and regulations promulgated thereunder and Form 144 in accordance with Rule 144 under the Securities Act of 1933, as amended (the “</w:t>
      </w:r>
      <w:r>
        <w:rPr>
          <w:u w:val="single"/>
        </w:rPr>
        <w:t>Securities Act</w:t>
      </w:r>
      <w:r>
        <w:rPr/>
        <w:t xml:space="preserve">”);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 cy="175260"/>
                <wp:effectExtent l="0" t="0" r="0" b="0"/>
                <wp:wrapSquare wrapText="right"/>
                <wp:docPr id="5" name="Frame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rPr>
                              <w:t>(3)</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(3)</w:t>
                      </w:r>
                      <w:r>
                        <w:rPr/>
                        <w:t xml:space="preserve"> </w:t>
                      </w:r>
                    </w:p>
                  </w:txbxContent>
                </v:textbox>
                <w10:wrap type="square" side="right"/>
              </v:rect>
            </w:pict>
          </mc:Fallback>
        </mc:AlternateContent>
      </w:r>
    </w:p>
    <w:p>
      <w:pPr>
        <w:pStyle w:val="TextBody"/>
        <w:bidi w:val="0"/>
        <w:spacing w:before="0" w:after="240"/>
        <w:ind w:left="0" w:right="0" w:hanging="720"/>
        <w:jc w:val="both"/>
        <w:rPr/>
      </w:pPr>
      <w:r>
        <w:rPr/>
        <w:t xml:space="preserve">do and perform any and all acts for, and on behalf of, the undersigned that may be necessary or desirable to prepare, complete and execute any such Form 3, 4 or 5 or Form 144 and any amendments thereto or other required reports and timely file such forms or reports with the SEC and any stock exchange or similar authority as considered necessary or advisable under Section 16(a) of the Exchange Act or Rule 144 under the Securities Act; and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457200" cy="175260"/>
                <wp:effectExtent l="0" t="0" r="0" b="0"/>
                <wp:wrapSquare wrapText="right"/>
                <wp:docPr id="6" name="Frame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rPr>
                              <w:t>(4)</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(4)</w:t>
                      </w:r>
                      <w:r>
                        <w:rPr/>
                        <w:t xml:space="preserve"> </w:t>
                      </w:r>
                    </w:p>
                  </w:txbxContent>
                </v:textbox>
                <w10:wrap type="square" side="right"/>
              </v:rect>
            </w:pict>
          </mc:Fallback>
        </mc:AlternateContent>
      </w:r>
    </w:p>
    <w:p>
      <w:pPr>
        <w:pStyle w:val="TextBody"/>
        <w:bidi w:val="0"/>
        <w:spacing w:before="0" w:after="240"/>
        <w:ind w:left="0" w:right="0" w:hanging="720"/>
        <w:jc w:val="both"/>
        <w:rPr/>
      </w:pPr>
      <w:r>
        <w:rPr/>
        <w:t xml:space="preserve">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sole discretion.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457200" cy="175260"/>
                <wp:effectExtent l="0" t="0" r="0" b="0"/>
                <wp:wrapSquare wrapText="right"/>
                <wp:docPr id="7" name="Frame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rPr>
                              <w:t>(5)</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(5)</w:t>
                      </w:r>
                      <w:r>
                        <w:rPr/>
                        <w:t xml:space="preserve"> </w:t>
                      </w:r>
                    </w:p>
                  </w:txbxContent>
                </v:textbox>
                <w10:wrap type="square" side="right"/>
              </v:rect>
            </w:pict>
          </mc:Fallback>
        </mc:AlternateConten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 xml:space="preserve">The undersigned hereby acknowledges that: (i) the foregoing attorneys-in-fact are serving in such capacity at the request of the undersigned; (ii) this Power of Attorney authorizes, but does not require, each such attorney-in-fact to act in his or her discretion on information provided to such attorney-in-fact without independent verification of such information; (iii) any documents prepared and/or executed by any attorney-in-fact on behalf of the undersigned pursuant to this Power of Attorney shall be in such form and shall contain such information and disclosure as such attorney-in-fact, in his or her sole discretion, deems necessary or advisable; (iv) neither the Company nor any attorney-in-fact assumes (a) any liability for the undersigned’s responsibility to comply with the requirements of the Exchange Act or the Securities Act, (b) any liability of the undersigned for any failure to comply with such requirements or (c) any obligation or liability of the undersigned for profit disgorgement under Section 16(b) of the Exchange Act; and (v) this Power of Attorney does not relieve the undersigned from responsibility for compliance with the undersigned’s obligations under the Exchange Act or the Securities Act, including, without limitation, the reporting requirements under Section 16(a) of the Exchange Act. </w:t>
      </w:r>
    </w:p>
    <w:p>
      <w:pPr>
        <w:pStyle w:val="TextBody"/>
        <w:bidi w:val="0"/>
        <w:spacing w:before="0" w:after="240"/>
        <w:ind w:left="0" w:right="0" w:firstLine="720"/>
        <w:jc w:val="both"/>
        <w:rPr/>
      </w:pPr>
      <w:r>
        <w:rPr/>
        <w:t xml:space="preserve">This Power of Attorney shall remain in full force and effect until the undersigned is no longer required to file Forms 3, 4 and 5 or Form 144 with respect to the undersigned’s holdings of, and transactions in, securities issued by the Company, unless earlier revoked as to any attorney-in-fact by the undersigned in a signed writing delivered to such attorney-in-fact. This Power of Attorney revokes all previous powers of attorney with respect to the subject matter of this Power of Attorney. </w:t>
      </w:r>
    </w:p>
    <w:p>
      <w:pPr>
        <w:pStyle w:val="TextBody"/>
        <w:bidi w:val="0"/>
        <w:spacing w:before="0" w:after="0"/>
        <w:jc w:val="center"/>
        <w:rPr/>
      </w:pPr>
      <w:r>
        <w:rPr/>
        <w:t xml:space="preserve">  </w:t>
      </w:r>
    </w:p>
    <w:p>
      <w:pPr>
        <w:pStyle w:val="TextBody"/>
        <w:bidi w:val="0"/>
        <w:spacing w:before="0" w:after="0"/>
        <w:jc w:val="center"/>
        <w:rPr/>
      </w:pPr>
      <w:r>
        <w:rPr/>
        <w:t xml:space="preserve">  </w:t>
      </w:r>
    </w:p>
    <w:p>
      <w:pPr>
        <w:pStyle w:val="TextBody"/>
        <w:bidi w:val="0"/>
        <w:spacing w:before="0" w:after="0"/>
        <w:jc w:val="center"/>
        <w:rPr/>
      </w:pPr>
      <w:r>
        <w:rPr/>
        <w:t>[</w:t>
      </w:r>
      <w:r>
        <w:rPr>
          <w:i/>
        </w:rPr>
        <w:t>Signature Page Follows</w:t>
      </w:r>
      <w:r>
        <w:rPr/>
        <w:t xml:space="preserve">] </w:t>
      </w:r>
    </w:p>
    <w:p>
      <w:pPr>
        <w:pStyle w:val="TextBody"/>
        <w:bidi w:val="0"/>
        <w:spacing w:before="0" w:after="0"/>
        <w:jc w:val="left"/>
        <w:rPr/>
      </w:pPr>
      <w:r>
        <w:rPr/>
        <w:t xml:space="preserve">  </w:t>
      </w:r>
    </w:p>
    <w:p>
      <w:pPr>
        <w:pStyle w:val="TextBody"/>
        <w:bidi w:val="0"/>
        <w:spacing w:before="0" w:after="0"/>
        <w:jc w:val="center"/>
        <w:rPr/>
      </w:pPr>
      <w:r>
        <w:rPr/>
        <w:t xml:space="preserve">2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both"/>
        <w:rPr/>
      </w:pPr>
      <w:r>
        <w:rPr/>
        <w:t xml:space="preserve">IN WITNESS WHEREOF, the undersigned has caused this Power of Attorney to be executed as of this 5th day of October, 2026. </w:t>
      </w:r>
    </w:p>
    <w:p>
      <w:pPr>
        <w:pStyle w:val="TextBody"/>
        <w:bidi w:val="0"/>
        <w:spacing w:before="0" w:after="0"/>
        <w:ind w:left="4320" w:right="0" w:hanging="0"/>
        <w:jc w:val="both"/>
        <w:rPr/>
      </w:pPr>
      <w:r>
        <w:rPr/>
        <w:t xml:space="preserve">  </w:t>
      </w:r>
    </w:p>
    <w:p>
      <w:pPr>
        <w:pStyle w:val="TextBody"/>
        <w:bidi w:val="0"/>
        <w:spacing w:before="0" w:after="0"/>
        <w:ind w:left="4320" w:right="0" w:hanging="0"/>
        <w:jc w:val="both"/>
        <w:rPr/>
      </w:pPr>
      <w:r>
        <w:rPr/>
        <w:t xml:space="preserve">  </w:t>
      </w:r>
    </w:p>
    <w:p>
      <w:pPr>
        <w:pStyle w:val="TextBody"/>
        <w:bidi w:val="0"/>
        <w:spacing w:before="0" w:after="0"/>
        <w:ind w:left="4320" w:right="0" w:hanging="0"/>
        <w:jc w:val="both"/>
        <w:rPr/>
      </w:pPr>
      <w:r>
        <w:rPr/>
        <w:t xml:space="preserve">  </w:t>
      </w:r>
    </w:p>
    <w:tbl>
      <w:tblPr>
        <w:tblW w:w="3534" w:type="dxa"/>
        <w:jc w:val="left"/>
        <w:tblInd w:w="0" w:type="dxa"/>
        <w:tblLayout w:type="fixed"/>
        <w:tblCellMar>
          <w:top w:w="0" w:type="dxa"/>
          <w:left w:w="0" w:type="dxa"/>
          <w:bottom w:w="0" w:type="dxa"/>
          <w:right w:w="0" w:type="dxa"/>
        </w:tblCellMar>
      </w:tblPr>
      <w:tblGrid>
        <w:gridCol w:w="161"/>
        <w:gridCol w:w="796"/>
        <w:gridCol w:w="2386"/>
        <w:gridCol w:w="191"/>
      </w:tblGrid>
      <w:tr>
        <w:trPr/>
        <w:tc>
          <w:tcPr>
            <w:tcW w:w="16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0"/>
              <w:jc w:val="left"/>
              <w:rPr/>
            </w:pPr>
            <w:r>
              <w:rPr/>
              <w:t xml:space="preserve">By: </w:t>
            </w:r>
          </w:p>
        </w:tc>
        <w:tc>
          <w:tcPr>
            <w:tcW w:w="2386" w:type="dxa"/>
            <w:tcBorders>
              <w:bottom w:val="single" w:sz="8" w:space="0" w:color="000000"/>
            </w:tcBorders>
            <w:tcMar>
              <w:bottom w:w="28" w:type="dxa"/>
            </w:tcMar>
            <w:vAlign w:val="center"/>
          </w:tcPr>
          <w:p>
            <w:pPr>
              <w:pStyle w:val="TableContents"/>
              <w:bidi w:val="0"/>
              <w:spacing w:before="0" w:after="0"/>
              <w:jc w:val="left"/>
              <w:rPr/>
            </w:pPr>
            <w:r>
              <w:rPr/>
              <w:t xml:space="preserve">/s/ Richard L. Clemmer </w:t>
            </w:r>
          </w:p>
        </w:tc>
        <w:tc>
          <w:tcPr>
            <w:tcW w:w="191"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0"/>
              <w:jc w:val="left"/>
              <w:rPr/>
            </w:pPr>
            <w:r>
              <w:rPr/>
              <w:t xml:space="preserve">Name: </w:t>
            </w:r>
          </w:p>
        </w:tc>
        <w:tc>
          <w:tcPr>
            <w:tcW w:w="2386" w:type="dxa"/>
            <w:tcBorders>
              <w:top w:val="single" w:sz="8" w:space="0" w:color="000000"/>
            </w:tcBorders>
            <w:tcMar>
              <w:top w:w="28" w:type="dxa"/>
            </w:tcMar>
            <w:vAlign w:val="center"/>
          </w:tcPr>
          <w:p>
            <w:pPr>
              <w:pStyle w:val="TableContents"/>
              <w:bidi w:val="0"/>
              <w:spacing w:before="0" w:after="0"/>
              <w:jc w:val="left"/>
              <w:rPr/>
            </w:pPr>
            <w:r>
              <w:rPr/>
              <w:t xml:space="preserve">Richard L. Clemmer </w:t>
            </w:r>
          </w:p>
        </w:tc>
        <w:tc>
          <w:tcPr>
            <w:tcW w:w="191" w:type="dxa"/>
            <w:tcBorders/>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center"/>
        <w:rPr/>
      </w:pPr>
      <w:r>
        <w:rPr/>
        <w:t> </w:t>
      </w:r>
      <w:r>
        <w:rPr>
          <w:spacing w:val="0"/>
        </w:rPr>
        <w:t>[Signature Page to Power of Attorney]</w:t>
      </w:r>
      <w:r>
        <w:rPr/>
        <w:t xml:space="preserve"> </w:t>
      </w:r>
    </w:p>
    <w:p>
      <w:pPr>
        <w:pStyle w:val="HorizontalLine"/>
        <w:bidi w:val="0"/>
        <w:jc w:val="center"/>
        <w:rPr/>
      </w:pPr>
      <w:r>
        <w:rPr/>
      </w:r>
    </w:p>
    <w:p>
      <w:pPr>
        <w:pStyle w:val="TextBody"/>
        <w:bidi w:val="0"/>
        <w:spacing w:before="0" w:after="0"/>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222781" TargetMode="External"/><Relationship Id="rId3" Type="http://schemas.openxmlformats.org/officeDocument/2006/relationships/hyperlink" Target="http://www.sec.gov/cgi-bin/browse-edgar?action=getcompany&amp;CIK=000000412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1210</Words>
  <Characters>6595</Characters>
  <CharactersWithSpaces>7787</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