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517525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474980</wp:posOffset>
            </wp:positionV>
            <wp:extent cx="6892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7"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28, 2024</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ind w:left="540" w:hanging="208"/>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__________to__________</w:t>
      </w: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001-05560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Skyworks Solutions, Inc.</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27"/>
        </w:trPr>
        <w:tc>
          <w:tcPr>
            <w:tcW w:w="4560" w:type="dxa"/>
            <w:vAlign w:val="bottom"/>
          </w:tcPr>
          <w:p>
            <w:pPr>
              <w:jc w:val="center"/>
              <w:ind w:left="17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40" w:type="dxa"/>
            <w:vAlign w:val="bottom"/>
          </w:tcPr>
          <w:p>
            <w:pPr>
              <w:spacing w:after="0"/>
              <w:rPr>
                <w:sz w:val="19"/>
                <w:szCs w:val="19"/>
                <w:color w:val="auto"/>
              </w:rPr>
            </w:pPr>
          </w:p>
        </w:tc>
        <w:tc>
          <w:tcPr>
            <w:tcW w:w="3240" w:type="dxa"/>
            <w:vAlign w:val="bottom"/>
          </w:tcPr>
          <w:p>
            <w:pPr>
              <w:jc w:val="right"/>
              <w:ind w:right="1442"/>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190"/>
        </w:trPr>
        <w:tc>
          <w:tcPr>
            <w:tcW w:w="7200" w:type="dxa"/>
            <w:vAlign w:val="bottom"/>
            <w:gridSpan w:val="2"/>
          </w:tcPr>
          <w:p>
            <w:pPr>
              <w:jc w:val="center"/>
              <w:ind w:right="782"/>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240" w:type="dxa"/>
            <w:vAlign w:val="bottom"/>
          </w:tcPr>
          <w:p>
            <w:pPr>
              <w:jc w:val="center"/>
              <w:ind w:right="582"/>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442"/>
        </w:trPr>
        <w:tc>
          <w:tcPr>
            <w:tcW w:w="4560" w:type="dxa"/>
            <w:vAlign w:val="bottom"/>
          </w:tcPr>
          <w:p>
            <w:pPr>
              <w:jc w:val="center"/>
              <w:ind w:left="1702"/>
              <w:spacing w:after="0"/>
              <w:rPr>
                <w:sz w:val="20"/>
                <w:szCs w:val="20"/>
                <w:color w:val="auto"/>
              </w:rPr>
            </w:pPr>
            <w:r>
              <w:rPr>
                <w:rFonts w:ascii="Times New Roman" w:cs="Times New Roman" w:eastAsia="Times New Roman" w:hAnsi="Times New Roman"/>
                <w:sz w:val="18"/>
                <w:szCs w:val="18"/>
                <w:b w:val="1"/>
                <w:bCs w:val="1"/>
                <w:color w:val="auto"/>
                <w:w w:val="99"/>
              </w:rPr>
              <w:t>5260 California Avenue</w:t>
            </w:r>
          </w:p>
        </w:tc>
        <w:tc>
          <w:tcPr>
            <w:tcW w:w="26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5"/>
        </w:trPr>
        <w:tc>
          <w:tcPr>
            <w:tcW w:w="4560" w:type="dxa"/>
            <w:vAlign w:val="bottom"/>
          </w:tcPr>
          <w:p>
            <w:pPr>
              <w:jc w:val="center"/>
              <w:ind w:left="1702"/>
              <w:spacing w:after="0"/>
              <w:rPr>
                <w:sz w:val="20"/>
                <w:szCs w:val="20"/>
                <w:color w:val="auto"/>
              </w:rPr>
            </w:pPr>
            <w:r>
              <w:rPr>
                <w:rFonts w:ascii="Times New Roman" w:cs="Times New Roman" w:eastAsia="Times New Roman" w:hAnsi="Times New Roman"/>
                <w:sz w:val="18"/>
                <w:szCs w:val="18"/>
                <w:b w:val="1"/>
                <w:bCs w:val="1"/>
                <w:color w:val="auto"/>
                <w:w w:val="99"/>
              </w:rPr>
              <w:t>Irvine, California</w:t>
            </w:r>
          </w:p>
        </w:tc>
        <w:tc>
          <w:tcPr>
            <w:tcW w:w="2640" w:type="dxa"/>
            <w:vAlign w:val="bottom"/>
          </w:tcPr>
          <w:p>
            <w:pPr>
              <w:spacing w:after="0"/>
              <w:rPr>
                <w:sz w:val="21"/>
                <w:szCs w:val="21"/>
                <w:color w:val="auto"/>
              </w:rPr>
            </w:pPr>
          </w:p>
        </w:tc>
        <w:tc>
          <w:tcPr>
            <w:tcW w:w="3240" w:type="dxa"/>
            <w:vAlign w:val="bottom"/>
          </w:tcPr>
          <w:p>
            <w:pPr>
              <w:jc w:val="right"/>
              <w:ind w:right="1662"/>
              <w:spacing w:after="0"/>
              <w:rPr>
                <w:sz w:val="20"/>
                <w:szCs w:val="20"/>
                <w:color w:val="auto"/>
              </w:rPr>
            </w:pPr>
            <w:r>
              <w:rPr>
                <w:rFonts w:ascii="Times New Roman" w:cs="Times New Roman" w:eastAsia="Times New Roman" w:hAnsi="Times New Roman"/>
                <w:sz w:val="18"/>
                <w:szCs w:val="18"/>
                <w:b w:val="1"/>
                <w:bCs w:val="1"/>
                <w:color w:val="auto"/>
              </w:rPr>
              <w:t>92617</w:t>
            </w:r>
          </w:p>
        </w:tc>
      </w:tr>
      <w:tr>
        <w:trPr>
          <w:trHeight w:val="190"/>
        </w:trPr>
        <w:tc>
          <w:tcPr>
            <w:tcW w:w="4560" w:type="dxa"/>
            <w:vAlign w:val="bottom"/>
          </w:tcPr>
          <w:p>
            <w:pPr>
              <w:jc w:val="center"/>
              <w:ind w:left="1702"/>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640" w:type="dxa"/>
            <w:vAlign w:val="bottom"/>
          </w:tcPr>
          <w:p>
            <w:pPr>
              <w:spacing w:after="0"/>
              <w:rPr>
                <w:sz w:val="16"/>
                <w:szCs w:val="16"/>
                <w:color w:val="auto"/>
              </w:rPr>
            </w:pPr>
          </w:p>
        </w:tc>
        <w:tc>
          <w:tcPr>
            <w:tcW w:w="3240" w:type="dxa"/>
            <w:vAlign w:val="bottom"/>
          </w:tcPr>
          <w:p>
            <w:pPr>
              <w:jc w:val="center"/>
              <w:ind w:right="582"/>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390"/>
        </w:trPr>
        <w:tc>
          <w:tcPr>
            <w:tcW w:w="4560" w:type="dxa"/>
            <w:vAlign w:val="bottom"/>
          </w:tcPr>
          <w:p>
            <w:pPr>
              <w:spacing w:after="0"/>
              <w:rPr>
                <w:sz w:val="24"/>
                <w:szCs w:val="24"/>
                <w:color w:val="auto"/>
              </w:rPr>
            </w:pPr>
          </w:p>
        </w:tc>
        <w:tc>
          <w:tcPr>
            <w:tcW w:w="2640" w:type="dxa"/>
            <w:vAlign w:val="bottom"/>
          </w:tcPr>
          <w:p>
            <w:pPr>
              <w:jc w:val="right"/>
              <w:ind w:right="1182"/>
              <w:spacing w:after="0"/>
              <w:rPr>
                <w:sz w:val="20"/>
                <w:szCs w:val="20"/>
                <w:color w:val="auto"/>
              </w:rPr>
            </w:pPr>
            <w:r>
              <w:rPr>
                <w:rFonts w:ascii="Times New Roman" w:cs="Times New Roman" w:eastAsia="Times New Roman" w:hAnsi="Times New Roman"/>
                <w:sz w:val="18"/>
                <w:szCs w:val="18"/>
                <w:b w:val="1"/>
                <w:bCs w:val="1"/>
                <w:color w:val="auto"/>
              </w:rPr>
              <w:t>(949) 231-3000</w:t>
            </w:r>
          </w:p>
        </w:tc>
        <w:tc>
          <w:tcPr>
            <w:tcW w:w="3240" w:type="dxa"/>
            <w:vAlign w:val="bottom"/>
          </w:tcPr>
          <w:p>
            <w:pPr>
              <w:spacing w:after="0"/>
              <w:rPr>
                <w:sz w:val="24"/>
                <w:szCs w:val="24"/>
                <w:color w:val="auto"/>
              </w:rPr>
            </w:pPr>
          </w:p>
        </w:tc>
      </w:tr>
      <w:tr>
        <w:trPr>
          <w:trHeight w:val="190"/>
        </w:trPr>
        <w:tc>
          <w:tcPr>
            <w:tcW w:w="7200" w:type="dxa"/>
            <w:vAlign w:val="bottom"/>
            <w:gridSpan w:val="2"/>
          </w:tcPr>
          <w:p>
            <w:pPr>
              <w:jc w:val="center"/>
              <w:ind w:left="3182"/>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240" w:type="dxa"/>
            <w:vAlign w:val="bottom"/>
          </w:tcPr>
          <w:p>
            <w:pPr>
              <w:spacing w:after="0"/>
              <w:rPr>
                <w:sz w:val="16"/>
                <w:szCs w:val="16"/>
                <w:color w:val="auto"/>
              </w:rPr>
            </w:pPr>
          </w:p>
        </w:tc>
      </w:tr>
      <w:tr>
        <w:trPr>
          <w:trHeight w:val="783"/>
        </w:trPr>
        <w:tc>
          <w:tcPr>
            <w:tcW w:w="7200" w:type="dxa"/>
            <w:vAlign w:val="bottom"/>
            <w:gridSpan w:val="2"/>
          </w:tcPr>
          <w:p>
            <w:pPr>
              <w:jc w:val="center"/>
              <w:ind w:left="316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40" w:type="dxa"/>
            <w:vAlign w:val="bottom"/>
          </w:tcPr>
          <w:p>
            <w:pPr>
              <w:spacing w:after="0"/>
              <w:rPr>
                <w:sz w:val="24"/>
                <w:szCs w:val="24"/>
                <w:color w:val="auto"/>
              </w:rPr>
            </w:pPr>
          </w:p>
        </w:tc>
      </w:tr>
      <w:tr>
        <w:trPr>
          <w:trHeight w:val="216"/>
        </w:trPr>
        <w:tc>
          <w:tcPr>
            <w:tcW w:w="4560" w:type="dxa"/>
            <w:vAlign w:val="bottom"/>
          </w:tcPr>
          <w:p>
            <w:pPr>
              <w:jc w:val="center"/>
              <w:ind w:right="60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tcPr>
          <w:p>
            <w:pPr>
              <w:jc w:val="center"/>
              <w:ind w:right="78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5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182"/>
        </w:trPr>
        <w:tc>
          <w:tcPr>
            <w:tcW w:w="4560" w:type="dxa"/>
            <w:vAlign w:val="bottom"/>
          </w:tcPr>
          <w:p>
            <w:pPr>
              <w:jc w:val="center"/>
              <w:ind w:right="622"/>
              <w:spacing w:after="0"/>
              <w:rPr>
                <w:sz w:val="20"/>
                <w:szCs w:val="20"/>
                <w:color w:val="auto"/>
              </w:rPr>
            </w:pPr>
            <w:r>
              <w:rPr>
                <w:rFonts w:ascii="Times New Roman" w:cs="Times New Roman" w:eastAsia="Times New Roman" w:hAnsi="Times New Roman"/>
                <w:sz w:val="14"/>
                <w:szCs w:val="14"/>
                <w:color w:val="auto"/>
              </w:rPr>
              <w:t>Common Stock, par value $0.25 per share</w:t>
            </w:r>
          </w:p>
        </w:tc>
        <w:tc>
          <w:tcPr>
            <w:tcW w:w="2640" w:type="dxa"/>
            <w:vAlign w:val="bottom"/>
          </w:tcPr>
          <w:p>
            <w:pPr>
              <w:jc w:val="center"/>
              <w:ind w:right="762"/>
              <w:spacing w:after="0"/>
              <w:rPr>
                <w:sz w:val="20"/>
                <w:szCs w:val="20"/>
                <w:color w:val="auto"/>
              </w:rPr>
            </w:pPr>
            <w:r>
              <w:rPr>
                <w:rFonts w:ascii="Times New Roman" w:cs="Times New Roman" w:eastAsia="Times New Roman" w:hAnsi="Times New Roman"/>
                <w:sz w:val="14"/>
                <w:szCs w:val="14"/>
                <w:color w:val="auto"/>
              </w:rPr>
              <w:t>SWKS</w:t>
            </w:r>
          </w:p>
        </w:tc>
        <w:tc>
          <w:tcPr>
            <w:tcW w:w="324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00"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9"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17" w:lineRule="exact"/>
        <w:rPr>
          <w:sz w:val="24"/>
          <w:szCs w:val="24"/>
          <w:color w:val="auto"/>
        </w:rPr>
      </w:pPr>
    </w:p>
    <w:p>
      <w:pPr>
        <w:ind w:right="3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p>
      <w:pPr>
        <w:ind w:left="180"/>
        <w:spacing w:after="0" w:line="161" w:lineRule="exact"/>
        <w:tabs>
          <w:tab w:leader="none" w:pos="1800" w:val="left"/>
          <w:tab w:leader="none" w:pos="2400" w:val="left"/>
          <w:tab w:leader="none" w:pos="4140" w:val="left"/>
          <w:tab w:leader="none" w:pos="6460" w:val="left"/>
          <w:tab w:leader="none" w:pos="8200" w:val="left"/>
          <w:tab w:leader="none" w:pos="9180" w:val="left"/>
          <w:tab w:leader="none" w:pos="10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0" w:lineRule="exact"/>
        <w:rPr>
          <w:sz w:val="24"/>
          <w:szCs w:val="24"/>
          <w:color w:val="auto"/>
        </w:rPr>
      </w:pPr>
    </w:p>
    <w:p>
      <w:pPr>
        <w:ind w:right="50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25, 2024, the registrant had 159,716,371 shares of common stock, par value $0.25 per share, outstanding.</w:t>
      </w: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4" w:right="39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SKYWORKS SOLUTIONS, INC.</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QUARTERLY REPORT ON FORM 10-Q</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 ENDED JUNE 28, 2024</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20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color w:val="0000FF"/>
              </w:rPr>
              <w:t>PART I. FINANCIAL INFORMATION</w:t>
            </w:r>
          </w:p>
        </w:tc>
        <w:tc>
          <w:tcPr>
            <w:tcW w:w="10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color w:val="auto"/>
              </w:rPr>
              <w:t>PAGE NO.</w:t>
            </w:r>
          </w:p>
        </w:tc>
        <w:tc>
          <w:tcPr>
            <w:tcW w:w="0" w:type="dxa"/>
            <w:vAlign w:val="bottom"/>
          </w:tcPr>
          <w:p>
            <w:pPr>
              <w:spacing w:after="0"/>
              <w:rPr>
                <w:sz w:val="1"/>
                <w:szCs w:val="1"/>
                <w:color w:val="auto"/>
              </w:rPr>
            </w:pPr>
          </w:p>
        </w:tc>
      </w:tr>
      <w:tr>
        <w:trPr>
          <w:trHeight w:val="131"/>
        </w:trPr>
        <w:tc>
          <w:tcPr>
            <w:tcW w:w="10200" w:type="dxa"/>
            <w:vAlign w:val="bottom"/>
            <w:gridSpan w:val="20"/>
            <w:vMerge w:val="continue"/>
          </w:tcPr>
          <w:p>
            <w:pPr>
              <w:spacing w:after="0"/>
              <w:rPr>
                <w:sz w:val="11"/>
                <w:szCs w:val="11"/>
                <w:color w:val="auto"/>
              </w:rPr>
            </w:pPr>
          </w:p>
        </w:tc>
        <w:tc>
          <w:tcPr>
            <w:tcW w:w="920" w:type="dxa"/>
            <w:vAlign w:val="bottom"/>
            <w:gridSpan w:val="2"/>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20" w:type="dxa"/>
            <w:vAlign w:val="bottom"/>
          </w:tcPr>
          <w:p>
            <w:pPr>
              <w:spacing w:after="0"/>
              <w:rPr>
                <w:sz w:val="24"/>
                <w:szCs w:val="24"/>
                <w:color w:val="auto"/>
              </w:rPr>
            </w:pPr>
          </w:p>
        </w:tc>
        <w:tc>
          <w:tcPr>
            <w:tcW w:w="3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ITEM 1: FINANCIAL STATEMENTS (UNAUDITED)</w:t>
            </w:r>
          </w:p>
        </w:tc>
        <w:tc>
          <w:tcPr>
            <w:tcW w:w="6820" w:type="dxa"/>
            <w:vAlign w:val="bottom"/>
            <w:gridSpan w:val="8"/>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80" w:type="dxa"/>
            <w:vAlign w:val="bottom"/>
            <w:tcBorders>
              <w:bottom w:val="single" w:sz="8" w:color="0000FF"/>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6780" w:type="dxa"/>
            <w:vAlign w:val="bottom"/>
            <w:gridSpan w:val="7"/>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4680" w:type="dxa"/>
            <w:vAlign w:val="bottom"/>
            <w:gridSpan w:val="3"/>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7460" w:type="dxa"/>
            <w:vAlign w:val="bottom"/>
            <w:gridSpan w:val="10"/>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420" w:type="dxa"/>
            <w:vAlign w:val="bottom"/>
            <w:gridSpan w:val="6"/>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4680" w:type="dxa"/>
            <w:vAlign w:val="bottom"/>
            <w:gridSpan w:val="3"/>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80" w:type="dxa"/>
            <w:vAlign w:val="bottom"/>
            <w:gridSpan w:val="3"/>
            <w:shd w:val="clear" w:color="auto" w:fill="0000FF"/>
          </w:tcPr>
          <w:p>
            <w:pPr>
              <w:spacing w:after="0"/>
              <w:rPr>
                <w:sz w:val="2"/>
                <w:szCs w:val="2"/>
                <w:color w:val="auto"/>
              </w:rPr>
            </w:pPr>
          </w:p>
        </w:tc>
        <w:tc>
          <w:tcPr>
            <w:tcW w:w="2780" w:type="dxa"/>
            <w:vAlign w:val="bottom"/>
            <w:gridSpan w:val="7"/>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4: CONTROLS AND PROCEDURES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gridSpan w:val="3"/>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360" w:type="dxa"/>
            <w:vAlign w:val="bottom"/>
            <w:gridSpan w:val="10"/>
            <w:shd w:val="clear" w:color="auto" w:fill="0000FF"/>
          </w:tcPr>
          <w:p>
            <w:pPr>
              <w:spacing w:after="0"/>
              <w:rPr>
                <w:sz w:val="2"/>
                <w:szCs w:val="2"/>
                <w:color w:val="auto"/>
              </w:rPr>
            </w:pPr>
          </w:p>
        </w:tc>
        <w:tc>
          <w:tcPr>
            <w:tcW w:w="468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PART II. OTHER INFORMATION</w:t>
            </w:r>
          </w:p>
        </w:tc>
        <w:tc>
          <w:tcPr>
            <w:tcW w:w="80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1: LEGAL PROCEEDINGS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80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AND USE OF PROCEEDS</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5: OTHER INFORMATION</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6: EXHIBITS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gridSpan w:val="3"/>
          </w:tcPr>
          <w:p>
            <w:pPr>
              <w:spacing w:after="0"/>
              <w:rPr>
                <w:sz w:val="2"/>
                <w:szCs w:val="2"/>
                <w:color w:val="auto"/>
              </w:rPr>
            </w:pPr>
          </w:p>
        </w:tc>
        <w:tc>
          <w:tcPr>
            <w:tcW w:w="9320" w:type="dxa"/>
            <w:vAlign w:val="bottom"/>
            <w:gridSpan w:val="17"/>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102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4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25"/>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1,924.4</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4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6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 of allowances of $0.9 and $0.8, respectively</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23"/>
        </w:trPr>
        <w:tc>
          <w:tcPr>
            <w:tcW w:w="7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tax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no par value: 25.0 shares authorized, no shares issued</w:t>
            </w:r>
          </w:p>
        </w:tc>
        <w:tc>
          <w:tcPr>
            <w:tcW w:w="2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$0.25 par value: 525.0 shares authorized; 159.7 shares issued and outstanding at</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28, 2024, and 159.5 shares issued and outstanding at September 29, 2023</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5,876.0</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6,082.7</w:t>
            </w:r>
          </w:p>
        </w:tc>
        <w:tc>
          <w:tcPr>
            <w:tcW w:w="0" w:type="dxa"/>
            <w:vAlign w:val="bottom"/>
          </w:tcPr>
          <w:p>
            <w:pPr>
              <w:spacing w:after="0"/>
              <w:rPr>
                <w:sz w:val="1"/>
                <w:szCs w:val="1"/>
                <w:color w:val="auto"/>
              </w:rPr>
            </w:pPr>
          </w:p>
        </w:tc>
      </w:tr>
      <w:tr>
        <w:trPr>
          <w:trHeight w:val="223"/>
        </w:trPr>
        <w:tc>
          <w:tcPr>
            <w:tcW w:w="7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260" w:type="dxa"/>
            <w:vAlign w:val="bottom"/>
          </w:tcPr>
          <w:p>
            <w:pPr>
              <w:spacing w:after="0"/>
              <w:rPr>
                <w:sz w:val="18"/>
                <w:szCs w:val="18"/>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11"/>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29"/>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30"/>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29"/>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30"/>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29"/>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and long-term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7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1,490.9</w:t>
            </w:r>
          </w:p>
        </w:tc>
      </w:tr>
      <w:tr>
        <w:trPr>
          <w:trHeight w:val="20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Purchased intangibles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1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 of common stock - payroll tax withholdings on equity awards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Repurchase of common stock - stock repurchase program</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Payments of debt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3"/>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w:t>
            </w:r>
          </w:p>
        </w:tc>
      </w:tr>
      <w:tr>
        <w:trPr>
          <w:trHeight w:val="223"/>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r>
      <w:tr>
        <w:trPr>
          <w:trHeight w:val="223"/>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7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Incentives paid in common stock</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investing in capital expenditures, accrued but not paid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4"/>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180" w:type="dxa"/>
            <w:vAlign w:val="bottom"/>
            <w:tcBorders>
              <w:top w:val="single" w:sz="8" w:color="auto"/>
            </w:tcBorders>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60" w:type="dxa"/>
            <w:vAlign w:val="bottom"/>
            <w:tcBorders>
              <w:top w:val="single" w:sz="8" w:color="auto"/>
            </w:tcBorders>
            <w:gridSpan w:val="3"/>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Par value of</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4"/>
                <w:szCs w:val="14"/>
                <w:color w:val="auto"/>
              </w:rPr>
            </w:pPr>
          </w:p>
        </w:tc>
        <w:tc>
          <w:tcPr>
            <w:tcW w:w="10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29,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5,876.0</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29,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60" w:type="dxa"/>
            <w:vAlign w:val="bottom"/>
          </w:tcPr>
          <w:p>
            <w:pPr>
              <w:spacing w:after="0"/>
              <w:rPr>
                <w:sz w:val="16"/>
                <w:szCs w:val="16"/>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29,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6,072.6</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6,359.2</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9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28,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6,084.4</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6,336.4</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5,421.9</w:t>
            </w:r>
          </w:p>
        </w:tc>
        <w:tc>
          <w:tcPr>
            <w:tcW w:w="1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5,469.0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9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30,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60" w:type="dxa"/>
            <w:vAlign w:val="bottom"/>
          </w:tcPr>
          <w:p>
            <w:pPr>
              <w:spacing w:after="0"/>
              <w:rPr>
                <w:sz w:val="16"/>
                <w:szCs w:val="16"/>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40" w:type="dxa"/>
            <w:vAlign w:val="bottom"/>
            <w:tcBorders>
              <w:top w:val="single" w:sz="8" w:color="CCEEFF"/>
            </w:tcBorders>
            <w:vMerge w:val="continue"/>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60" w:type="dxa"/>
            <w:vAlign w:val="bottom"/>
          </w:tcPr>
          <w:p>
            <w:pPr>
              <w:spacing w:after="0"/>
              <w:rPr>
                <w:sz w:val="16"/>
                <w:szCs w:val="16"/>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5,739.7</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5,877.9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SUMMARY OF SIGNIFICANT ACCOUNTING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Skyworks Solutions, Inc., together with its consolidated subsidiaries (“Skyworks” or the “Company”), is empowering the wireless networking revolution. The Company’s analog and mixed-signal semiconductors are connecting people, places, and things, spanning a number of new applications within the aerospace, automotive, broadband, cellular infrastructure, connected home, defense, entertainment and gaming, industrial, medical, smartphone, tablet, and wearable markets.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pursuant to the rules and regulations of the Securities and Exchange Commission (“SEC”) for interim financial reporting. Certain information and footnote disclosures, normally included in annual consolidated financial statements prepared in accordance with accounting principles generally accepted in the United States of America (“GAAP”), have been condensed or omitted pursuant to those rules and regulations. However, in management’s opinion, the financial information reflects all adjustments, including those of a normal recurring nature, necessary to present fairly the results of operations, financial position, and cash flows of the Company for the periods presented. The results of operations, financial position, and cash flows for the Company during the interim periods are not necessarily indicative of those expected for the full year. This information should be read in conjunction with the Company’s financial statements and notes thereto contained in the Company’s Annual Report on Form 10-K for the fiscal year ended September 29, 2023, filed with the SEC on November 17, 2023, as amended by Amendment No. 1 to such Annual Report on Form 10-K, filed with the SEC on January 26, 2024 (“2023 10-K”). Certain items in the prior period financial statements have been reclassified to conform to the current period presentation.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exists and in estimating future cash flows for any necessary impairment testing. Actual results could differ significantly from these estimates.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Friday closest to September 30. The fiscal year ending on September 27, 2024 consists of 52 weeks (“fiscal 2024”). The fiscal year ended on September 29, 2023 consisted of 52 weeks (“fiscal 2023”). The three and nine months ended June 28, 2024, and June 30, 2023, each consisted of 13 weeks and 39 weeks,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carried at cost less accumulated depreciation, with significant renewals and betterments being capitalized and retired equipment written off in the respective periods. Maintenance and repairs are expensed as incurred.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calculated using the straight-line method over the estimated useful lives, which range from five to forty years for buildings and improvements and from five to ten years for machinery and equipment. Leasehold improvements are depreciated over the lesser of the economic life or the life of the associated lease.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nine months ended June 28, 2024, the Company changed its accounting estimate for the expected useful lives of certain machinery and equipment. The Company evaluated its current asset base and reassessed the estimated useful lives of certain machinery and equipment in connection with its recent usage of older equipment, including considering the technological and physical obsolescence of such machinery and equipment. Based on its ability to re-use equipment across generations of process technologies and historical usage trends, the Company determined that the expected useful lives for certain machinery and equipment should be increased by up to two years to reflect more closely the estimated economic lives of those assets. This change in estimate was applied prospectively effective during the first quarter of fiscal 2024 and resulted in a decrease in depreciation expense of $18.9 million and $56.6 million for the three and nine months ended June 28, 2024, respectively. This benefit decreased cost of goods sold by $8.9 million and $10.7 million and decreased research and development expenses by $2.4 million and $7.4 million for the three and nine months ended June 28, 2024, respectively, and decreased ending inventory by $38.5 million as of June 28, 2024. As a result of this change in accounting estimate, net income increased by $11.3 million and $18.1 million and diluted earnings per share increased by $0.07 and $0.11 for the three and nine months ended June 28, 2024,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 (“ASU 2023-07”). ASU 2023-07 requires disclosure of incremental segment information on an annual and interim basis. ASU 2023-07 is effective for fiscal years beginning after December 15, 2023, and interim periods within fiscal years beginning after December 15, 2024, on a retrospective basis. Early adoption is permitted. The Company is currently evaluating the impact of ASU 2023-07 on its consolidated financial statements and related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is currently evaluating the impact of ASU 2023-09 on its consolidated financial statements and related disclosures.</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geographic area is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8"/>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6"/>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Asia-Pacific</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revenue by sales channel is as follows (in millions):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3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8"/>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6"/>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from external customers is generated principally from the sale of semiconductor products that facilitate various wireless communication applications. Accordingly, the Company considers its product offerings to be similar in nature and therefore not segregated for reporting purposes.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available-for-sale marketable securities consists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340" w:type="dxa"/>
            <w:vAlign w:val="bottom"/>
          </w:tcPr>
          <w:p>
            <w:pPr>
              <w:spacing w:after="0"/>
              <w:rPr>
                <w:sz w:val="18"/>
                <w:szCs w:val="18"/>
                <w:color w:val="auto"/>
              </w:rPr>
            </w:pPr>
          </w:p>
        </w:tc>
        <w:tc>
          <w:tcPr>
            <w:tcW w:w="2240" w:type="dxa"/>
            <w:vAlign w:val="bottom"/>
            <w:gridSpan w:val="4"/>
          </w:tcPr>
          <w:p>
            <w:pPr>
              <w:jc w:val="right"/>
              <w:ind w:right="1292"/>
              <w:spacing w:after="0"/>
              <w:rPr>
                <w:sz w:val="20"/>
                <w:szCs w:val="20"/>
                <w:color w:val="auto"/>
              </w:rPr>
            </w:pPr>
            <w:r>
              <w:rPr>
                <w:rFonts w:ascii="Times New Roman" w:cs="Times New Roman" w:eastAsia="Times New Roman" w:hAnsi="Times New Roman"/>
                <w:sz w:val="16"/>
                <w:szCs w:val="16"/>
                <w:b w:val="1"/>
                <w:bCs w:val="1"/>
                <w:color w:val="auto"/>
              </w:rPr>
              <w:t>Noncurrent</w:t>
            </w:r>
          </w:p>
        </w:tc>
      </w:tr>
      <w:tr>
        <w:trPr>
          <w:trHeight w:val="211"/>
        </w:trPr>
        <w:tc>
          <w:tcPr>
            <w:tcW w:w="40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2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138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380" w:type="dxa"/>
            <w:vAlign w:val="bottom"/>
            <w:tcBorders>
              <w:top w:val="single" w:sz="8" w:color="auto"/>
              <w:bottom w:val="single" w:sz="8" w:color="auto"/>
            </w:tcBorders>
          </w:tcPr>
          <w:p>
            <w:pPr>
              <w:jc w:val="right"/>
              <w:ind w:right="119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40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gross unrealized gains and losses nor realized gains and losses were material as of June 28, 2024, or September 29, 2023.</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and Recorded at Fair Value on a Recurring Basis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spacing w:after="0" w:line="189" w:lineRule="exact"/>
        <w:rPr>
          <w:sz w:val="20"/>
          <w:szCs w:val="20"/>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340" w:hanging="170"/>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(less-active markets), or model-driven valuations in which all significant inputs are observable or can be derived principally from, or corroborated with, observable market data.</w:t>
      </w:r>
    </w:p>
    <w:p>
      <w:pPr>
        <w:spacing w:after="0" w:line="1" w:lineRule="exact"/>
        <w:rPr>
          <w:rFonts w:ascii="Times New Roman" w:cs="Times New Roman" w:eastAsia="Times New Roman" w:hAnsi="Times New Roman"/>
          <w:sz w:val="18"/>
          <w:szCs w:val="18"/>
          <w:color w:val="auto"/>
        </w:rPr>
      </w:pPr>
    </w:p>
    <w:p>
      <w:pPr>
        <w:ind w:left="340" w:hanging="170"/>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derived from valuation techniques in which one or more significant inputs are unobservable, including assumptions and judgments made by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recorded at fair value on a recurring basis consisted of the following (in millions):</w:t>
      </w:r>
    </w:p>
    <w:p>
      <w:pPr>
        <w:spacing w:after="0" w:line="16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21590</wp:posOffset>
            </wp:positionV>
            <wp:extent cx="4817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June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21590</wp:posOffset>
            </wp:positionV>
            <wp:extent cx="2383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September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21590</wp:posOffset>
            </wp:positionV>
            <wp:extent cx="23660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33" w:lineRule="exact"/>
        <w:rPr>
          <w:sz w:val="20"/>
          <w:szCs w:val="20"/>
          <w:color w:val="auto"/>
        </w:rPr>
      </w:pPr>
    </w:p>
    <w:p>
      <w:pPr>
        <w:sectPr>
          <w:pgSz w:w="11900" w:h="16838" w:orient="portrait"/>
          <w:cols w:equalWidth="0" w:num="2">
            <w:col w:w="7900" w:space="720"/>
            <w:col w:w="262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3"/>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Treasury and government securities</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 and notes</w:t>
            </w:r>
          </w:p>
        </w:tc>
        <w:tc>
          <w:tcPr>
            <w:tcW w:w="1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1,283.9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8"/>
        <w:spacing w:after="0" w:line="282"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included in Levels 1 and 2 consist of money market funds, municipal bonds, and U.S. Treasury and government securities purchased with less than ninety days until maturity.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During the three and nine months ended June 28, 2024, the Company recorded impairment charges of $0.7 million and $16.8 million, respectively. The impairment charges for the nine months ended June 28, 2024 primarily related to the abandonment of a previously capitalized in-process research and development (“IPR&amp;D”) project. During the three months ended June 30, 2023, there were no indicators of impairment identified. During the nine months ended June 30, 2023, the Company recorded impairment charges of $17.0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and estimated fair value of debt consists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7"/>
          </w:tcPr>
          <w:p>
            <w:pPr>
              <w:jc w:val="right"/>
              <w:ind w:right="1131"/>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0" w:type="dxa"/>
            <w:vAlign w:val="bottom"/>
          </w:tcPr>
          <w:p>
            <w:pPr>
              <w:spacing w:after="0"/>
              <w:rPr>
                <w:sz w:val="1"/>
                <w:szCs w:val="1"/>
                <w:color w:val="auto"/>
              </w:rPr>
            </w:pPr>
          </w:p>
        </w:tc>
      </w:tr>
      <w:tr>
        <w:trPr>
          <w:trHeight w:val="225"/>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1.80% Senior Notes due 2026</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497.7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3.00% Senior Notes due 2031</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8"/>
              </w:rPr>
              <w:t>495.2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 under Senior Notes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992.9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336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0" w:type="dxa"/>
            <w:vAlign w:val="bottom"/>
            <w:vMerge w:val="continue"/>
          </w:tcPr>
          <w:p>
            <w:pPr>
              <w:spacing w:after="0"/>
              <w:rPr>
                <w:sz w:val="24"/>
                <w:szCs w:val="24"/>
                <w:color w:val="auto"/>
              </w:rPr>
            </w:pPr>
          </w:p>
        </w:tc>
        <w:tc>
          <w:tcPr>
            <w:tcW w:w="3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 (in millions):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left="1252"/>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0" w:type="dxa"/>
            <w:vAlign w:val="bottom"/>
          </w:tcPr>
          <w:p>
            <w:pPr>
              <w:spacing w:after="0"/>
              <w:rPr>
                <w:sz w:val="1"/>
                <w:szCs w:val="1"/>
                <w:color w:val="auto"/>
              </w:rPr>
            </w:pPr>
          </w:p>
        </w:tc>
      </w:tr>
      <w:tr>
        <w:trPr>
          <w:trHeight w:val="20"/>
        </w:trPr>
        <w:tc>
          <w:tcPr>
            <w:tcW w:w="55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50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(in millions):</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25"/>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3,389.3</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4,171.7</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9"/>
              </w:rPr>
              <w:t>(2,880.6)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(2,781.6)</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3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00" w:type="dxa"/>
            <w:vAlign w:val="bottom"/>
            <w:vMerge w:val="continue"/>
          </w:tcPr>
          <w:p>
            <w:pPr>
              <w:spacing w:after="0"/>
              <w:rPr>
                <w:sz w:val="24"/>
                <w:szCs w:val="24"/>
                <w:color w:val="auto"/>
              </w:rPr>
            </w:pPr>
          </w:p>
        </w:tc>
        <w:tc>
          <w:tcPr>
            <w:tcW w:w="360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during the three and nine months ended June 28, 2024.</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tests its goodwill for impairment annually as of the first day of its fourth fiscal quarter and in interim periods if certain events occur indicating the carrying value of goodwill may be impaired. There were no indicators of impairment noted during the three and nine months ended June 28,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8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2"/>
                <w:szCs w:val="12"/>
                <w:color w:val="auto"/>
              </w:rPr>
            </w:pPr>
          </w:p>
        </w:tc>
        <w:tc>
          <w:tcPr>
            <w:tcW w:w="8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8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1280" w:type="dxa"/>
            <w:vAlign w:val="bottom"/>
            <w:tcBorders>
              <w:top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8"/>
                <w:szCs w:val="18"/>
                <w:color w:val="auto"/>
                <w:w w:val="97"/>
              </w:rPr>
              <w:t>6.3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0" w:type="dxa"/>
            <w:vAlign w:val="bottom"/>
          </w:tcPr>
          <w:p>
            <w:pPr>
              <w:spacing w:after="0"/>
              <w:rPr>
                <w:sz w:val="1"/>
                <w:szCs w:val="1"/>
                <w:color w:val="auto"/>
              </w:rPr>
            </w:pPr>
          </w:p>
        </w:tc>
      </w:tr>
      <w:tr>
        <w:trPr>
          <w:trHeight w:val="230"/>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licenses</w:t>
            </w: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In-process research and</w:t>
            </w: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w:t>
            </w: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23"/>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Fully amortized intangible assets are eliminated from both the gross and accumulated amortization amounts in the first quarter of each fiscal year. During the three months ended June 28, 2024, $33.4 million of IPR&amp;D assets were transferred to definite-lived intangible assets, and are being amortized over their useful lives of 12 years. During the nine months ended June 28, 2024, $89.1 million of IPR&amp;D assets were transferred to definite-lived intangible assets, of which $33.4 million is being amortized over their useful lives of 12 years and $55.7 million is being amortized over their useful lives of 8 years. During the nine months ended June 30, 2023, $9.5 million of IPR&amp;D assets were transferred to definite-lived intangible assets, and are being amortized over their useful lives of 12 years. Amortization expense related to definite-lived intangible assets was $46.0 million and $139.6 million for the three and nine months ended June 28, 2024, respectively. Amortization expense related to definite-lived intangible assets was $51.3 million and $174.7 million for the three and nine months ended June 30, 2023, respectively.</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amortization expense for the next five fiscal years related to definite-lived intangible assets, excluding IPR&amp;D, is expected to be as follows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6"/>
                <w:szCs w:val="16"/>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14"/>
        </w:trPr>
        <w:tc>
          <w:tcPr>
            <w:tcW w:w="3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components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4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income taxes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income taxes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11.4 %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 and the 21.0% United States federal statutory rate for the three and nine months ended June 28, 2024 and June 30, 2023 resulted primarily from foreign earnings taxed at rates lower than the federal statutory rate, a benefit from foreign-derived intangible income deduction (“FDII”), and research and experimentation and foreign tax credits earned, partially offset by a tax on global intangible low-taxed income (“GILTI”), and tax expense related to share-based compensation shortfalls.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2022, the U.S. government enacted the Inflation Reduction Act, which imposes a corporate alternative minimum tax (“CAMT”) of 15% on corporations with three-year average annual adjusted financial statement income exceeding $1.0 billion. The Company is subject to the provisions of CAMT in fiscal 2024. CAMT had no impact to the Company’s consolidated financial statements for the three and nine months ended June 28,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monitors the status of legal proceedings and other contingencies on an ongoing basis to assess whether loss contingencies should be recognized and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purchases materials primarily pursuant to individual purchase orders, some of which have underlying master purchase agreements. Some of these purchase commitments are cancellable,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its exposure. As such, the Company believes that purchase commitments as of any particular date may not be a reliable indicator of future commitments.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certain minimum purchase commitments under long-term capacity reservation agreements primarily with foundries for the purchase of wafers. Under these agreements, the Company has agreed to pay a combination of refundable deposits and prepayments to the suppliers in exchange for reserved manufacturing production capacity over the term of the agreements. As of June 28, 2024, the deposits and prepayments under the long-term capacity reservation agreements were $141.7 million and $2.5 million, respectively, recorded within other current assets, and $1.4 million and $22.6 million, respectively, recorded within other long-term assets. As of September 29, 2023, the deposits and prepayments under the long-term capacity reservation agreements were $41.7 million and $1.3 million, respectively, recorded within other current assets and $16.0 million of prepayments recorded within other long-term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2023, the Board of Directors approved a stock repurchase program (“January 31, 2023 stock repurchase program”), pursuant to which the Company is authorized to repurchase up to $2.0 billion of its common stock from time to time through February 1, 2025, on the open market or in privately negotiated transactions, in compliance with applicable securities laws and other legal requirements. The January 31, 2023 stock repurchase program succeeds in its entirety the stock repurchase program approved by the Board of Directors on January 26, 2021 (“January 26, 2021 stock repurchase program”). The timing and amount of any shares of the Company’s common stock that are repurchased under the January 31, 2023 stock repurchase program will be determined by the Company’s management based on its evaluation of market conditions and other factors. The January 31, 2023 stock repurchase program may be suspended or discontinued at any time. The Company currently expects to fund the January 31, 2023 stock repurchase program using the Company’s working capital.</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June 28, 2024, the Company paid $77.4 million (including commissions and excise tax, as applicable) in connection with the repurchase of 0.8 million shares of its common stock (paying an average price of $101.33 per share), all of which shares were repurchased pursuant to the January 31, 2023 stock repurchase program. As of June 28, 2024, $1.9 billion remained available under the January 31, 2023 stock repurchase program.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2023, the Company did not repurchase any shares of its common stock pursuant to the January 31, 2023 stock repurchase program. During the nine months ended June 30, 2023, the Company paid $175.3 million (including commissions) in connection with the repurchase of 1.9 million shares of its common stock (paying an average price of $90.60 per share), all of which shares were repurchased pursuant to the January 26, 2021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30, 2024, the Company announced that the Board of Directors had declared a cash dividend on the Company’s common stock of $0.70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dividend is payable on September 10, 2024, to the Company’s stockholders of record as of the close of business on August 20,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charged to retained earnings were as follows (in millions,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11"/>
        </w:trPr>
        <w:tc>
          <w:tcPr>
            <w:tcW w:w="4000" w:type="dxa"/>
            <w:vAlign w:val="bottom"/>
          </w:tcPr>
          <w:p>
            <w:pPr>
              <w:spacing w:after="0"/>
              <w:rPr>
                <w:sz w:val="18"/>
                <w:szCs w:val="18"/>
                <w:color w:val="auto"/>
              </w:rPr>
            </w:pPr>
          </w:p>
        </w:tc>
        <w:tc>
          <w:tcPr>
            <w:tcW w:w="3680" w:type="dxa"/>
            <w:vAlign w:val="bottom"/>
            <w:gridSpan w:val="6"/>
          </w:tcPr>
          <w:p>
            <w:pPr>
              <w:ind w:left="112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320" w:type="dxa"/>
            <w:vAlign w:val="bottom"/>
          </w:tcPr>
          <w:p>
            <w:pPr>
              <w:spacing w:after="0"/>
              <w:rPr>
                <w:sz w:val="18"/>
                <w:szCs w:val="18"/>
                <w:color w:val="auto"/>
              </w:rPr>
            </w:pPr>
          </w:p>
        </w:tc>
        <w:tc>
          <w:tcPr>
            <w:tcW w:w="3240" w:type="dxa"/>
            <w:vAlign w:val="bottom"/>
            <w:gridSpan w:val="4"/>
          </w:tcPr>
          <w:p>
            <w:pPr>
              <w:jc w:val="right"/>
              <w:ind w:right="1012"/>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09"/>
        </w:trPr>
        <w:tc>
          <w:tcPr>
            <w:tcW w:w="40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 Amount</w:t>
            </w:r>
          </w:p>
        </w:tc>
      </w:tr>
      <w:tr>
        <w:trPr>
          <w:trHeight w:val="22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80" w:type="dxa"/>
            <w:vAlign w:val="bottom"/>
            <w:tcBorders>
              <w:top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dividends</w:t>
            </w:r>
          </w:p>
        </w:tc>
        <w:tc>
          <w:tcPr>
            <w:tcW w:w="128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0"/>
        </w:trPr>
        <w:tc>
          <w:tcPr>
            <w:tcW w:w="4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share-based compensation expense by line item in the Consolidated Statements of Operations (in millions):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274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74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5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common stock equivalents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three and nine months ended June 28, 2024, and June 30, 2023,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spacing w:after="0" w:line="21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SUPPLEMENTAL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25"/>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 (in millions):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25"/>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customer liabilities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and other documents we have filed with the SEC contain forward-looking statements within the meaning of Section 27A of the Securities Act of 1933, as amended (the “Securities Act”), and Section 21E of the Securities and Exchange Act of 1934, as amended (the “Exchange Act”), and are subject to the “safe harbor” created by those sections. Any statements that are not statements of historical fact should be considered to be forward-looking statements. Words such as “anticipates,” “believes,” “continues,” “could,” “estimates,” “expects,” “intends,” “may,” “plans,” “potential,” “predicts,” “projects,” “seeks,”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the possible impacts of geopolitical conflicts,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our management as of the date the statement is first made, such statements can only be based on facts and factors then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in the 2023 10-K, under the heading “Risk Factors” and in the other documents filed by us with the SEC in evaluating our forward-looking statements. We have no plans, and undertake no obligation, to revise or update our forward-looking statements to reflect any event or circumstance that may arise after the date of the initial filing of this Quarterly Report on Form 10-Q. We caution readers not to place undue reliance upon any such forward-looking statements, which speak only as of the date made.</w:t>
      </w:r>
    </w:p>
    <w:p>
      <w:pPr>
        <w:spacing w:after="0" w:line="2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document, the words “we,” “our,” “ours,” “us,” and “the Company” refer only to Skyworks Solutions, Inc., and its subsidiaries and not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June 28, 2024, and June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results of our operations expressed as a percentage of net 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140" w:type="dxa"/>
            <w:vAlign w:val="bottom"/>
            <w:gridSpan w:val="4"/>
          </w:tcPr>
          <w:p>
            <w:pPr>
              <w:ind w:lef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60" w:type="dxa"/>
            <w:vAlign w:val="bottom"/>
            <w:gridSpan w:val="3"/>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5040" w:type="dxa"/>
            <w:vAlign w:val="bottom"/>
          </w:tcPr>
          <w:p>
            <w:pPr>
              <w:spacing w:after="0"/>
              <w:rPr>
                <w:sz w:val="18"/>
                <w:szCs w:val="18"/>
                <w:color w:val="auto"/>
              </w:rPr>
            </w:pPr>
          </w:p>
        </w:tc>
        <w:tc>
          <w:tcPr>
            <w:tcW w:w="15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4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80" w:type="dxa"/>
            <w:vAlign w:val="bottom"/>
          </w:tcPr>
          <w:p>
            <w:pPr>
              <w:spacing w:after="0"/>
              <w:rPr>
                <w:sz w:val="18"/>
                <w:szCs w:val="18"/>
                <w:color w:val="auto"/>
              </w:rPr>
            </w:pPr>
          </w:p>
        </w:tc>
        <w:tc>
          <w:tcPr>
            <w:tcW w:w="158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4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54.2</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together with our consolidated subsidiaries, are empowering the wireless networking revolution. Our highly innovative analog and mixed-signal semiconductors are connecting people, places, and things spanning a number of new and previously unimagined applications within the aerospace, automotive, broadband, cellular infrastructure, connected home, defense, entertainment and gaming, industrial, medical, smartphone, tablet, and wearable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28, 2024, the following key factors contributed to our overall results of operations, financial position, and cash flows:</w:t>
      </w:r>
    </w:p>
    <w:p>
      <w:pPr>
        <w:spacing w:after="0" w:line="252"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decreased to $905.5 million for the three months ended June 28, 2024, as compared to $1,071.2 million for the corresponding period in fiscal 2023, driven primarily by a decrease in demand for our mobile and mixed-signal products.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ending cash, cash equivalents, and marketable securities balance increased to $1,283.9 million. The increase in cash, cash equivalents, and marketable securities during the three months ended June 28, 2024, was primarily due to cash generated from operations of $273.5 million, partially offset by dividend payments of $109.1 million, share repurchases of $77.4 million, and capital expenditures of $24.4 million.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center"/>
              <w:ind w:left="95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center"/>
              <w:ind w:left="95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20" w:type="dxa"/>
            <w:vAlign w:val="bottom"/>
            <w:tcBorders>
              <w:bottom w:val="single" w:sz="8" w:color="auto"/>
            </w:tcBorders>
          </w:tcPr>
          <w:p>
            <w:pPr>
              <w:spacing w:after="0"/>
              <w:rPr>
                <w:sz w:val="18"/>
                <w:szCs w:val="18"/>
                <w:color w:val="auto"/>
              </w:rPr>
            </w:pPr>
          </w:p>
        </w:tc>
      </w:tr>
      <w:tr>
        <w:trPr>
          <w:trHeight w:val="21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905.5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3,153.0</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3,553.6</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and sell our products directly to OEMs of communications and electronics products, third-party original design manufacturers and contract manufacturers, and indirectly through electronic components distributors.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revenue for the three and nine months ended June 28, 2024, as compared with the corresponding periods in fiscal 2023, was driven primarily by a decrease in demand for our mobile and mixed-signal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8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9"/>
              </w:rPr>
              <w:t>(21.5)%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118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9"/>
              </w:rPr>
              <w:t>(20.8)%</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1,629.2</w:t>
            </w: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8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40.2 %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40.9 %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r>
    </w:tbl>
    <w:p>
      <w:pPr>
        <w:spacing w:after="0" w:line="3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gross profit for the three and nine months ended June 28, 2024, as compared with the corresponding periods in fiscal 2023, was primarily the result of an unfavorable product mix, lower unit volumes, and lower average selling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8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18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1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5"/>
              </w:rPr>
              <w:t>1.8%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460.0</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6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17.7 %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14.8 %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direct personnel costs including share-based compensation expense, costs for pre-production evaluation, and testing of new devices, non-production masks, engineering prototypes, and design tool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and nine months ended June 28, 2024, as compared with the corresponding periods in fiscal 2023, was primarily related to an increase in certain headcount-related expenses as a result of our increased investment in developing new technologies and products, partially offset by a decrease in depreciation expense as a result of extending the useful lives of certain machinery and equipment. For information regarding this change in accounting estimate, refer to Note 1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8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18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1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6"/>
              </w:rPr>
              <w:t>(5.8)%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240.7</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6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7.9 %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7.2 %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for the three and nine months ended June 28, 2024, as compared with the corresponding periods in fiscal 2023, was primarily related to a gain on the sale of property, plant, and equipment, a decrease in professional services costs, and a decrease in share-based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60" w:type="dxa"/>
            <w:vAlign w:val="bottom"/>
            <w:tcBorders>
              <w:bottom w:val="single" w:sz="8" w:color="auto"/>
            </w:tcBorders>
          </w:tcPr>
          <w:p>
            <w:pPr>
              <w:spacing w:after="0"/>
              <w:rPr>
                <w:sz w:val="18"/>
                <w:szCs w:val="18"/>
                <w:color w:val="auto"/>
              </w:rPr>
            </w:pPr>
          </w:p>
        </w:tc>
      </w:tr>
      <w:tr>
        <w:trPr>
          <w:trHeight w:val="21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6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9"/>
              </w:rPr>
              <w:t>(94.7)%</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6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9"/>
              </w:rPr>
              <w:t>(97.6)%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29.5</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12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0.4 %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3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amortization expense for the three and nine months ended June 28, 2024, as compared with the corresponding periods in fiscal 2023, was primarily due to certain intangible assets that were acquired in prior fiscal years reaching the end of their useful lives.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Impairment, and Other Charges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60" w:type="dxa"/>
            <w:vAlign w:val="bottom"/>
            <w:tcBorders>
              <w:bottom w:val="single" w:sz="8" w:color="auto"/>
            </w:tcBorders>
          </w:tcPr>
          <w:p>
            <w:pPr>
              <w:spacing w:after="0"/>
              <w:rPr>
                <w:sz w:val="18"/>
                <w:szCs w:val="18"/>
                <w:color w:val="auto"/>
              </w:rPr>
            </w:pPr>
          </w:p>
        </w:tc>
      </w:tr>
      <w:tr>
        <w:trPr>
          <w:trHeight w:val="21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8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57"/>
        </w:trPr>
        <w:tc>
          <w:tcPr>
            <w:tcW w:w="30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Restructuring, impairment, and other</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9"/>
              </w:rPr>
              <w:t>(63.6)%</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18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28.0</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0.2 %</w:t>
            </w:r>
          </w:p>
        </w:tc>
        <w:tc>
          <w:tcPr>
            <w:tcW w:w="340" w:type="dxa"/>
            <w:vAlign w:val="bottom"/>
          </w:tcPr>
          <w:p>
            <w:pPr>
              <w:spacing w:after="0"/>
              <w:rPr>
                <w:sz w:val="20"/>
                <w:szCs w:val="20"/>
                <w:color w:val="auto"/>
              </w:rPr>
            </w:pPr>
          </w:p>
        </w:tc>
        <w:tc>
          <w:tcPr>
            <w:tcW w:w="12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0.4 %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0.6 %</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3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impairment, and other charges for the three months ended June 28, 2024 was primarily due to employee severance costs. Restructuring, impairment, and other charges for the nine months ended June 28, 2024 was primarily related to the abandonment of a previously capitalized IPR&amp;D project.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impairment, and other charges for the three months ended June 30, 2023 was primarily due to employee severance costs. Restructuring, impairment, and other charges for the nine months ended June 30, 2023 was primarily due to impairment charges on divested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8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7"/>
              </w:rPr>
              <w:t>6.6</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9"/>
              </w:rPr>
              <w:t>(59.3)%</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18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(54.2)%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52.0</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0.7 %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three and nine months ended June 28, 2024, as compared with the corresponding periods in fiscal 2023, was due to the repayment of the outstanding balance on the Term Loans (as defined below).</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8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6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7"/>
              </w:rPr>
              <w:t>9.6</w:t>
            </w:r>
          </w:p>
        </w:tc>
        <w:tc>
          <w:tcPr>
            <w:tcW w:w="1180" w:type="dxa"/>
            <w:vAlign w:val="bottom"/>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w w:val="98"/>
              </w:rPr>
              <w:t>26.3%</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16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75.0%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w:t>
            </w: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1.1 %</w:t>
            </w:r>
          </w:p>
        </w:tc>
        <w:tc>
          <w:tcPr>
            <w:tcW w:w="360" w:type="dxa"/>
            <w:vAlign w:val="bottom"/>
          </w:tcPr>
          <w:p>
            <w:pPr>
              <w:spacing w:after="0"/>
              <w:rPr>
                <w:sz w:val="20"/>
                <w:szCs w:val="20"/>
                <w:color w:val="auto"/>
              </w:rPr>
            </w:pPr>
          </w:p>
        </w:tc>
        <w:tc>
          <w:tcPr>
            <w:tcW w:w="12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0.7 %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916"/>
              <w:spacing w:after="0"/>
              <w:rPr>
                <w:sz w:val="20"/>
                <w:szCs w:val="20"/>
                <w:color w:val="auto"/>
              </w:rPr>
            </w:pPr>
            <w:r>
              <w:rPr>
                <w:rFonts w:ascii="Times New Roman" w:cs="Times New Roman" w:eastAsia="Times New Roman" w:hAnsi="Times New Roman"/>
                <w:sz w:val="18"/>
                <w:szCs w:val="18"/>
                <w:color w:val="auto"/>
              </w:rPr>
              <w:t>0.8 %</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other income, net for the three and nine months ended June 28, 2024, as compared with the corresponding periods in fiscal 2023, was primarily due to an increase in interest income generated from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80" w:type="dxa"/>
            <w:vAlign w:val="bottom"/>
            <w:tcBorders>
              <w:bottom w:val="single" w:sz="8" w:color="auto"/>
            </w:tcBorders>
          </w:tcPr>
          <w:p>
            <w:pPr>
              <w:spacing w:after="0"/>
              <w:rPr>
                <w:sz w:val="18"/>
                <w:szCs w:val="18"/>
                <w:color w:val="auto"/>
              </w:rPr>
            </w:pPr>
          </w:p>
        </w:tc>
      </w:tr>
      <w:tr>
        <w:trPr>
          <w:trHeight w:val="211"/>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18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w w:val="99"/>
              </w:rPr>
              <w:t>(52.5)%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18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(55.1)%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94.6</w:t>
            </w: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28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1.4 %</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3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provision for income taxes of $12.5 million (which consisted of $8.6 million and $3.9 million related to United States and foreign income taxes, respectively) and $42.5 million (which consisted of $16.0 million and $26.5 million related to United States and foreign income taxes, respectively) for the three and nine months ended June 28, 2024,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income tax expense for the three and nine months ended June 28, 2024, as compared with the corresponding periods in fiscal 2023, was primarily due to lower income from operations and a lower tax on GILTI, partially offset by an increase in the shortfall in tax deductions for share-based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240" w:type="dxa"/>
            <w:vAlign w:val="bottom"/>
          </w:tcPr>
          <w:p>
            <w:pPr>
              <w:spacing w:after="0"/>
              <w:rPr>
                <w:sz w:val="18"/>
                <w:szCs w:val="18"/>
                <w:color w:val="auto"/>
              </w:rPr>
            </w:pP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25"/>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9"/>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(1,189.1)</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consists of net income for the period adjusted for certain non-cash items and changes in certain operating assets and liabilities. The $142.3 million decrease in cash provided by operating activities during the nine months ended June 28, 2024, as compared with the corresponding period in fiscal 2023, was primarily related to lower net income, partially offset by favorable changes in working capital of $109.3 million, due primarily to a decrease in inventory.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consists primarily of capital expenditures, cash paid to acquire intangible assets, and cash paid to purchase marketable securities, offset by cash received related to the sale or maturity of marketable securities. The $61.7 million decrease in cash used in investing activities during the nine months ended June 28, 2024, as compared with the corresponding period in fiscal 2023, was primarily related to a decrease of $256.4 million in purchases of marketable securities and a decrease of $66.0 million in cash used for capital expenditures, partially offset by a decrease of $263.7 million in sales of marketable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consists primarily of proceeds and payments related to our long-term borrowings and cash transactions related to equity. The $469.6 million decrease in cash used in financing activities during the nine months ended June 28, 2024, as compared with the corresponding period in fiscal 2023, was primarily related to a decrease of $400.0 million for the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debt, a decrease of $98.0 million in stock repurchase activity, partially offset by an increase of $30.4 million in dividend payments.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cash equivalents, and marketable securities totaled $1,283.9 million as of June 28, 2024, representing an increase of $545.4 million from September 29, 2023.</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outstanding $500.0 million of Notes Due 2026 and $500.0 million of Notes Due 2031 (the “Notes”). During the nine months ended June 28, 2024, we repaid $300.0 million of outstanding borrowings under the term loans (the “Term Loans”) that the Company borrowed on July 26, 2021 under a $1.0 billion term loan facility (the “Term Loan Facility”). As of June 28, 2024, there were no borrowings outstanding under the Term Loan Facility. We have a Revolving Credit Agreement (the “Revolving Credit Agreement”) under which we may borrow up to $750.0 million for general corporate purposes and working capital needs of the Company and its subsidiaries. As of June 28, 2024, there were no borrowings outstanding under the revolving credit facility (the “Revolver”). The Revolving Credit Agreement expires July 26, 2026.</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outstanding commitments, and other liquidity requirements associated with existing operations. However, we cannot be certain that our cash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invested cash balances primarily consist of highly liquid marketable securities that are available to meet near-term cash requirements including: money market funds, U.S. Treasury and government securities, corporate bonds and notes, and municipal bonds.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disclosure in the 2023 10-K has not materially changed since we filed that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overall financial market risks, such as changes in market liquidity, credit quality, investment risk, interest rate risk, and foreign exchange rate risk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exposure to interest rate and general market risks relates to our investment portfolio. Our investment portfolio consists of cash and cash equivalents (money market funds, municipal bonds, and U.S. Treasury and government securities purchased with less than ninety days until maturity) that total approximately $1,263.4 million, and marketable securities (U.S. Treasury and government securities, corporate bonds and notes, and municipal bonds) that total approximately $5.6 million and $14.9 million within short-term and long-term marketable securities, respectively, as of June 28,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 objectives of our investment activities are liquidity and preservation of capital. Our cash equivalent investments have short-term maturity periods that dampen the impact of market or interest rate risk. Our marketable securities have short-term maturity periods less than one year. Credit risk associated with our investments is not material because our investments are diversified across several types of securities with high credit ratings, which reduces the amount of credit exposure to any one investment.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results of operations for the three and nine months ended June 28, 2024, a hypothetical reduction in the interest rates on our cash, cash equivalents, and other investments to zero would result in an immaterial reduction of interest income with a de minimis impact on income before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investment or interest rate risks currently pose material exposures to our business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three and nine months ended June 28, 2024 and June 30, 2023, we had not entered into any outstanding foreign currency forward or options contracts with financial institutions.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28,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June 28, 2024, our chief executive officer and chief financial officer concluded that, as of such date,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2024, we completed the implementation of our new enterprise resource planning (“ERP”) system and have modified certain existing internal control processes and procedures related to the new system. These changes did not materially affect our internal control over financial reporting. As we implement new functionality under this ERP system, we will continue to assess the impact on our internal control over financial reporting.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9 of the Notes to Consolidated Financial Statements for a detailed discussion.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the 2023 10-K, which could materially affect our business, financial condition, or future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common stock made during the three months ended June 28,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Number of Shares Purchased as Part</w:t>
            </w:r>
          </w:p>
        </w:tc>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 that May Yet</w:t>
            </w:r>
          </w:p>
        </w:tc>
        <w:tc>
          <w:tcPr>
            <w:tcW w:w="0" w:type="dxa"/>
            <w:vAlign w:val="bottom"/>
          </w:tcPr>
          <w:p>
            <w:pPr>
              <w:spacing w:after="0"/>
              <w:rPr>
                <w:sz w:val="1"/>
                <w:szCs w:val="1"/>
                <w:color w:val="auto"/>
              </w:rPr>
            </w:pPr>
          </w:p>
        </w:tc>
      </w:tr>
      <w:tr>
        <w:trPr>
          <w:trHeight w:val="146"/>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68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of Publicly Announced Plans or Programs</w:t>
            </w:r>
          </w:p>
        </w:tc>
        <w:tc>
          <w:tcPr>
            <w:tcW w:w="3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 Under the Plans or Programs (1) (2)</w:t>
            </w: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03/30/24 - 04/26/24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$105.48</w:t>
            </w: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 billion</w:t>
            </w:r>
          </w:p>
        </w:tc>
        <w:tc>
          <w:tcPr>
            <w:tcW w:w="0" w:type="dxa"/>
            <w:vAlign w:val="bottom"/>
          </w:tcPr>
          <w:p>
            <w:pPr>
              <w:spacing w:after="0"/>
              <w:rPr>
                <w:sz w:val="1"/>
                <w:szCs w:val="1"/>
                <w:color w:val="auto"/>
              </w:rPr>
            </w:pPr>
          </w:p>
        </w:tc>
      </w:tr>
      <w:tr>
        <w:trPr>
          <w:trHeight w:val="229"/>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04/27/24 - 05/24/24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$94.39</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billion</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05/25/24 - 06/28/24</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763,767</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$101.33</w:t>
            </w:r>
          </w:p>
        </w:tc>
        <w:tc>
          <w:tcPr>
            <w:tcW w:w="2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763,767</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 billion</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773,947</w:t>
            </w: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763,767</w:t>
            </w: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8"/>
        <w:spacing w:after="0" w:line="252" w:lineRule="auto"/>
        <w:tabs>
          <w:tab w:leader="none" w:pos="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repurchase program approved by the Board of Directors on January 31, 2023 authorized the repurchase of up to $2.0 billion of our common stock from time to time on the open market or in privately negotiated transactions, in compliance with applicable securities laws and other legal requirements, and expires on February 1, 2025.</w:t>
      </w:r>
    </w:p>
    <w:p>
      <w:pPr>
        <w:spacing w:after="0" w:line="2" w:lineRule="exact"/>
        <w:rPr>
          <w:rFonts w:ascii="Times New Roman" w:cs="Times New Roman" w:eastAsia="Times New Roman" w:hAnsi="Times New Roman"/>
          <w:sz w:val="18"/>
          <w:szCs w:val="18"/>
          <w:color w:val="auto"/>
        </w:rPr>
      </w:pPr>
    </w:p>
    <w:p>
      <w:pPr>
        <w:ind w:right="340" w:firstLine="8"/>
        <w:spacing w:after="0" w:line="229"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share repurchases are subject to a 1% excise tax under the Inflation Reduction Act. Excise tax incurred reduces the amount available under the repurchase program, as applicable, and is included in the cost of shares repurchased in the Consolidated Statement of Stockholders’ Equity and the calculation of the average price paid per share.</w:t>
      </w:r>
    </w:p>
    <w:p>
      <w:pPr>
        <w:spacing w:after="0" w:line="1" w:lineRule="exact"/>
        <w:rPr>
          <w:rFonts w:ascii="Times New Roman" w:cs="Times New Roman" w:eastAsia="Times New Roman" w:hAnsi="Times New Roman"/>
          <w:sz w:val="18"/>
          <w:szCs w:val="18"/>
          <w:color w:val="auto"/>
        </w:rPr>
      </w:pPr>
    </w:p>
    <w:p>
      <w:pPr>
        <w:ind w:firstLine="8"/>
        <w:spacing w:after="0" w:line="243" w:lineRule="auto"/>
        <w:tabs>
          <w:tab w:leader="none" w:pos="2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repurchased by us at the fair market value of the common stock as of the applicable purchase date, in connection with the satisfaction of tax withholding obligations under equity award agreements.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compensation of our directors and officers (as defined in Rule 16a-1(f) under the Exchange Act) is in the form of equity awards and, from time to time, directors and officers engage in open-market transactions with respect to the securities acquired pursuant to such equity awards or our other securities, including to satisfy tax withholding obligations when equity awards vest or are exercised, and for diversification or other personal reasons.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by our directors and officers during the quarter covered by this report that are intended to satisfy the affirmative defense conditions of Rule 10b5-1(c) (a “Rule 10b5-1 trading arrangement”):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Duration of Rule 10b5-1 Trading</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Number of Securities to</w:t>
            </w:r>
          </w:p>
        </w:tc>
      </w:tr>
      <w:tr>
        <w:trPr>
          <w:trHeight w:val="238"/>
        </w:trPr>
        <w:tc>
          <w:tcPr>
            <w:tcW w:w="2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Adoption</w:t>
            </w:r>
          </w:p>
        </w:tc>
        <w:tc>
          <w:tcPr>
            <w:tcW w:w="36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Purchased or Sold</w:t>
            </w:r>
          </w:p>
        </w:tc>
      </w:tr>
      <w:tr>
        <w:trPr>
          <w:trHeight w:val="27"/>
        </w:trPr>
        <w:tc>
          <w:tcPr>
            <w:tcW w:w="28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191"/>
        </w:trPr>
        <w:tc>
          <w:tcPr>
            <w:tcW w:w="2880" w:type="dxa"/>
            <w:vAlign w:val="bottom"/>
            <w:shd w:val="clear" w:color="auto" w:fill="CCEEFF"/>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8"/>
              </w:rPr>
              <w:t>Robert Terry, Senior Vice President</w:t>
            </w:r>
          </w:p>
        </w:tc>
        <w:tc>
          <w:tcPr>
            <w:tcW w:w="18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May 7, 2024</w:t>
            </w:r>
          </w:p>
        </w:tc>
        <w:tc>
          <w:tcPr>
            <w:tcW w:w="3680" w:type="dxa"/>
            <w:vAlign w:val="bottom"/>
            <w:shd w:val="clear" w:color="auto" w:fill="CCEEFF"/>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9"/>
              </w:rPr>
              <w:t>Until May 1, 2025, or such earlier date upon</w:t>
            </w:r>
          </w:p>
        </w:tc>
        <w:tc>
          <w:tcPr>
            <w:tcW w:w="28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Sale of up to 14,457 shares</w:t>
            </w:r>
          </w:p>
        </w:tc>
      </w:tr>
      <w:tr>
        <w:trPr>
          <w:trHeight w:val="203"/>
        </w:trPr>
        <w:tc>
          <w:tcPr>
            <w:tcW w:w="2880" w:type="dxa"/>
            <w:vAlign w:val="bottom"/>
            <w:shd w:val="clear" w:color="auto" w:fill="CCEEFF"/>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rPr>
              <w:t>and General Counsel</w:t>
            </w:r>
          </w:p>
        </w:tc>
        <w:tc>
          <w:tcPr>
            <w:tcW w:w="1840" w:type="dxa"/>
            <w:vAlign w:val="bottom"/>
            <w:shd w:val="clear" w:color="auto" w:fill="CCEEFF"/>
          </w:tcPr>
          <w:p>
            <w:pPr>
              <w:spacing w:after="0"/>
              <w:rPr>
                <w:sz w:val="17"/>
                <w:szCs w:val="17"/>
                <w:color w:val="auto"/>
              </w:rPr>
            </w:pPr>
          </w:p>
        </w:tc>
        <w:tc>
          <w:tcPr>
            <w:tcW w:w="3680" w:type="dxa"/>
            <w:vAlign w:val="bottom"/>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which all transactions are completed or expire</w:t>
            </w:r>
          </w:p>
        </w:tc>
        <w:tc>
          <w:tcPr>
            <w:tcW w:w="2840" w:type="dxa"/>
            <w:vAlign w:val="bottom"/>
            <w:shd w:val="clear" w:color="auto" w:fill="CCEEFF"/>
          </w:tcPr>
          <w:p>
            <w:pPr>
              <w:spacing w:after="0"/>
              <w:rPr>
                <w:sz w:val="17"/>
                <w:szCs w:val="17"/>
                <w:color w:val="auto"/>
              </w:rPr>
            </w:pPr>
          </w:p>
        </w:tc>
      </w:tr>
      <w:tr>
        <w:trPr>
          <w:trHeight w:val="241"/>
        </w:trPr>
        <w:tc>
          <w:tcPr>
            <w:tcW w:w="28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without execution</w:t>
            </w:r>
          </w:p>
        </w:tc>
        <w:tc>
          <w:tcPr>
            <w:tcW w:w="2840" w:type="dxa"/>
            <w:vAlign w:val="bottom"/>
            <w:tcBorders>
              <w:bottom w:val="single" w:sz="8" w:color="CCEEFF"/>
            </w:tcBorders>
            <w:shd w:val="clear" w:color="auto" w:fill="CCEEFF"/>
          </w:tcPr>
          <w:p>
            <w:pPr>
              <w:spacing w:after="0"/>
              <w:rPr>
                <w:sz w:val="20"/>
                <w:szCs w:val="20"/>
                <w:color w:val="auto"/>
              </w:rPr>
            </w:pPr>
          </w:p>
        </w:tc>
      </w:tr>
      <w:tr>
        <w:trPr>
          <w:trHeight w:val="198"/>
        </w:trPr>
        <w:tc>
          <w:tcPr>
            <w:tcW w:w="288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8"/>
              </w:rPr>
              <w:t>Reza Kasnavi, Senior Vice</w:t>
            </w: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May 15, 2024</w:t>
            </w:r>
          </w:p>
        </w:tc>
        <w:tc>
          <w:tcPr>
            <w:tcW w:w="368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Until May 1, 2025, or such earlier date upon</w:t>
            </w:r>
          </w:p>
        </w:tc>
        <w:tc>
          <w:tcPr>
            <w:tcW w:w="2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Sale of up to 16,843 shares</w:t>
            </w:r>
          </w:p>
        </w:tc>
      </w:tr>
      <w:tr>
        <w:trPr>
          <w:trHeight w:val="203"/>
        </w:trPr>
        <w:tc>
          <w:tcPr>
            <w:tcW w:w="28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w w:val="99"/>
              </w:rPr>
              <w:t>President, Technology and</w:t>
            </w:r>
          </w:p>
        </w:tc>
        <w:tc>
          <w:tcPr>
            <w:tcW w:w="1840" w:type="dxa"/>
            <w:vAlign w:val="bottom"/>
          </w:tcPr>
          <w:p>
            <w:pPr>
              <w:spacing w:after="0"/>
              <w:rPr>
                <w:sz w:val="17"/>
                <w:szCs w:val="17"/>
                <w:color w:val="auto"/>
              </w:rPr>
            </w:pPr>
          </w:p>
        </w:tc>
        <w:tc>
          <w:tcPr>
            <w:tcW w:w="3680" w:type="dxa"/>
            <w:vAlign w:val="bottom"/>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which all transactions are completed or expire</w:t>
            </w:r>
          </w:p>
        </w:tc>
        <w:tc>
          <w:tcPr>
            <w:tcW w:w="2840" w:type="dxa"/>
            <w:vAlign w:val="bottom"/>
          </w:tcPr>
          <w:p>
            <w:pPr>
              <w:spacing w:after="0"/>
              <w:rPr>
                <w:sz w:val="17"/>
                <w:szCs w:val="17"/>
                <w:color w:val="auto"/>
              </w:rPr>
            </w:pPr>
          </w:p>
        </w:tc>
      </w:tr>
      <w:tr>
        <w:trPr>
          <w:trHeight w:val="234"/>
        </w:trPr>
        <w:tc>
          <w:tcPr>
            <w:tcW w:w="2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Manufacturing</w:t>
            </w:r>
          </w:p>
        </w:tc>
        <w:tc>
          <w:tcPr>
            <w:tcW w:w="1840" w:type="dxa"/>
            <w:vAlign w:val="bottom"/>
          </w:tcPr>
          <w:p>
            <w:pPr>
              <w:spacing w:after="0"/>
              <w:rPr>
                <w:sz w:val="20"/>
                <w:szCs w:val="20"/>
                <w:color w:val="auto"/>
              </w:rPr>
            </w:pPr>
          </w:p>
        </w:tc>
        <w:tc>
          <w:tcPr>
            <w:tcW w:w="36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without execution</w:t>
            </w:r>
          </w:p>
        </w:tc>
        <w:tc>
          <w:tcPr>
            <w:tcW w:w="284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198"/>
        </w:trPr>
        <w:tc>
          <w:tcPr>
            <w:tcW w:w="2880" w:type="dxa"/>
            <w:vAlign w:val="bottom"/>
            <w:shd w:val="clear" w:color="auto" w:fill="CCEEFF"/>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Carlos Bori, Senior Vice President,</w:t>
            </w:r>
          </w:p>
        </w:tc>
        <w:tc>
          <w:tcPr>
            <w:tcW w:w="18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June 10, 2024</w:t>
            </w:r>
          </w:p>
        </w:tc>
        <w:tc>
          <w:tcPr>
            <w:tcW w:w="3680" w:type="dxa"/>
            <w:vAlign w:val="bottom"/>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Until February 14, 2025, or such earlier date</w:t>
            </w:r>
          </w:p>
        </w:tc>
        <w:tc>
          <w:tcPr>
            <w:tcW w:w="28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Sale of up to 19,498 shares</w:t>
            </w:r>
          </w:p>
        </w:tc>
      </w:tr>
      <w:tr>
        <w:trPr>
          <w:trHeight w:val="203"/>
        </w:trPr>
        <w:tc>
          <w:tcPr>
            <w:tcW w:w="2880" w:type="dxa"/>
            <w:vAlign w:val="bottom"/>
            <w:shd w:val="clear" w:color="auto" w:fill="CCEEFF"/>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w w:val="99"/>
              </w:rPr>
              <w:t>Sales and Marketing</w:t>
            </w:r>
          </w:p>
        </w:tc>
        <w:tc>
          <w:tcPr>
            <w:tcW w:w="1840" w:type="dxa"/>
            <w:vAlign w:val="bottom"/>
            <w:shd w:val="clear" w:color="auto" w:fill="CCEEFF"/>
          </w:tcPr>
          <w:p>
            <w:pPr>
              <w:spacing w:after="0"/>
              <w:rPr>
                <w:sz w:val="17"/>
                <w:szCs w:val="17"/>
                <w:color w:val="auto"/>
              </w:rPr>
            </w:pPr>
          </w:p>
        </w:tc>
        <w:tc>
          <w:tcPr>
            <w:tcW w:w="3680" w:type="dxa"/>
            <w:vAlign w:val="bottom"/>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upon which all transactions are completed or</w:t>
            </w:r>
          </w:p>
        </w:tc>
        <w:tc>
          <w:tcPr>
            <w:tcW w:w="2840" w:type="dxa"/>
            <w:vAlign w:val="bottom"/>
            <w:shd w:val="clear" w:color="auto" w:fill="CCEEFF"/>
          </w:tcPr>
          <w:p>
            <w:pPr>
              <w:spacing w:after="0"/>
              <w:rPr>
                <w:sz w:val="17"/>
                <w:szCs w:val="17"/>
                <w:color w:val="auto"/>
              </w:rPr>
            </w:pPr>
          </w:p>
        </w:tc>
      </w:tr>
      <w:tr>
        <w:trPr>
          <w:trHeight w:val="234"/>
        </w:trPr>
        <w:tc>
          <w:tcPr>
            <w:tcW w:w="28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36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expire without execution</w:t>
            </w:r>
          </w:p>
        </w:tc>
        <w:tc>
          <w:tcPr>
            <w:tcW w:w="2840" w:type="dxa"/>
            <w:vAlign w:val="bottom"/>
            <w:shd w:val="clear" w:color="auto" w:fill="CCEEFF"/>
          </w:tcPr>
          <w:p>
            <w:pPr>
              <w:spacing w:after="0"/>
              <w:rPr>
                <w:sz w:val="20"/>
                <w:szCs w:val="20"/>
                <w:color w:val="auto"/>
              </w:rPr>
            </w:pPr>
          </w:p>
        </w:tc>
      </w:tr>
      <w:tr>
        <w:trPr>
          <w:trHeight w:val="27"/>
        </w:trPr>
        <w:tc>
          <w:tcPr>
            <w:tcW w:w="28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terminated a Rule 10b5-1 trading arrangement or adopted or terminated a non-Rule 10b5-1 trading arrangement (as defined in Item 408(c) of Regulation S-K) during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Incorporated by Reference</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gridSpan w:val="4"/>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20" w:type="dxa"/>
            <w:vAlign w:val="bottom"/>
            <w:gridSpan w:val="18"/>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80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20" w:type="dxa"/>
            <w:vAlign w:val="bottom"/>
            <w:gridSpan w:val="5"/>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   Filed Herewith</w:t>
            </w:r>
          </w:p>
        </w:tc>
        <w:tc>
          <w:tcPr>
            <w:tcW w:w="0" w:type="dxa"/>
            <w:vAlign w:val="bottom"/>
          </w:tcPr>
          <w:p>
            <w:pPr>
              <w:spacing w:after="0"/>
              <w:rPr>
                <w:sz w:val="1"/>
                <w:szCs w:val="1"/>
                <w:color w:val="auto"/>
              </w:rPr>
            </w:pPr>
          </w:p>
        </w:tc>
      </w:tr>
      <w:tr>
        <w:trPr>
          <w:trHeight w:val="27"/>
        </w:trPr>
        <w:tc>
          <w:tcPr>
            <w:tcW w:w="580" w:type="dxa"/>
            <w:vAlign w:val="bottom"/>
            <w:tcBorders>
              <w:right w:val="single" w:sz="8" w:color="auto"/>
            </w:tcBorders>
            <w:gridSpan w:val="3"/>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Skyworks Solutions, Inc. Second Amended and Restated 2015</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5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Long-Term Incentive Plan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4"/>
                <w:szCs w:val="24"/>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Skyworks Solutions, Inc. 2002 Employee Stock Purchase Plan, as</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76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Skyworks Solutions, Inc. Non-Qualified Employee Stock Purchase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Plan, as Amended</w:t>
            </w:r>
          </w:p>
        </w:tc>
        <w:tc>
          <w:tcPr>
            <w:tcW w:w="35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440" w:type="dxa"/>
            <w:vAlign w:val="bottom"/>
          </w:tcPr>
          <w:p>
            <w:pPr>
              <w:spacing w:after="0"/>
              <w:rPr>
                <w:sz w:val="24"/>
                <w:szCs w:val="24"/>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8"/>
              </w:rPr>
              <w:t>to Securities Exchange Act of 1934, as amended, Rules 13a-14(a)</w:t>
            </w: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8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8"/>
                <w:szCs w:val="18"/>
                <w:color w:val="0000FF"/>
              </w:rPr>
              <w:t>-</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w w:val="98"/>
              </w:rPr>
              <w:t>and 15d-14(a), as adopted pursuant to Section 302 of the Sarbanes</w:t>
            </w:r>
          </w:p>
        </w:tc>
        <w:tc>
          <w:tcPr>
            <w:tcW w:w="28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500" w:type="dxa"/>
            <w:vAlign w:val="bottom"/>
            <w:tcBorders>
              <w:top w:val="single" w:sz="8" w:color="0000FF"/>
            </w:tcBorders>
            <w:gridSpan w:val="13"/>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40" w:type="dxa"/>
            <w:vAlign w:val="bottom"/>
          </w:tcPr>
          <w:p>
            <w:pPr>
              <w:spacing w:after="0"/>
              <w:rPr>
                <w:sz w:val="22"/>
                <w:szCs w:val="22"/>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Securities Exchange Act of 1934, as amended, Rules 13a-14(a)</w:t>
            </w:r>
          </w:p>
        </w:tc>
        <w:tc>
          <w:tcPr>
            <w:tcW w:w="260" w:type="dxa"/>
            <w:vAlign w:val="bottom"/>
            <w:tcBorders>
              <w:top w:val="single" w:sz="8" w:color="0000FF"/>
            </w:tcBorders>
            <w:gridSpan w:val="6"/>
          </w:tcPr>
          <w:p>
            <w:pPr>
              <w:spacing w:after="0"/>
              <w:rPr>
                <w:sz w:val="13"/>
                <w:szCs w:val="13"/>
                <w:color w:val="auto"/>
              </w:rPr>
            </w:pPr>
          </w:p>
        </w:tc>
        <w:tc>
          <w:tcPr>
            <w:tcW w:w="20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20" w:type="dxa"/>
            <w:vAlign w:val="bottom"/>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and 15d-14(a), as adopted pursuant to Section 302 of the Sarbanes-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500" w:type="dxa"/>
            <w:vAlign w:val="bottom"/>
            <w:tcBorders>
              <w:top w:val="single" w:sz="8" w:color="0000FF"/>
            </w:tcBorders>
            <w:gridSpan w:val="13"/>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40" w:type="dxa"/>
            <w:vAlign w:val="bottom"/>
          </w:tcPr>
          <w:p>
            <w:pPr>
              <w:spacing w:after="0"/>
              <w:rPr>
                <w:sz w:val="22"/>
                <w:szCs w:val="22"/>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to 18 U.S.C. Section 1350, as adopted pursuant to Section 906 of</w:t>
            </w:r>
          </w:p>
        </w:tc>
        <w:tc>
          <w:tcPr>
            <w:tcW w:w="20" w:type="dxa"/>
            <w:vAlign w:val="bottom"/>
            <w:tcBorders>
              <w:bottom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240" w:type="dxa"/>
            <w:vAlign w:val="bottom"/>
            <w:gridSpan w:val="4"/>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0" w:type="dxa"/>
            <w:vAlign w:val="bottom"/>
            <w:gridSpan w:val="3"/>
          </w:tcPr>
          <w:p>
            <w:pPr>
              <w:spacing w:after="0"/>
              <w:rPr>
                <w:sz w:val="14"/>
                <w:szCs w:val="14"/>
                <w:color w:val="auto"/>
              </w:rPr>
            </w:pPr>
          </w:p>
        </w:tc>
        <w:tc>
          <w:tcPr>
            <w:tcW w:w="240" w:type="dxa"/>
            <w:vAlign w:val="bottom"/>
            <w:gridSpan w:val="4"/>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40" w:type="dxa"/>
            <w:vAlign w:val="bottom"/>
          </w:tcPr>
          <w:p>
            <w:pPr>
              <w:spacing w:after="0"/>
              <w:rPr>
                <w:sz w:val="22"/>
                <w:szCs w:val="22"/>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2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 as adopted pursuant to Section 906 of the</w:t>
            </w:r>
          </w:p>
        </w:tc>
        <w:tc>
          <w:tcPr>
            <w:tcW w:w="20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40" w:type="dxa"/>
            <w:vAlign w:val="bottom"/>
            <w:gridSpan w:val="4"/>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4"/>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101.INS</w:t>
            </w: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20" w:type="dxa"/>
            <w:vAlign w:val="bottom"/>
            <w:gridSpan w:val="18"/>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101.SCH</w:t>
            </w: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101.CAL</w:t>
            </w: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101.DEF</w:t>
            </w: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83"/>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101.LAB</w:t>
            </w: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10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101.PRE</w:t>
            </w: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1380" w:right="5120" w:hanging="825"/>
        <w:spacing w:after="0" w:line="231" w:lineRule="auto"/>
        <w:tabs>
          <w:tab w:leader="none" w:pos="13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SKYWORKS SOLUTIONS, INC.</w:t>
            </w:r>
          </w:p>
        </w:tc>
      </w:tr>
      <w:tr>
        <w:trPr>
          <w:trHeight w:val="52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Liam K. Griffin</w:t>
            </w:r>
          </w:p>
        </w:tc>
        <w:tc>
          <w:tcPr>
            <w:tcW w:w="3100" w:type="dxa"/>
            <w:vAlign w:val="bottom"/>
            <w:tcBorders>
              <w:bottom w:val="single" w:sz="8" w:color="auto"/>
            </w:tcBorders>
          </w:tcPr>
          <w:p>
            <w:pPr>
              <w:spacing w:after="0"/>
              <w:rPr>
                <w:sz w:val="24"/>
                <w:szCs w:val="24"/>
                <w:color w:val="auto"/>
              </w:rPr>
            </w:pPr>
          </w:p>
        </w:tc>
      </w:tr>
      <w:tr>
        <w:trPr>
          <w:trHeight w:val="218"/>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r>
      <w:tr>
        <w:trPr>
          <w:trHeight w:val="229"/>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4"/>
        </w:trPr>
        <w:tc>
          <w:tcPr>
            <w:tcW w:w="4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47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Kris Sennesael</w:t>
            </w:r>
          </w:p>
        </w:tc>
      </w:tr>
      <w:tr>
        <w:trPr>
          <w:trHeight w:val="218"/>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r>
      <w:tr>
        <w:trPr>
          <w:trHeight w:val="230"/>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4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47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Philip Carter</w:t>
            </w:r>
          </w:p>
        </w:tc>
      </w:tr>
      <w:tr>
        <w:trPr>
          <w:trHeight w:val="228"/>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Philip Carter</w:t>
            </w:r>
          </w:p>
        </w:tc>
      </w:tr>
    </w:tbl>
    <w:p>
      <w:pPr>
        <w:ind w:left="5340"/>
        <w:spacing w:after="0"/>
        <w:rPr>
          <w:sz w:val="20"/>
          <w:szCs w:val="20"/>
          <w:color w:val="auto"/>
        </w:rPr>
      </w:pPr>
      <w:r>
        <w:rPr>
          <w:rFonts w:ascii="Times New Roman" w:cs="Times New Roman" w:eastAsia="Times New Roman" w:hAnsi="Times New Roman"/>
          <w:sz w:val="18"/>
          <w:szCs w:val="18"/>
          <w:color w:val="auto"/>
        </w:rPr>
        <w:t>Vice President and Corporate Controller</w:t>
      </w:r>
    </w:p>
    <w:p>
      <w:pPr>
        <w:spacing w:after="0" w:line="1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6"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19685</wp:posOffset>
            </wp:positionV>
            <wp:extent cx="1731645" cy="565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1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SKYWORKS SOLUTIONS, INC.</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SECOND AMENDED AND RESTATED 2015 LONG-TERM INCENTIVE PLAN</w:t>
      </w:r>
    </w:p>
    <w:p>
      <w:pPr>
        <w:spacing w:after="0" w:line="200" w:lineRule="exact"/>
        <w:rPr>
          <w:sz w:val="20"/>
          <w:szCs w:val="20"/>
          <w:color w:val="auto"/>
        </w:rPr>
      </w:pPr>
    </w:p>
    <w:p>
      <w:pPr>
        <w:spacing w:after="0" w:line="30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purpose of this Second Amended and Restated 2015 Long-Term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Skyworks Solutions, Inc.,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The Plan amends and restates the 2015 Long-Term Incentive Plan, as amended, that was originally adopted by the Board on November 11, 2014, approved by the Company’s stockholders on May 19, 2015, and amended by the Board on May 8, 2019. The Plan, as amended and restated, was approved by the Board on November 11, 2020, and by the Company’s stockholders on May 12, 2021. The Plan, as further amended and restated, was approved by the Board on February 7, 2024 and by the Company’s stockholders on May 14, 2024.</w:t>
      </w:r>
    </w:p>
    <w:p>
      <w:pPr>
        <w:spacing w:after="0" w:line="19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Definitions</w:t>
      </w:r>
    </w:p>
    <w:p>
      <w:pPr>
        <w:spacing w:after="0" w:line="2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42" w:lineRule="exact"/>
        <w:rPr>
          <w:sz w:val="20"/>
          <w:szCs w:val="20"/>
          <w:color w:val="auto"/>
        </w:rPr>
      </w:pPr>
    </w:p>
    <w:p>
      <w:pPr>
        <w:jc w:val="both"/>
        <w:ind w:left="1300" w:hanging="644"/>
        <w:spacing w:after="0" w:line="260" w:lineRule="auto"/>
        <w:tabs>
          <w:tab w:leader="none" w:pos="1363" w:val="left"/>
        </w:tabs>
        <w:numPr>
          <w:ilvl w:val="0"/>
          <w:numId w:val="1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shall mean the entity that conducts the general administration of the Plan as provided in Section 3. With reference to the duties of the Committee under the Plan that have been delegated to one or more persons pursuant to Section 3(d) or Section 3(e), or as to which the Board has assumed, the term “Administrator” shall refer to such person(s) unless the Committee or the Board has revoked such delegation or the Board has terminated the assumption of such duties.</w:t>
      </w:r>
    </w:p>
    <w:p>
      <w:pPr>
        <w:spacing w:after="0" w:line="177" w:lineRule="exact"/>
        <w:rPr>
          <w:rFonts w:ascii="Times New Roman" w:cs="Times New Roman" w:eastAsia="Times New Roman" w:hAnsi="Times New Roman"/>
          <w:sz w:val="20"/>
          <w:szCs w:val="20"/>
          <w:i w:val="1"/>
          <w:iCs w:val="1"/>
          <w:color w:val="auto"/>
        </w:rPr>
      </w:pPr>
    </w:p>
    <w:p>
      <w:pPr>
        <w:jc w:val="both"/>
        <w:ind w:left="1300" w:hanging="644"/>
        <w:spacing w:after="0" w:line="263" w:lineRule="auto"/>
        <w:tabs>
          <w:tab w:leader="none" w:pos="1349" w:val="left"/>
        </w:tabs>
        <w:numPr>
          <w:ilvl w:val="0"/>
          <w:numId w:val="1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shall mean an Option, a Restricted Stock award, a Restricted Stock Unit award, a Performance Award, a Dividend Equivalent award, an Other Stock Unit Award, or a Stock Appreciation Right, which may be awarded or granted under the Plan (collectively,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i w:val="1"/>
          <w:iCs w:val="1"/>
          <w:color w:val="auto"/>
        </w:rPr>
      </w:pPr>
    </w:p>
    <w:p>
      <w:pPr>
        <w:jc w:val="both"/>
        <w:ind w:left="1300" w:hanging="644"/>
        <w:spacing w:after="0" w:line="263" w:lineRule="auto"/>
        <w:tabs>
          <w:tab w:leader="none" w:pos="1378" w:val="left"/>
        </w:tabs>
        <w:numPr>
          <w:ilvl w:val="0"/>
          <w:numId w:val="1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shall mean any written notice, agreement, terms and conditions, contract or other instrument or document evidencing an Award, including through electronic medium, which shall contain such terms and conditions with respect to an Award that are consistent with the Plan.</w:t>
      </w:r>
    </w:p>
    <w:p>
      <w:pPr>
        <w:spacing w:after="0" w:line="161" w:lineRule="exact"/>
        <w:rPr>
          <w:rFonts w:ascii="Times New Roman" w:cs="Times New Roman" w:eastAsia="Times New Roman" w:hAnsi="Times New Roman"/>
          <w:sz w:val="20"/>
          <w:szCs w:val="20"/>
          <w:i w:val="1"/>
          <w:iCs w:val="1"/>
          <w:color w:val="auto"/>
        </w:rPr>
      </w:pPr>
    </w:p>
    <w:p>
      <w:pPr>
        <w:ind w:left="1300" w:hanging="644"/>
        <w:spacing w:after="0" w:line="287" w:lineRule="auto"/>
        <w:tabs>
          <w:tab w:leader="none" w:pos="1349" w:val="left"/>
        </w:tabs>
        <w:numPr>
          <w:ilvl w:val="0"/>
          <w:numId w:val="1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Limit</w:t>
      </w:r>
      <w:r>
        <w:rPr>
          <w:rFonts w:ascii="Times New Roman" w:cs="Times New Roman" w:eastAsia="Times New Roman" w:hAnsi="Times New Roman"/>
          <w:sz w:val="20"/>
          <w:szCs w:val="20"/>
          <w:color w:val="auto"/>
        </w:rPr>
        <w:t>” shall mean, with respect to Awards that shall be payable in shares of Common Stock or in cash, as the case may be, the respective per-Participant limit set forth in Section 4(e).</w:t>
      </w:r>
    </w:p>
    <w:p>
      <w:pPr>
        <w:spacing w:after="0" w:line="138" w:lineRule="exact"/>
        <w:rPr>
          <w:rFonts w:ascii="Times New Roman" w:cs="Times New Roman" w:eastAsia="Times New Roman" w:hAnsi="Times New Roman"/>
          <w:sz w:val="20"/>
          <w:szCs w:val="20"/>
          <w:i w:val="1"/>
          <w:iCs w:val="1"/>
          <w:color w:val="auto"/>
        </w:rPr>
      </w:pPr>
    </w:p>
    <w:p>
      <w:pPr>
        <w:ind w:left="1340" w:hanging="684"/>
        <w:spacing w:after="0"/>
        <w:tabs>
          <w:tab w:leader="none" w:pos="1340" w:val="left"/>
        </w:tabs>
        <w:numPr>
          <w:ilvl w:val="0"/>
          <w:numId w:val="1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of Directors of the Company.</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type w:val="continuous"/>
        </w:sectPr>
      </w:pPr>
    </w:p>
    <w:bookmarkStart w:id="27" w:name="page28"/>
    <w:bookmarkEnd w:id="27"/>
    <w:p>
      <w:pPr>
        <w:spacing w:after="0" w:line="185" w:lineRule="exact"/>
        <w:rPr>
          <w:sz w:val="20"/>
          <w:szCs w:val="20"/>
          <w:color w:val="auto"/>
        </w:rPr>
      </w:pPr>
    </w:p>
    <w:p>
      <w:pPr>
        <w:jc w:val="both"/>
        <w:ind w:left="644" w:hanging="644"/>
        <w:spacing w:after="0" w:line="254" w:lineRule="auto"/>
        <w:tabs>
          <w:tab w:leader="none" w:pos="703" w:val="left"/>
        </w:tabs>
        <w:numPr>
          <w:ilvl w:val="0"/>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have the meaning given in an employment agreement, severance agreement, change in control agreement, consulting agreement or other similar agreement, if any, between the Company and the Participant, or if there is no such agreement (or if such agreement does not define “Cause”), then except as otherwise provided by the Administrator in an Award Agreement with respect to an Award, “Cause” shall mean the determination by the Administrator or by the Company’s appropriate management personnel that any of the following acts or events exists or has occurred with respect to a Participant:</w:t>
      </w:r>
    </w:p>
    <w:p>
      <w:pPr>
        <w:spacing w:after="0" w:line="190" w:lineRule="exact"/>
        <w:rPr>
          <w:rFonts w:ascii="Times New Roman" w:cs="Times New Roman" w:eastAsia="Times New Roman" w:hAnsi="Times New Roman"/>
          <w:sz w:val="20"/>
          <w:szCs w:val="20"/>
          <w:i w:val="1"/>
          <w:iCs w:val="1"/>
          <w:color w:val="auto"/>
        </w:rPr>
      </w:pPr>
    </w:p>
    <w:p>
      <w:pPr>
        <w:ind w:left="1344" w:hanging="800"/>
        <w:spacing w:after="0"/>
        <w:tabs>
          <w:tab w:leader="none" w:pos="1344" w:val="left"/>
        </w:tabs>
        <w:numPr>
          <w:ilvl w:val="2"/>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Participant’s deliberate dishonesty that is significantly detrimental to the best interests of the Company;</w:t>
      </w:r>
    </w:p>
    <w:p>
      <w:pPr>
        <w:spacing w:after="0" w:line="215" w:lineRule="exact"/>
        <w:rPr>
          <w:rFonts w:ascii="Times New Roman" w:cs="Times New Roman" w:eastAsia="Times New Roman" w:hAnsi="Times New Roman"/>
          <w:sz w:val="20"/>
          <w:szCs w:val="20"/>
          <w:i w:val="1"/>
          <w:iCs w:val="1"/>
          <w:color w:val="auto"/>
        </w:rPr>
      </w:pPr>
    </w:p>
    <w:p>
      <w:pPr>
        <w:ind w:left="1344" w:hanging="855"/>
        <w:spacing w:after="0"/>
        <w:tabs>
          <w:tab w:leader="none" w:pos="1344" w:val="left"/>
        </w:tabs>
        <w:numPr>
          <w:ilvl w:val="2"/>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conduct by the Participant constituting an act of moral turpitude;</w:t>
      </w:r>
    </w:p>
    <w:p>
      <w:pPr>
        <w:spacing w:after="0" w:line="229" w:lineRule="exact"/>
        <w:rPr>
          <w:rFonts w:ascii="Times New Roman" w:cs="Times New Roman" w:eastAsia="Times New Roman" w:hAnsi="Times New Roman"/>
          <w:sz w:val="20"/>
          <w:szCs w:val="20"/>
          <w:i w:val="1"/>
          <w:iCs w:val="1"/>
          <w:color w:val="auto"/>
        </w:rPr>
      </w:pPr>
    </w:p>
    <w:p>
      <w:pPr>
        <w:ind w:left="1304" w:hanging="870"/>
        <w:spacing w:after="0" w:line="269" w:lineRule="auto"/>
        <w:tabs>
          <w:tab w:leader="none" w:pos="1381" w:val="left"/>
        </w:tabs>
        <w:numPr>
          <w:ilvl w:val="2"/>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Participant’s willful disloyalty to the Company or refusal or failure to obey the directions of the Board, the Company’s Chief Executive Officer or President, or the Participant’s direct supervisor; or</w:t>
      </w:r>
    </w:p>
    <w:p>
      <w:pPr>
        <w:spacing w:after="0" w:line="172" w:lineRule="exact"/>
        <w:rPr>
          <w:rFonts w:ascii="Times New Roman" w:cs="Times New Roman" w:eastAsia="Times New Roman" w:hAnsi="Times New Roman"/>
          <w:sz w:val="20"/>
          <w:szCs w:val="20"/>
          <w:i w:val="1"/>
          <w:iCs w:val="1"/>
          <w:color w:val="auto"/>
        </w:rPr>
      </w:pPr>
    </w:p>
    <w:p>
      <w:pPr>
        <w:ind w:left="1304" w:hanging="848"/>
        <w:spacing w:after="0" w:line="283" w:lineRule="auto"/>
        <w:tabs>
          <w:tab w:leader="none" w:pos="1339" w:val="left"/>
        </w:tabs>
        <w:numPr>
          <w:ilvl w:val="1"/>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Participant’s incompetent performance or substantial or continuing inattention to or neglect of duties assigned to the Participant.</w:t>
      </w:r>
    </w:p>
    <w:p>
      <w:pPr>
        <w:spacing w:after="0" w:line="142" w:lineRule="exact"/>
        <w:rPr>
          <w:rFonts w:ascii="Times New Roman" w:cs="Times New Roman" w:eastAsia="Times New Roman" w:hAnsi="Times New Roman"/>
          <w:sz w:val="20"/>
          <w:szCs w:val="20"/>
          <w:i w:val="1"/>
          <w:iCs w:val="1"/>
          <w:color w:val="auto"/>
        </w:rPr>
      </w:pPr>
    </w:p>
    <w:p>
      <w:pPr>
        <w:jc w:val="both"/>
        <w:ind w:left="644" w:hanging="644"/>
        <w:spacing w:after="0" w:line="263" w:lineRule="auto"/>
        <w:tabs>
          <w:tab w:leader="none" w:pos="693" w:val="left"/>
        </w:tabs>
        <w:numPr>
          <w:ilvl w:val="0"/>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mean an event or occurrence set forth in any one or more of subsections (i) through (iv) below (including an event or occurrence that constitutes a Change in Control under one of such subsections but is specifically exempted from another such subsection):</w:t>
      </w:r>
    </w:p>
    <w:p>
      <w:pPr>
        <w:spacing w:after="0" w:line="179" w:lineRule="exact"/>
        <w:rPr>
          <w:rFonts w:ascii="Times New Roman" w:cs="Times New Roman" w:eastAsia="Times New Roman" w:hAnsi="Times New Roman"/>
          <w:sz w:val="20"/>
          <w:szCs w:val="20"/>
          <w:i w:val="1"/>
          <w:iCs w:val="1"/>
          <w:color w:val="auto"/>
        </w:rPr>
      </w:pPr>
    </w:p>
    <w:p>
      <w:pPr>
        <w:jc w:val="both"/>
        <w:ind w:left="1304" w:hanging="760"/>
        <w:spacing w:after="0" w:line="267" w:lineRule="auto"/>
        <w:tabs>
          <w:tab w:leader="none" w:pos="1354" w:val="left"/>
        </w:tabs>
        <w:numPr>
          <w:ilvl w:val="2"/>
          <w:numId w:val="1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color w:val="auto"/>
        </w:rPr>
        <w:t>the acquisition by an individual, entity or group (within the meaning of Section 13(d)(3) or 14(d)(2) of the Exchange Act (a “</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of beneficial ownership of any capital stock of the Company if, after such acquisition, such Person beneficially owns (within the meaning of Rule 13d-3 promulgated under the Exchange Act) 40% or more of either</w:t>
      </w:r>
    </w:p>
    <w:p>
      <w:pPr>
        <w:spacing w:after="0" w:line="1" w:lineRule="exact"/>
        <w:rPr>
          <w:rFonts w:ascii="Times New Roman" w:cs="Times New Roman" w:eastAsia="Times New Roman" w:hAnsi="Times New Roman"/>
          <w:sz w:val="19"/>
          <w:szCs w:val="19"/>
          <w:i w:val="1"/>
          <w:iCs w:val="1"/>
          <w:color w:val="auto"/>
        </w:rPr>
      </w:pPr>
    </w:p>
    <w:p>
      <w:pPr>
        <w:jc w:val="both"/>
        <w:ind w:left="1304" w:hanging="8"/>
        <w:spacing w:after="0" w:line="249" w:lineRule="auto"/>
        <w:tabs>
          <w:tab w:leader="none" w:pos="1638" w:val="left"/>
        </w:tabs>
        <w:numPr>
          <w:ilvl w:val="3"/>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then-outstanding shares of Common Stock (the “</w:t>
      </w:r>
      <w:r>
        <w:rPr>
          <w:rFonts w:ascii="Times New Roman" w:cs="Times New Roman" w:eastAsia="Times New Roman" w:hAnsi="Times New Roman"/>
          <w:sz w:val="20"/>
          <w:szCs w:val="20"/>
          <w:b w:val="1"/>
          <w:bCs w:val="1"/>
          <w:i w:val="1"/>
          <w:iCs w:val="1"/>
          <w:color w:val="auto"/>
        </w:rPr>
        <w:t>Outstanding Company Common Stock</w:t>
      </w:r>
      <w:r>
        <w:rPr>
          <w:rFonts w:ascii="Times New Roman" w:cs="Times New Roman" w:eastAsia="Times New Roman" w:hAnsi="Times New Roman"/>
          <w:sz w:val="20"/>
          <w:szCs w:val="20"/>
          <w:color w:val="auto"/>
        </w:rPr>
        <w:t>”) or (y) the combined voting power of the then-outstanding securities of the Company entitled to vote generally in the election of directors (the “</w:t>
      </w:r>
      <w:r>
        <w:rPr>
          <w:rFonts w:ascii="Times New Roman" w:cs="Times New Roman" w:eastAsia="Times New Roman" w:hAnsi="Times New Roman"/>
          <w:sz w:val="20"/>
          <w:szCs w:val="20"/>
          <w:b w:val="1"/>
          <w:bCs w:val="1"/>
          <w:i w:val="1"/>
          <w:iCs w:val="1"/>
          <w:color w:val="auto"/>
        </w:rPr>
        <w:t>Outstanding Company Voting Securities</w:t>
      </w:r>
      <w:r>
        <w:rPr>
          <w:rFonts w:ascii="Times New Roman" w:cs="Times New Roman" w:eastAsia="Times New Roman" w:hAnsi="Times New Roman"/>
          <w:sz w:val="20"/>
          <w:szCs w:val="20"/>
          <w:color w:val="auto"/>
        </w:rPr>
        <w:t>”); provided, however, that for purposes of this subsection (i), the following acquisitions shall not constitute a Change in Control: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and (B) of subsection (iii) of this Section 2(g); or</w:t>
      </w:r>
    </w:p>
    <w:p>
      <w:pPr>
        <w:spacing w:after="0" w:line="181" w:lineRule="exact"/>
        <w:rPr>
          <w:rFonts w:ascii="Times New Roman" w:cs="Times New Roman" w:eastAsia="Times New Roman" w:hAnsi="Times New Roman"/>
          <w:sz w:val="20"/>
          <w:szCs w:val="20"/>
          <w:color w:val="auto"/>
        </w:rPr>
      </w:pPr>
    </w:p>
    <w:p>
      <w:pPr>
        <w:jc w:val="both"/>
        <w:ind w:left="1304" w:hanging="815"/>
        <w:spacing w:after="0" w:line="253" w:lineRule="auto"/>
        <w:tabs>
          <w:tab w:leader="none" w:pos="1353" w:val="left"/>
        </w:tabs>
        <w:numPr>
          <w:ilvl w:val="2"/>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such time as the Continuing Directors (as defined below) do not constitute a majority of the Board (or, if applicable, the Board of Directors of a successor corporation to the Company), where the term “</w:t>
      </w:r>
      <w:r>
        <w:rPr>
          <w:rFonts w:ascii="Times New Roman" w:cs="Times New Roman" w:eastAsia="Times New Roman" w:hAnsi="Times New Roman"/>
          <w:sz w:val="20"/>
          <w:szCs w:val="20"/>
          <w:b w:val="1"/>
          <w:bCs w:val="1"/>
          <w:i w:val="1"/>
          <w:iCs w:val="1"/>
          <w:color w:val="auto"/>
        </w:rPr>
        <w:t>Continuing Director</w:t>
      </w:r>
      <w:r>
        <w:rPr>
          <w:rFonts w:ascii="Times New Roman" w:cs="Times New Roman" w:eastAsia="Times New Roman" w:hAnsi="Times New Roman"/>
          <w:sz w:val="20"/>
          <w:szCs w:val="20"/>
          <w:color w:val="auto"/>
        </w:rPr>
        <w:t>” means at any date a member of the Board (A) who was a member of the Board on the Effective Date or (B) who was nominated or elected subsequent to the Effective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(B)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4"/>
          </w:cols>
          <w:pgMar w:left="976" w:top="1440" w:right="339" w:bottom="1440" w:gutter="0" w:footer="0" w:header="0"/>
        </w:sectPr>
      </w:pPr>
    </w:p>
    <w:bookmarkStart w:id="28" w:name="page29"/>
    <w:bookmarkEnd w:id="28"/>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81" w:lineRule="exact"/>
        <w:rPr>
          <w:sz w:val="20"/>
          <w:szCs w:val="20"/>
          <w:color w:val="auto"/>
        </w:rPr>
      </w:pPr>
    </w:p>
    <w:p>
      <w:pPr>
        <w:jc w:val="both"/>
        <w:ind w:left="1960" w:hanging="870"/>
        <w:spacing w:after="0" w:line="249" w:lineRule="auto"/>
        <w:tabs>
          <w:tab w:leader="none" w:pos="2010" w:val="left"/>
        </w:tabs>
        <w:numPr>
          <w:ilvl w:val="0"/>
          <w:numId w:val="1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consummation of a merger, consolidation, reorganization, recapitalization or statutory share exchange involving the Company or a sale or other disposition of all or substantially all of the assets of the Company in one or a series of transactions (a “</w:t>
      </w:r>
      <w:r>
        <w:rPr>
          <w:rFonts w:ascii="Times New Roman" w:cs="Times New Roman" w:eastAsia="Times New Roman" w:hAnsi="Times New Roman"/>
          <w:sz w:val="20"/>
          <w:szCs w:val="20"/>
          <w:b w:val="1"/>
          <w:bCs w:val="1"/>
          <w:i w:val="1"/>
          <w:iCs w:val="1"/>
          <w:color w:val="auto"/>
        </w:rPr>
        <w:t>Business Combination</w:t>
      </w:r>
      <w:r>
        <w:rPr>
          <w:rFonts w:ascii="Times New Roman" w:cs="Times New Roman" w:eastAsia="Times New Roman" w:hAnsi="Times New Roman"/>
          <w:sz w:val="20"/>
          <w:szCs w:val="20"/>
          <w:color w:val="auto"/>
        </w:rPr>
        <w:t>”), unless, immediately following such Business Combination, each of the following two conditions is satisfied: (A)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that as a result of such transaction owns the Company or substantially all of the Company’s assets either directly or through one or more subsidiaries) (such resulting or acquiring corporation is referred to herein as the “</w:t>
      </w:r>
      <w:r>
        <w:rPr>
          <w:rFonts w:ascii="Times New Roman" w:cs="Times New Roman" w:eastAsia="Times New Roman" w:hAnsi="Times New Roman"/>
          <w:sz w:val="20"/>
          <w:szCs w:val="20"/>
          <w:b w:val="1"/>
          <w:bCs w:val="1"/>
          <w:i w:val="1"/>
          <w:iCs w:val="1"/>
          <w:color w:val="auto"/>
        </w:rPr>
        <w:t>Acquiring Corporation</w:t>
      </w:r>
      <w:r>
        <w:rPr>
          <w:rFonts w:ascii="Times New Roman" w:cs="Times New Roman" w:eastAsia="Times New Roman" w:hAnsi="Times New Roman"/>
          <w:sz w:val="20"/>
          <w:szCs w:val="20"/>
          <w:color w:val="auto"/>
        </w:rPr>
        <w:t>”) in substantially the same proportions as their ownership, immediately prior to such Business Combination, of the Outstanding Company Common Stock and Outstanding Company Voting Securities, respectively; and (B) no Person (excluding any employee benefit plan (or related trust) maintained or sponsored by the Company or by the Acquiring Corporation) beneficially owns, directly or indirectly, 40%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187" w:lineRule="exact"/>
        <w:rPr>
          <w:sz w:val="20"/>
          <w:szCs w:val="20"/>
          <w:color w:val="auto"/>
        </w:rPr>
      </w:pPr>
    </w:p>
    <w:p>
      <w:pPr>
        <w:ind w:left="1980" w:hanging="868"/>
        <w:spacing w:after="0"/>
        <w:tabs>
          <w:tab w:leader="none" w:pos="1980" w:val="left"/>
        </w:tabs>
        <w:numPr>
          <w:ilvl w:val="0"/>
          <w:numId w:val="1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approval by the stockholders of the Company of a complete liquidation or dissolution of 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the avoidance of doubt, all references to the “Company” in this Section 2(g) shall mean Skyworks Solutions, Inc. Notwithstanding anything herein to the contrary, to the extent that any payment or benefit under the Plan constitutes nonqualified deferred compensation within the meaning of Section 409A, then, with respect to such payment or benefit, any event constituting a Change in Control above must also constitute a “change in control event” within the meaning of Treasury Regulation Section 1.409A-3(i)(5)(i).</w:t>
      </w:r>
    </w:p>
    <w:p>
      <w:pPr>
        <w:spacing w:after="0" w:line="168" w:lineRule="exact"/>
        <w:rPr>
          <w:sz w:val="20"/>
          <w:szCs w:val="20"/>
          <w:color w:val="auto"/>
        </w:rPr>
      </w:pPr>
    </w:p>
    <w:p>
      <w:pPr>
        <w:ind w:left="1360" w:hanging="704"/>
        <w:spacing w:after="0"/>
        <w:tabs>
          <w:tab w:leader="none" w:pos="1360" w:val="left"/>
        </w:tabs>
        <w:numPr>
          <w:ilvl w:val="0"/>
          <w:numId w:val="1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shall mean the Internal Revenue Code of 1986, as amended from time to time.</w:t>
      </w:r>
    </w:p>
    <w:p>
      <w:pPr>
        <w:spacing w:after="0" w:line="229" w:lineRule="exact"/>
        <w:rPr>
          <w:rFonts w:ascii="Times New Roman" w:cs="Times New Roman" w:eastAsia="Times New Roman" w:hAnsi="Times New Roman"/>
          <w:sz w:val="20"/>
          <w:szCs w:val="20"/>
          <w:i w:val="1"/>
          <w:iCs w:val="1"/>
          <w:color w:val="auto"/>
        </w:rPr>
      </w:pPr>
    </w:p>
    <w:p>
      <w:pPr>
        <w:ind w:left="1300" w:hanging="644"/>
        <w:spacing w:after="0" w:line="287" w:lineRule="auto"/>
        <w:tabs>
          <w:tab w:leader="none" w:pos="1359" w:val="left"/>
        </w:tabs>
        <w:numPr>
          <w:ilvl w:val="0"/>
          <w:numId w:val="1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shall mean the Compensation Committee of the Board, or another committee or subcommittee of the Board, appointed as provided in Section 3(a).</w:t>
      </w:r>
    </w:p>
    <w:p>
      <w:pPr>
        <w:spacing w:after="0" w:line="138" w:lineRule="exact"/>
        <w:rPr>
          <w:rFonts w:ascii="Times New Roman" w:cs="Times New Roman" w:eastAsia="Times New Roman" w:hAnsi="Times New Roman"/>
          <w:sz w:val="20"/>
          <w:szCs w:val="20"/>
          <w:i w:val="1"/>
          <w:iCs w:val="1"/>
          <w:color w:val="auto"/>
        </w:rPr>
      </w:pPr>
    </w:p>
    <w:p>
      <w:pPr>
        <w:ind w:left="1340" w:hanging="684"/>
        <w:spacing w:after="0"/>
        <w:tabs>
          <w:tab w:leader="none" w:pos="1340" w:val="left"/>
        </w:tabs>
        <w:numPr>
          <w:ilvl w:val="0"/>
          <w:numId w:val="1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shall mean the common stock of Skyworks Solutions, Inc., par value $0.25 per share.</w:t>
      </w:r>
    </w:p>
    <w:p>
      <w:pPr>
        <w:spacing w:after="0" w:line="229" w:lineRule="exact"/>
        <w:rPr>
          <w:rFonts w:ascii="Times New Roman" w:cs="Times New Roman" w:eastAsia="Times New Roman" w:hAnsi="Times New Roman"/>
          <w:sz w:val="20"/>
          <w:szCs w:val="20"/>
          <w:i w:val="1"/>
          <w:iCs w:val="1"/>
          <w:color w:val="auto"/>
        </w:rPr>
      </w:pPr>
    </w:p>
    <w:p>
      <w:pPr>
        <w:jc w:val="both"/>
        <w:ind w:left="1300" w:hanging="644"/>
        <w:spacing w:after="0" w:line="254" w:lineRule="auto"/>
        <w:tabs>
          <w:tab w:leader="none" w:pos="1338" w:val="left"/>
        </w:tabs>
        <w:numPr>
          <w:ilvl w:val="0"/>
          <w:numId w:val="1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Skyworks Solutions, Inc., a Delaware corporation. Except where the context otherwise requires, the term “Company” shall include any present or future Subsidiary or parent corporation (as “parent corporation” is defined in Section 424(e) of the Code and any regulations promulgated thereunder) of the Company and any other business venture (including, without limitation, joint venture or limited liability company) in which the Company has a controlling interest,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29" w:name="page30"/>
    <w:bookmarkEnd w:id="29"/>
    <w:p>
      <w:pPr>
        <w:spacing w:after="0" w:line="185" w:lineRule="exact"/>
        <w:rPr>
          <w:sz w:val="20"/>
          <w:szCs w:val="20"/>
          <w:color w:val="auto"/>
        </w:rPr>
      </w:pPr>
    </w:p>
    <w:p>
      <w:pPr>
        <w:ind w:left="644" w:hanging="644"/>
        <w:spacing w:after="0" w:line="287" w:lineRule="auto"/>
        <w:tabs>
          <w:tab w:leader="none" w:pos="690"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shall mean any consultant or adviser that qualifies as a consultant under the applicable rules of the Securities and Exchange Commission for registration of shares on a Form S-8 Registration Statement.</w:t>
      </w:r>
    </w:p>
    <w:p>
      <w:pPr>
        <w:spacing w:after="0" w:line="138" w:lineRule="exact"/>
        <w:rPr>
          <w:rFonts w:ascii="Times New Roman" w:cs="Times New Roman" w:eastAsia="Times New Roman" w:hAnsi="Times New Roman"/>
          <w:sz w:val="20"/>
          <w:szCs w:val="20"/>
          <w:i w:val="1"/>
          <w:iCs w:val="1"/>
          <w:color w:val="auto"/>
        </w:rPr>
      </w:pPr>
    </w:p>
    <w:p>
      <w:pPr>
        <w:jc w:val="both"/>
        <w:ind w:left="644" w:hanging="644"/>
        <w:spacing w:after="0" w:line="263" w:lineRule="auto"/>
        <w:tabs>
          <w:tab w:leader="none" w:pos="683"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shall mean the beneficiary designated, in a manner determined by the Company, by a Participant to receive amounts due or exercise rights of the Participant in the event of the Participant’s death. In the absence of an effective designation by a Participant, “Designated Beneficiary” shall mean the Participant’s estate.</w:t>
      </w:r>
    </w:p>
    <w:p>
      <w:pPr>
        <w:spacing w:after="0" w:line="175" w:lineRule="exact"/>
        <w:rPr>
          <w:rFonts w:ascii="Times New Roman" w:cs="Times New Roman" w:eastAsia="Times New Roman" w:hAnsi="Times New Roman"/>
          <w:sz w:val="20"/>
          <w:szCs w:val="20"/>
          <w:i w:val="1"/>
          <w:iCs w:val="1"/>
          <w:color w:val="auto"/>
        </w:rPr>
      </w:pPr>
    </w:p>
    <w:p>
      <w:pPr>
        <w:jc w:val="both"/>
        <w:ind w:left="644" w:hanging="644"/>
        <w:spacing w:after="0" w:line="260" w:lineRule="auto"/>
        <w:tabs>
          <w:tab w:leader="none" w:pos="693"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shall mean that the Participant is “permanently and totally disabled” within the meaning of Section 22(e)(3) of the Code. Notwithstanding anything herein to the contrary, to the extent that a payment or benefit under the Plan constitutes nonqualified deferred compensation within the meaning of Section 409A, then, with respect to such payment or benefit, the Participant must also be “disabled” within the meaning of Section 409A(a)(2)(C) of the Code.</w:t>
      </w:r>
    </w:p>
    <w:p>
      <w:pPr>
        <w:spacing w:after="0" w:line="164" w:lineRule="exact"/>
        <w:rPr>
          <w:rFonts w:ascii="Times New Roman" w:cs="Times New Roman" w:eastAsia="Times New Roman" w:hAnsi="Times New Roman"/>
          <w:sz w:val="20"/>
          <w:szCs w:val="20"/>
          <w:i w:val="1"/>
          <w:iCs w:val="1"/>
          <w:color w:val="auto"/>
        </w:rPr>
      </w:pPr>
    </w:p>
    <w:p>
      <w:pPr>
        <w:ind w:left="644" w:right="20" w:hanging="644"/>
        <w:spacing w:after="0" w:line="287" w:lineRule="auto"/>
        <w:tabs>
          <w:tab w:leader="none" w:pos="693"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Dividend Equivalent</w:t>
      </w:r>
      <w:r>
        <w:rPr>
          <w:rFonts w:ascii="Times New Roman" w:cs="Times New Roman" w:eastAsia="Times New Roman" w:hAnsi="Times New Roman"/>
          <w:sz w:val="20"/>
          <w:szCs w:val="20"/>
          <w:color w:val="auto"/>
        </w:rPr>
        <w:t>” shall mean a right to receive the equivalent value (in cash or Common Stock) of dividends paid on Common Stock, granted under Section 8(b).</w:t>
      </w:r>
    </w:p>
    <w:p>
      <w:pPr>
        <w:spacing w:after="0" w:line="151" w:lineRule="exact"/>
        <w:rPr>
          <w:rFonts w:ascii="Times New Roman" w:cs="Times New Roman" w:eastAsia="Times New Roman" w:hAnsi="Times New Roman"/>
          <w:sz w:val="20"/>
          <w:szCs w:val="20"/>
          <w:i w:val="1"/>
          <w:iCs w:val="1"/>
          <w:color w:val="auto"/>
        </w:rPr>
      </w:pPr>
    </w:p>
    <w:p>
      <w:pPr>
        <w:ind w:left="704" w:hanging="704"/>
        <w:spacing w:after="0"/>
        <w:tabs>
          <w:tab w:leader="none" w:pos="704"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shall mean May 19, 2015.</w:t>
      </w:r>
    </w:p>
    <w:p>
      <w:pPr>
        <w:spacing w:after="0" w:line="215" w:lineRule="exact"/>
        <w:rPr>
          <w:rFonts w:ascii="Times New Roman" w:cs="Times New Roman" w:eastAsia="Times New Roman" w:hAnsi="Times New Roman"/>
          <w:sz w:val="20"/>
          <w:szCs w:val="20"/>
          <w:i w:val="1"/>
          <w:iCs w:val="1"/>
          <w:color w:val="auto"/>
        </w:rPr>
      </w:pPr>
    </w:p>
    <w:p>
      <w:pPr>
        <w:ind w:left="704" w:hanging="704"/>
        <w:spacing w:after="0"/>
        <w:tabs>
          <w:tab w:leader="none" w:pos="704"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Individual</w:t>
      </w:r>
      <w:r>
        <w:rPr>
          <w:rFonts w:ascii="Times New Roman" w:cs="Times New Roman" w:eastAsia="Times New Roman" w:hAnsi="Times New Roman"/>
          <w:sz w:val="20"/>
          <w:szCs w:val="20"/>
          <w:color w:val="auto"/>
        </w:rPr>
        <w:t>” shall mean any person who is an Employee or a Consultant, as determined by the Administrator.</w:t>
      </w:r>
    </w:p>
    <w:p>
      <w:pPr>
        <w:spacing w:after="0" w:line="229" w:lineRule="exact"/>
        <w:rPr>
          <w:rFonts w:ascii="Times New Roman" w:cs="Times New Roman" w:eastAsia="Times New Roman" w:hAnsi="Times New Roman"/>
          <w:sz w:val="20"/>
          <w:szCs w:val="20"/>
          <w:i w:val="1"/>
          <w:iCs w:val="1"/>
          <w:color w:val="auto"/>
        </w:rPr>
      </w:pPr>
    </w:p>
    <w:p>
      <w:pPr>
        <w:ind w:left="644" w:right="20" w:hanging="644"/>
        <w:spacing w:after="0" w:line="273" w:lineRule="auto"/>
        <w:tabs>
          <w:tab w:leader="none" w:pos="676"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shall mean any officer or other employee (as defined in accordance with Section 3401(c) of the Code) of the Company.</w:t>
      </w:r>
    </w:p>
    <w:p>
      <w:pPr>
        <w:spacing w:after="0" w:line="165" w:lineRule="exact"/>
        <w:rPr>
          <w:rFonts w:ascii="Times New Roman" w:cs="Times New Roman" w:eastAsia="Times New Roman" w:hAnsi="Times New Roman"/>
          <w:sz w:val="20"/>
          <w:szCs w:val="20"/>
          <w:i w:val="1"/>
          <w:iCs w:val="1"/>
          <w:color w:val="auto"/>
        </w:rPr>
      </w:pPr>
    </w:p>
    <w:p>
      <w:pPr>
        <w:ind w:left="684" w:hanging="684"/>
        <w:spacing w:after="0"/>
        <w:tabs>
          <w:tab w:leader="none" w:pos="684"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Equity Acceleration Date</w:t>
      </w:r>
      <w:r>
        <w:rPr>
          <w:rFonts w:ascii="Times New Roman" w:cs="Times New Roman" w:eastAsia="Times New Roman" w:hAnsi="Times New Roman"/>
          <w:sz w:val="20"/>
          <w:szCs w:val="20"/>
          <w:color w:val="auto"/>
        </w:rPr>
        <w:t>” shall mean, with respect to an Award held by a Participant:</w:t>
      </w:r>
    </w:p>
    <w:p>
      <w:pPr>
        <w:spacing w:after="0" w:line="233" w:lineRule="exact"/>
        <w:rPr>
          <w:rFonts w:ascii="Times New Roman" w:cs="Times New Roman" w:eastAsia="Times New Roman" w:hAnsi="Times New Roman"/>
          <w:sz w:val="20"/>
          <w:szCs w:val="20"/>
          <w:i w:val="1"/>
          <w:iCs w:val="1"/>
          <w:color w:val="auto"/>
        </w:rPr>
      </w:pPr>
    </w:p>
    <w:p>
      <w:pPr>
        <w:jc w:val="both"/>
        <w:ind w:left="1304" w:hanging="760"/>
        <w:spacing w:after="0" w:line="261" w:lineRule="auto"/>
        <w:tabs>
          <w:tab w:leader="none" w:pos="1354" w:val="left"/>
        </w:tabs>
        <w:numPr>
          <w:ilvl w:val="1"/>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effective date of a Change in Control, in the event that the Participant experiences a Qualifying Termination that is within the period of time commencing three (3) months prior to the Change in Control and ending on the effective date of the Change in Control; or</w:t>
      </w:r>
    </w:p>
    <w:p>
      <w:pPr>
        <w:spacing w:after="0" w:line="167" w:lineRule="exact"/>
        <w:rPr>
          <w:rFonts w:ascii="Times New Roman" w:cs="Times New Roman" w:eastAsia="Times New Roman" w:hAnsi="Times New Roman"/>
          <w:sz w:val="20"/>
          <w:szCs w:val="20"/>
          <w:i w:val="1"/>
          <w:iCs w:val="1"/>
          <w:color w:val="auto"/>
        </w:rPr>
      </w:pPr>
    </w:p>
    <w:p>
      <w:pPr>
        <w:jc w:val="both"/>
        <w:ind w:left="1304" w:hanging="815"/>
        <w:spacing w:after="0" w:line="261" w:lineRule="auto"/>
        <w:tabs>
          <w:tab w:leader="none" w:pos="1394" w:val="left"/>
        </w:tabs>
        <w:numPr>
          <w:ilvl w:val="1"/>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effective date of the Participant’s Termination of Service, in the event that the Participant experiences a Qualifying Termination that is within the period of time commencing on the effective date of a Change in Control and ending twelve (12) months following the Change in Control.</w:t>
      </w:r>
    </w:p>
    <w:p>
      <w:pPr>
        <w:spacing w:after="0" w:line="177" w:lineRule="exact"/>
        <w:rPr>
          <w:rFonts w:ascii="Times New Roman" w:cs="Times New Roman" w:eastAsia="Times New Roman" w:hAnsi="Times New Roman"/>
          <w:sz w:val="20"/>
          <w:szCs w:val="20"/>
          <w:i w:val="1"/>
          <w:iCs w:val="1"/>
          <w:color w:val="auto"/>
        </w:rPr>
      </w:pPr>
    </w:p>
    <w:p>
      <w:pPr>
        <w:ind w:left="684" w:hanging="684"/>
        <w:spacing w:after="0"/>
        <w:tabs>
          <w:tab w:leader="none" w:pos="684"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Expiration Date</w:t>
      </w:r>
      <w:r>
        <w:rPr>
          <w:rFonts w:ascii="Times New Roman" w:cs="Times New Roman" w:eastAsia="Times New Roman" w:hAnsi="Times New Roman"/>
          <w:sz w:val="20"/>
          <w:szCs w:val="20"/>
          <w:color w:val="auto"/>
        </w:rPr>
        <w:t>” shall mean November 10, 2030.</w:t>
      </w:r>
    </w:p>
    <w:p>
      <w:pPr>
        <w:spacing w:after="0" w:line="229" w:lineRule="exact"/>
        <w:rPr>
          <w:rFonts w:ascii="Times New Roman" w:cs="Times New Roman" w:eastAsia="Times New Roman" w:hAnsi="Times New Roman"/>
          <w:sz w:val="20"/>
          <w:szCs w:val="20"/>
          <w:i w:val="1"/>
          <w:iCs w:val="1"/>
          <w:color w:val="auto"/>
        </w:rPr>
      </w:pPr>
    </w:p>
    <w:p>
      <w:pPr>
        <w:ind w:left="704" w:hanging="704"/>
        <w:spacing w:after="0"/>
        <w:tabs>
          <w:tab w:leader="none" w:pos="704"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shall mean the Securities Exchange Act of 1934, as amended from time to time.</w:t>
      </w:r>
    </w:p>
    <w:p>
      <w:pPr>
        <w:spacing w:after="0" w:line="215" w:lineRule="exact"/>
        <w:rPr>
          <w:rFonts w:ascii="Times New Roman" w:cs="Times New Roman" w:eastAsia="Times New Roman" w:hAnsi="Times New Roman"/>
          <w:sz w:val="20"/>
          <w:szCs w:val="20"/>
          <w:i w:val="1"/>
          <w:iCs w:val="1"/>
          <w:color w:val="auto"/>
        </w:rPr>
      </w:pPr>
    </w:p>
    <w:p>
      <w:pPr>
        <w:ind w:left="664" w:hanging="664"/>
        <w:spacing w:after="0"/>
        <w:tabs>
          <w:tab w:leader="none" w:pos="664" w:val="left"/>
        </w:tabs>
        <w:numPr>
          <w:ilvl w:val="0"/>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shall mean, as of any given date, the value of a share of Common Stock determined as follows:</w:t>
      </w:r>
    </w:p>
    <w:p>
      <w:pPr>
        <w:spacing w:after="0" w:line="233" w:lineRule="exact"/>
        <w:rPr>
          <w:rFonts w:ascii="Times New Roman" w:cs="Times New Roman" w:eastAsia="Times New Roman" w:hAnsi="Times New Roman"/>
          <w:sz w:val="20"/>
          <w:szCs w:val="20"/>
          <w:i w:val="1"/>
          <w:iCs w:val="1"/>
          <w:color w:val="auto"/>
        </w:rPr>
      </w:pPr>
    </w:p>
    <w:p>
      <w:pPr>
        <w:jc w:val="both"/>
        <w:ind w:left="1304" w:hanging="760"/>
        <w:spacing w:after="0" w:line="253" w:lineRule="auto"/>
        <w:tabs>
          <w:tab w:leader="none" w:pos="1367" w:val="left"/>
        </w:tabs>
        <w:numPr>
          <w:ilvl w:val="1"/>
          <w:numId w:val="1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If the Common Stock is listed on any established stock exchange, national market system or automated quotation system (such as Nasdaq),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84"/>
          </w:cols>
          <w:pgMar w:left="976" w:top="1440" w:right="339" w:bottom="1440" w:gutter="0" w:footer="0" w:header="0"/>
        </w:sectPr>
      </w:pPr>
    </w:p>
    <w:bookmarkStart w:id="30" w:name="page31"/>
    <w:bookmarkEnd w:id="30"/>
    <w:p>
      <w:pPr>
        <w:ind w:left="1960"/>
        <w:spacing w:after="0" w:line="287" w:lineRule="auto"/>
        <w:rPr>
          <w:sz w:val="20"/>
          <w:szCs w:val="20"/>
          <w:color w:val="auto"/>
        </w:rPr>
      </w:pPr>
      <w:r>
        <w:rPr>
          <w:rFonts w:ascii="Times New Roman" w:cs="Times New Roman" w:eastAsia="Times New Roman" w:hAnsi="Times New Roman"/>
          <w:sz w:val="20"/>
          <w:szCs w:val="20"/>
          <w:color w:val="auto"/>
        </w:rPr>
        <w:t xml:space="preserve">exists, as reported by Nasdaq or such other source as the Administrator deems reliable, such as </w:t>
      </w:r>
      <w:r>
        <w:rPr>
          <w:rFonts w:ascii="Times New Roman" w:cs="Times New Roman" w:eastAsia="Times New Roman" w:hAnsi="Times New Roman"/>
          <w:sz w:val="20"/>
          <w:szCs w:val="20"/>
          <w:i w:val="1"/>
          <w:iCs w:val="1"/>
          <w:color w:val="auto"/>
        </w:rPr>
        <w:t>The Wall Street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Journal</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left="1960" w:hanging="815"/>
        <w:spacing w:after="0" w:line="257" w:lineRule="auto"/>
        <w:tabs>
          <w:tab w:leader="none" w:pos="2009" w:val="left"/>
        </w:tabs>
        <w:numPr>
          <w:ilvl w:val="1"/>
          <w:numId w:val="2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 xml:space="preserve">If the Common Stock is regularly quoted by a recognized securities dealer but closing sales prices are not reported,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 or</w:t>
      </w:r>
    </w:p>
    <w:p>
      <w:pPr>
        <w:spacing w:after="0" w:line="172" w:lineRule="exact"/>
        <w:rPr>
          <w:rFonts w:ascii="Times New Roman" w:cs="Times New Roman" w:eastAsia="Times New Roman" w:hAnsi="Times New Roman"/>
          <w:sz w:val="20"/>
          <w:szCs w:val="20"/>
          <w:i w:val="1"/>
          <w:iCs w:val="1"/>
          <w:color w:val="auto"/>
        </w:rPr>
      </w:pPr>
    </w:p>
    <w:p>
      <w:pPr>
        <w:jc w:val="both"/>
        <w:ind w:left="1960" w:right="20" w:hanging="870"/>
        <w:spacing w:after="0" w:line="261" w:lineRule="auto"/>
        <w:tabs>
          <w:tab w:leader="none" w:pos="2023" w:val="left"/>
        </w:tabs>
        <w:numPr>
          <w:ilvl w:val="1"/>
          <w:numId w:val="2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If the Common Stock is neither listed on an established stock exchange or a national market system nor regularly quoted by a recognized securities dealer, its Fair Market Value shall be established by the Administrator in good faith.</w:t>
      </w:r>
    </w:p>
    <w:p>
      <w:pPr>
        <w:spacing w:after="0" w:line="177" w:lineRule="exact"/>
        <w:rPr>
          <w:rFonts w:ascii="Times New Roman" w:cs="Times New Roman" w:eastAsia="Times New Roman" w:hAnsi="Times New Roman"/>
          <w:sz w:val="20"/>
          <w:szCs w:val="20"/>
          <w:i w:val="1"/>
          <w:iCs w:val="1"/>
          <w:color w:val="auto"/>
        </w:rPr>
      </w:pPr>
    </w:p>
    <w:p>
      <w:pPr>
        <w:jc w:val="both"/>
        <w:ind w:left="1300" w:hanging="644"/>
        <w:spacing w:after="0" w:line="263" w:lineRule="auto"/>
        <w:tabs>
          <w:tab w:leader="none" w:pos="1340" w:val="left"/>
        </w:tabs>
        <w:numPr>
          <w:ilvl w:val="0"/>
          <w:numId w:val="2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Full Value Award</w:t>
      </w:r>
      <w:r>
        <w:rPr>
          <w:rFonts w:ascii="Times New Roman" w:cs="Times New Roman" w:eastAsia="Times New Roman" w:hAnsi="Times New Roman"/>
          <w:sz w:val="20"/>
          <w:szCs w:val="20"/>
          <w:color w:val="auto"/>
        </w:rPr>
        <w:t>” shall mean any Award other than an Option, Stock Appreciation Right or other Award for which the Participant pays the Fair Market Value of the Common Stock as of the date of grant (whether directly or by forgoing a right to receive a payment from the Company or any Subsidiary).</w:t>
      </w:r>
    </w:p>
    <w:p>
      <w:pPr>
        <w:spacing w:after="0" w:line="175" w:lineRule="exact"/>
        <w:rPr>
          <w:rFonts w:ascii="Times New Roman" w:cs="Times New Roman" w:eastAsia="Times New Roman" w:hAnsi="Times New Roman"/>
          <w:sz w:val="20"/>
          <w:szCs w:val="20"/>
          <w:i w:val="1"/>
          <w:iCs w:val="1"/>
          <w:color w:val="auto"/>
        </w:rPr>
      </w:pPr>
    </w:p>
    <w:p>
      <w:pPr>
        <w:jc w:val="both"/>
        <w:ind w:left="1300" w:hanging="644"/>
        <w:spacing w:after="0" w:line="254" w:lineRule="auto"/>
        <w:tabs>
          <w:tab w:leader="none" w:pos="1378" w:val="left"/>
        </w:tabs>
        <w:numPr>
          <w:ilvl w:val="0"/>
          <w:numId w:val="2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have the meaning given in an employment agreement, severance agreement, change in control agreement or other similar agreement, if any, between the Company and the Participant, or if there is no such agreement (or if such agreement does not define “Good Reason”), then except as otherwise provided by the Administrator in an Award Agreement with respect to an Award, “Good Reason” shall mean either of the following actions, if taken without the express written consent of the Participant:</w:t>
      </w:r>
    </w:p>
    <w:p>
      <w:pPr>
        <w:spacing w:after="0" w:line="191" w:lineRule="exact"/>
        <w:rPr>
          <w:rFonts w:ascii="Times New Roman" w:cs="Times New Roman" w:eastAsia="Times New Roman" w:hAnsi="Times New Roman"/>
          <w:sz w:val="20"/>
          <w:szCs w:val="20"/>
          <w:i w:val="1"/>
          <w:iCs w:val="1"/>
          <w:color w:val="auto"/>
        </w:rPr>
      </w:pPr>
    </w:p>
    <w:p>
      <w:pPr>
        <w:ind w:left="2000" w:hanging="800"/>
        <w:spacing w:after="0"/>
        <w:tabs>
          <w:tab w:leader="none" w:pos="2000" w:val="left"/>
        </w:tabs>
        <w:numPr>
          <w:ilvl w:val="1"/>
          <w:numId w:val="2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 reduction of 5% or more in the Participant’s base salary in effect immediately prior to the Change in Control; or</w:t>
      </w:r>
    </w:p>
    <w:p>
      <w:pPr>
        <w:spacing w:after="0" w:line="215" w:lineRule="exact"/>
        <w:rPr>
          <w:rFonts w:ascii="Times New Roman" w:cs="Times New Roman" w:eastAsia="Times New Roman" w:hAnsi="Times New Roman"/>
          <w:sz w:val="20"/>
          <w:szCs w:val="20"/>
          <w:i w:val="1"/>
          <w:iCs w:val="1"/>
          <w:color w:val="auto"/>
        </w:rPr>
      </w:pPr>
    </w:p>
    <w:p>
      <w:pPr>
        <w:ind w:left="1960" w:hanging="815"/>
        <w:spacing w:after="0" w:line="283" w:lineRule="auto"/>
        <w:tabs>
          <w:tab w:leader="none" w:pos="2009" w:val="left"/>
        </w:tabs>
        <w:numPr>
          <w:ilvl w:val="1"/>
          <w:numId w:val="2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 change in the Participant’s principal place of employment in effect immediately prior to the Change in Control to a location that is more than fifty (50) miles from such principal place of employment.</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 Participant’s Termination of Service shall not be deemed to be for Good Reason unless, within sixty (60) days of the occurrence of the event constituting Good Reason, the Participant has provided the Company (or the acquiring entity) with (A) at least thirty (30) days’ advance written notice of the Participant’s decision to terminate his or her employment for Good Reason, and (B) a period of not less than thirty (30) days to cure the event or condition described in subsection (i) or (ii), and the Company (or the acquiring entity) has failed to so cure the event or has waived its right to cure the event, to the extent it is then subject to cure.</w:t>
      </w:r>
    </w:p>
    <w:p>
      <w:pPr>
        <w:spacing w:after="0" w:line="169" w:lineRule="exact"/>
        <w:rPr>
          <w:sz w:val="20"/>
          <w:szCs w:val="20"/>
          <w:color w:val="auto"/>
        </w:rPr>
      </w:pPr>
    </w:p>
    <w:p>
      <w:pPr>
        <w:ind w:left="1300" w:hanging="644"/>
        <w:spacing w:after="0" w:line="287" w:lineRule="auto"/>
        <w:tabs>
          <w:tab w:leader="none" w:pos="1341" w:val="left"/>
        </w:tabs>
        <w:numPr>
          <w:ilvl w:val="0"/>
          <w:numId w:val="2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Measurement Date</w:t>
      </w:r>
      <w:r>
        <w:rPr>
          <w:rFonts w:ascii="Times New Roman" w:cs="Times New Roman" w:eastAsia="Times New Roman" w:hAnsi="Times New Roman"/>
          <w:sz w:val="20"/>
          <w:szCs w:val="20"/>
          <w:color w:val="auto"/>
        </w:rPr>
        <w:t>” shall mean, with respect to a Performance Award, the last day of the applicable Performance Period over which Performance Goals are measured pursuant to the terms of the Performance Award.</w:t>
      </w:r>
    </w:p>
    <w:p>
      <w:pPr>
        <w:spacing w:after="0" w:line="151" w:lineRule="exact"/>
        <w:rPr>
          <w:rFonts w:ascii="Times New Roman" w:cs="Times New Roman" w:eastAsia="Times New Roman" w:hAnsi="Times New Roman"/>
          <w:sz w:val="20"/>
          <w:szCs w:val="20"/>
          <w:i w:val="1"/>
          <w:iCs w:val="1"/>
          <w:color w:val="auto"/>
        </w:rPr>
      </w:pPr>
    </w:p>
    <w:p>
      <w:pPr>
        <w:ind w:left="1340" w:hanging="684"/>
        <w:spacing w:after="0"/>
        <w:tabs>
          <w:tab w:leader="none" w:pos="1340" w:val="left"/>
        </w:tabs>
        <w:numPr>
          <w:ilvl w:val="0"/>
          <w:numId w:val="2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shall mean the Nasdaq Global Select Market.</w:t>
      </w:r>
    </w:p>
    <w:p>
      <w:pPr>
        <w:spacing w:after="0" w:line="216" w:lineRule="exact"/>
        <w:rPr>
          <w:sz w:val="20"/>
          <w:szCs w:val="20"/>
          <w:color w:val="auto"/>
        </w:rPr>
      </w:pPr>
    </w:p>
    <w:p>
      <w:pPr>
        <w:jc w:val="both"/>
        <w:ind w:left="1300" w:hanging="644"/>
        <w:spacing w:after="0" w:line="263" w:lineRule="auto"/>
        <w:tabs>
          <w:tab w:leader="none" w:pos="1340" w:val="left"/>
        </w:tabs>
        <w:numPr>
          <w:ilvl w:val="0"/>
          <w:numId w:val="2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shall mean a right to purchase shares of Common Stock at a specified exercise price, granted under Section 5. Any Option granted pursuant to the Plan is intended not to be an incentive stock option as described in Section 422 of the Code and shall be designated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31" w:name="page32"/>
    <w:bookmarkEnd w:id="31"/>
    <w:p>
      <w:pPr>
        <w:spacing w:after="0" w:line="185"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ab.</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Stock Unit Award</w:t>
      </w:r>
      <w:r>
        <w:rPr>
          <w:rFonts w:ascii="Times New Roman" w:cs="Times New Roman" w:eastAsia="Times New Roman" w:hAnsi="Times New Roman"/>
          <w:sz w:val="20"/>
          <w:szCs w:val="20"/>
          <w:color w:val="auto"/>
        </w:rPr>
        <w:t>” shall mean an Award of shares of Common Stock, or other Award that is valued in whole or in part by reference to, or is otherwise based on, shares of Common Stock or other property, granted under Section 8.</w:t>
      </w:r>
    </w:p>
    <w:p>
      <w:pPr>
        <w:spacing w:after="0" w:line="13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i w:val="1"/>
          <w:iCs w:val="1"/>
          <w:color w:val="auto"/>
        </w:rPr>
        <w:t>ac.</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shall mean a person who has been granted an Award under the Plan.</w:t>
      </w:r>
    </w:p>
    <w:p>
      <w:pPr>
        <w:spacing w:after="0" w:line="229"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ad.</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Award</w:t>
      </w:r>
      <w:r>
        <w:rPr>
          <w:rFonts w:ascii="Times New Roman" w:cs="Times New Roman" w:eastAsia="Times New Roman" w:hAnsi="Times New Roman"/>
          <w:sz w:val="20"/>
          <w:szCs w:val="20"/>
          <w:color w:val="auto"/>
        </w:rPr>
        <w:t>” shall mean a Restricted Stock Award, an Other Stock Unit Award, a cash bonus award, a stock bonus award, or any other Award under the Plan that is made subject to the achievement of Performance Goals pursuant to Section 8 and is paid in cash, Common Stock or a combination of both.</w:t>
      </w:r>
    </w:p>
    <w:p>
      <w:pPr>
        <w:spacing w:after="0" w:line="175"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ae.</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shall mean the criteria (and adjustments) that the Administrator selects for an Award for purposes of establishing the Performance Goal or Performance Goals for a Performance Period, determined as follows:</w:t>
      </w:r>
    </w:p>
    <w:p>
      <w:pPr>
        <w:spacing w:after="0" w:line="169" w:lineRule="exact"/>
        <w:rPr>
          <w:sz w:val="20"/>
          <w:szCs w:val="20"/>
          <w:color w:val="auto"/>
        </w:rPr>
      </w:pPr>
    </w:p>
    <w:p>
      <w:pPr>
        <w:jc w:val="both"/>
        <w:ind w:left="1300" w:hanging="760"/>
        <w:spacing w:after="0" w:line="249" w:lineRule="auto"/>
        <w:tabs>
          <w:tab w:leader="none" w:pos="1377" w:val="left"/>
        </w:tabs>
        <w:numPr>
          <w:ilvl w:val="0"/>
          <w:numId w:val="2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Performance Criteria that shall be used to establish Performance Goals shall include one or more of the following: Revenues, net income (loss), operating income (loss), gross profit, earnings before or after discontinued operations, interest, taxes, depreciation and/or amortization, operating profit before or after discontinued operations and/or depreciation and/or amortization, earnings (loss) per 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 any of which may be measured with respect to an individual Participant, the Company, or any one or more of the Company’s Subsidiaries, divisions or business units, and in absolute or relative terms (including, but not limited to, (A) as compared to any incremental increase or decrease, (B) as compared to results of a peer group or other individuals or companies comparably, similarly or otherwise situated, or (C) as compared to a business plan, budget or forecast).</w:t>
      </w:r>
    </w:p>
    <w:p>
      <w:pPr>
        <w:spacing w:after="0" w:line="191" w:lineRule="exact"/>
        <w:rPr>
          <w:rFonts w:ascii="Times New Roman" w:cs="Times New Roman" w:eastAsia="Times New Roman" w:hAnsi="Times New Roman"/>
          <w:sz w:val="20"/>
          <w:szCs w:val="20"/>
          <w:i w:val="1"/>
          <w:iCs w:val="1"/>
          <w:color w:val="auto"/>
        </w:rPr>
      </w:pPr>
    </w:p>
    <w:p>
      <w:pPr>
        <w:jc w:val="both"/>
        <w:ind w:left="1300" w:hanging="815"/>
        <w:spacing w:after="0" w:line="251" w:lineRule="auto"/>
        <w:tabs>
          <w:tab w:leader="none" w:pos="1349" w:val="left"/>
        </w:tabs>
        <w:numPr>
          <w:ilvl w:val="0"/>
          <w:numId w:val="2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The Administrator may, in its sole discretion, provide that one or more adjustments be made to one or more of the Performance Goals, including the exclusion of one or more of the following: (A) extraordinary and/or nonrecurring items, (B) the cumulative effects of changes in accounting principles or applicable laws, (C) gains or losses on the dispositions of discontinued operations, (D) the write-down of any asset, (E) charges for restructuring and rationalization programs, (F) amortization of purchased intangibles associated with acquisitions, (G) compensation expenses related to acquisitions, (H) other acquisition-related charges (including, but not limited to, items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attributable to the business operations of any entity acquired by the Company during the Performance Period),</w:t>
      </w:r>
    </w:p>
    <w:p>
      <w:pPr>
        <w:spacing w:after="0" w:line="6" w:lineRule="exact"/>
        <w:rPr>
          <w:sz w:val="20"/>
          <w:szCs w:val="20"/>
          <w:color w:val="auto"/>
        </w:rPr>
      </w:pPr>
    </w:p>
    <w:p>
      <w:pPr>
        <w:ind w:left="1600" w:hanging="308"/>
        <w:spacing w:after="0"/>
        <w:tabs>
          <w:tab w:leader="none" w:pos="16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(J) gain or loss on minority equity investments, (K) noncash income tax expenses,</w:t>
      </w:r>
    </w:p>
    <w:p>
      <w:pPr>
        <w:spacing w:after="0" w:line="6" w:lineRule="exact"/>
        <w:rPr>
          <w:rFonts w:ascii="Times New Roman" w:cs="Times New Roman" w:eastAsia="Times New Roman" w:hAnsi="Times New Roman"/>
          <w:sz w:val="20"/>
          <w:szCs w:val="20"/>
          <w:color w:val="auto"/>
        </w:rPr>
      </w:pPr>
    </w:p>
    <w:p>
      <w:pPr>
        <w:ind w:left="1620" w:hanging="328"/>
        <w:spacing w:after="0"/>
        <w:tabs>
          <w:tab w:leader="none" w:pos="16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equity-based compensation expenses, (M) items relating to financing activities; (N) other nonoperating items;</w:t>
      </w:r>
    </w:p>
    <w:p>
      <w:pPr>
        <w:spacing w:after="0" w:line="13" w:lineRule="exact"/>
        <w:rPr>
          <w:rFonts w:ascii="Times New Roman" w:cs="Times New Roman" w:eastAsia="Times New Roman" w:hAnsi="Times New Roman"/>
          <w:sz w:val="20"/>
          <w:szCs w:val="20"/>
          <w:color w:val="auto"/>
        </w:rPr>
      </w:pPr>
    </w:p>
    <w:p>
      <w:pPr>
        <w:jc w:val="both"/>
        <w:ind w:left="1300" w:hanging="8"/>
        <w:spacing w:after="0" w:line="253" w:lineRule="auto"/>
        <w:tabs>
          <w:tab w:leader="none" w:pos="163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items related to the disposal of a business or segment of a business; (P) items attributable to any stock dividend, stock split, combination or exchange of shares occurring during the Performance Period; or (Q) any other adjustment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580"/>
          </w:cols>
          <w:pgMar w:left="980" w:top="1440" w:right="339" w:bottom="1440" w:gutter="0" w:footer="0" w:header="0"/>
        </w:sectPr>
      </w:pPr>
    </w:p>
    <w:bookmarkStart w:id="32" w:name="page33"/>
    <w:bookmarkEnd w:id="32"/>
    <w:p>
      <w:pPr>
        <w:spacing w:after="0" w:line="185"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af.</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Goals</w:t>
      </w:r>
      <w:r>
        <w:rPr>
          <w:rFonts w:ascii="Times New Roman" w:cs="Times New Roman" w:eastAsia="Times New Roman" w:hAnsi="Times New Roman"/>
          <w:sz w:val="20"/>
          <w:szCs w:val="20"/>
          <w:color w:val="auto"/>
        </w:rPr>
        <w:t>” shall mean, for a Performance Period, one or more goals established in writing by the Administrator for the Performance Period based upon one or more Performance Criteria or other measures.</w:t>
      </w:r>
    </w:p>
    <w:p>
      <w:pPr>
        <w:spacing w:after="0" w:line="138"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ag.</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shall mean one or more periods of time, which may be of varying and overlapping durations, as the Administrator may select, over which the attainment of one or more Performance Goals will be measured for the purpose of determining a Participant’s right to, and the payment of, a Performance Award.</w:t>
      </w:r>
    </w:p>
    <w:p>
      <w:pPr>
        <w:spacing w:after="0" w:line="175"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ah.</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shall mean this Skyworks Solutions, Inc. Second Amended and Restated 2015 Long-Term Incentive Plan, as it may be amended or restated from time to time.</w:t>
      </w:r>
    </w:p>
    <w:p>
      <w:pPr>
        <w:spacing w:after="0" w:line="13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i w:val="1"/>
          <w:iCs w:val="1"/>
          <w:color w:val="auto"/>
        </w:rPr>
        <w:t>ai.</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w:t>
      </w:r>
      <w:r>
        <w:rPr>
          <w:rFonts w:ascii="Times New Roman" w:cs="Times New Roman" w:eastAsia="Times New Roman" w:hAnsi="Times New Roman"/>
          <w:sz w:val="20"/>
          <w:szCs w:val="20"/>
          <w:color w:val="auto"/>
        </w:rPr>
        <w:t>” shall mean the Skyworks Solutions, Inc. Amended and Restated 2005 Long-Term Incentive Plan.</w:t>
      </w:r>
    </w:p>
    <w:p>
      <w:pPr>
        <w:spacing w:after="0" w:line="229"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aj.</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Qualifying Termination</w:t>
      </w:r>
      <w:r>
        <w:rPr>
          <w:rFonts w:ascii="Times New Roman" w:cs="Times New Roman" w:eastAsia="Times New Roman" w:hAnsi="Times New Roman"/>
          <w:sz w:val="20"/>
          <w:szCs w:val="20"/>
          <w:color w:val="auto"/>
        </w:rPr>
        <w:t>” shall mean a Participant’s Termination of Service by the Company without Cause or by the Participant for Good Reason, in either case within the period of time commencing three (3) months prior to and ending twelve (12) months following the Change in Control. For the avoidance of doubt, the term “Qualifying Termination” shall apply only to an Employee’s Termination of Service. In the case of a Consultant, no Termination of Service shall be a “Qualifying Termination” unless the Administrator, in its sole discretion, provides otherwise.</w:t>
      </w:r>
    </w:p>
    <w:p>
      <w:pPr>
        <w:spacing w:after="0" w:line="18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i w:val="1"/>
          <w:iCs w:val="1"/>
          <w:color w:val="auto"/>
        </w:rPr>
        <w:t>ak.</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Reorganization Event</w:t>
      </w:r>
      <w:r>
        <w:rPr>
          <w:rFonts w:ascii="Times New Roman" w:cs="Times New Roman" w:eastAsia="Times New Roman" w:hAnsi="Times New Roman"/>
          <w:sz w:val="20"/>
          <w:szCs w:val="20"/>
          <w:color w:val="auto"/>
        </w:rPr>
        <w:t>” shall mean:</w:t>
      </w:r>
    </w:p>
    <w:p>
      <w:pPr>
        <w:spacing w:after="0" w:line="220" w:lineRule="exact"/>
        <w:rPr>
          <w:sz w:val="20"/>
          <w:szCs w:val="20"/>
          <w:color w:val="auto"/>
        </w:rPr>
      </w:pPr>
    </w:p>
    <w:p>
      <w:pPr>
        <w:jc w:val="both"/>
        <w:ind w:left="1300" w:hanging="760"/>
        <w:spacing w:after="0" w:line="268" w:lineRule="auto"/>
        <w:tabs>
          <w:tab w:leader="none" w:pos="1363" w:val="left"/>
        </w:tabs>
        <w:numPr>
          <w:ilvl w:val="0"/>
          <w:numId w:val="2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161" w:lineRule="exact"/>
        <w:rPr>
          <w:rFonts w:ascii="Times New Roman" w:cs="Times New Roman" w:eastAsia="Times New Roman" w:hAnsi="Times New Roman"/>
          <w:sz w:val="20"/>
          <w:szCs w:val="20"/>
          <w:i w:val="1"/>
          <w:iCs w:val="1"/>
          <w:color w:val="auto"/>
        </w:rPr>
      </w:pPr>
    </w:p>
    <w:p>
      <w:pPr>
        <w:ind w:left="1300" w:hanging="815"/>
        <w:spacing w:after="0" w:line="283" w:lineRule="auto"/>
        <w:tabs>
          <w:tab w:leader="none" w:pos="1349" w:val="left"/>
        </w:tabs>
        <w:numPr>
          <w:ilvl w:val="0"/>
          <w:numId w:val="2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any exchange of all of the Common Stock of the Company for cash, securities or other property pursuant to a share exchange transaction; or</w:t>
      </w:r>
    </w:p>
    <w:p>
      <w:pPr>
        <w:spacing w:after="0" w:line="146" w:lineRule="exact"/>
        <w:rPr>
          <w:rFonts w:ascii="Times New Roman" w:cs="Times New Roman" w:eastAsia="Times New Roman" w:hAnsi="Times New Roman"/>
          <w:sz w:val="20"/>
          <w:szCs w:val="20"/>
          <w:i w:val="1"/>
          <w:iCs w:val="1"/>
          <w:color w:val="auto"/>
        </w:rPr>
      </w:pPr>
    </w:p>
    <w:p>
      <w:pPr>
        <w:ind w:left="1340" w:hanging="910"/>
        <w:spacing w:after="0"/>
        <w:tabs>
          <w:tab w:leader="none" w:pos="1340" w:val="left"/>
        </w:tabs>
        <w:numPr>
          <w:ilvl w:val="0"/>
          <w:numId w:val="2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any liquidation or dissolution of the Company.</w:t>
      </w:r>
    </w:p>
    <w:p>
      <w:pPr>
        <w:spacing w:after="0" w:line="225" w:lineRule="exact"/>
        <w:rPr>
          <w:sz w:val="20"/>
          <w:szCs w:val="20"/>
          <w:color w:val="auto"/>
        </w:rPr>
      </w:pPr>
    </w:p>
    <w:p>
      <w:pPr>
        <w:jc w:val="both"/>
        <w:ind w:left="640" w:right="20" w:hanging="647"/>
        <w:spacing w:after="0" w:line="273"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al.</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shall mean Common Stock granted under Section 7 that is subject to certain restrictions and may be subject to risk of forfeiture or repurchase.</w:t>
      </w:r>
    </w:p>
    <w:p>
      <w:pPr>
        <w:spacing w:after="0" w:line="16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i w:val="1"/>
          <w:iCs w:val="1"/>
          <w:color w:val="auto"/>
        </w:rPr>
        <w:t>am.</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Award</w:t>
      </w:r>
      <w:r>
        <w:rPr>
          <w:rFonts w:ascii="Times New Roman" w:cs="Times New Roman" w:eastAsia="Times New Roman" w:hAnsi="Times New Roman"/>
          <w:sz w:val="20"/>
          <w:szCs w:val="20"/>
          <w:color w:val="auto"/>
        </w:rPr>
        <w:t>” shall mean an Award for Restricted Stock or Restricted Stock Units.</w:t>
      </w:r>
    </w:p>
    <w:p>
      <w:pPr>
        <w:spacing w:after="0" w:line="2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i w:val="1"/>
          <w:iCs w:val="1"/>
          <w:color w:val="auto"/>
        </w:rPr>
        <w:t>an.</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Units</w:t>
      </w:r>
      <w:r>
        <w:rPr>
          <w:rFonts w:ascii="Times New Roman" w:cs="Times New Roman" w:eastAsia="Times New Roman" w:hAnsi="Times New Roman"/>
          <w:sz w:val="20"/>
          <w:szCs w:val="20"/>
          <w:color w:val="auto"/>
        </w:rPr>
        <w:t>” shall mean the right to receive Common Stock granted under Section 7.</w:t>
      </w:r>
    </w:p>
    <w:p>
      <w:pPr>
        <w:spacing w:after="0" w:line="216"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ao.</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shall mean Section 409A of the Code or any successor provision thereto, and the regulations and other interpretive guidance issued thereunder, including without limitation any such regulations or other guidance that may be issued after the Effective Date.</w:t>
      </w:r>
    </w:p>
    <w:p>
      <w:pPr>
        <w:spacing w:after="0" w:line="17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i w:val="1"/>
          <w:iCs w:val="1"/>
          <w:color w:val="auto"/>
        </w:rPr>
        <w:t>ap.</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SAR</w:t>
      </w:r>
      <w:r>
        <w:rPr>
          <w:rFonts w:ascii="Times New Roman" w:cs="Times New Roman" w:eastAsia="Times New Roman" w:hAnsi="Times New Roman"/>
          <w:sz w:val="20"/>
          <w:szCs w:val="20"/>
          <w:color w:val="auto"/>
        </w:rPr>
        <w:t>” shall mean a stock appreciation right granted under Section 6.</w:t>
      </w:r>
    </w:p>
    <w:p>
      <w:pPr>
        <w:spacing w:after="0" w:line="229"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i w:val="1"/>
          <w:iCs w:val="1"/>
          <w:color w:val="auto"/>
        </w:rPr>
        <w:t>aq.</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580"/>
          </w:cols>
          <w:pgMar w:left="980" w:top="1440" w:right="339" w:bottom="1440" w:gutter="0" w:footer="0" w:header="0"/>
        </w:sectPr>
      </w:pPr>
    </w:p>
    <w:bookmarkStart w:id="33" w:name="page34"/>
    <w:bookmarkEnd w:id="33"/>
    <w:p>
      <w:pPr>
        <w:spacing w:after="0" w:line="189" w:lineRule="exact"/>
        <w:rPr>
          <w:sz w:val="20"/>
          <w:szCs w:val="20"/>
          <w:color w:val="auto"/>
        </w:rPr>
      </w:pPr>
    </w:p>
    <w:p>
      <w:pPr>
        <w:ind w:left="1300"/>
        <w:spacing w:after="0" w:line="283" w:lineRule="auto"/>
        <w:rPr>
          <w:sz w:val="20"/>
          <w:szCs w:val="20"/>
          <w:color w:val="auto"/>
        </w:rPr>
      </w:pPr>
      <w:r>
        <w:rPr>
          <w:rFonts w:ascii="Times New Roman" w:cs="Times New Roman" w:eastAsia="Times New Roman" w:hAnsi="Times New Roman"/>
          <w:sz w:val="20"/>
          <w:szCs w:val="20"/>
          <w:color w:val="auto"/>
        </w:rPr>
        <w:t>more than fifty percent (50%) of the total combined voting power of all classes of securities or interests in one of the other entities in such chain.</w:t>
      </w:r>
    </w:p>
    <w:p>
      <w:pPr>
        <w:spacing w:after="0" w:line="14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i w:val="1"/>
          <w:iCs w:val="1"/>
          <w:color w:val="auto"/>
        </w:rPr>
        <w:t>ar.</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Substitute Award</w:t>
      </w:r>
      <w:r>
        <w:rPr>
          <w:rFonts w:ascii="Times New Roman" w:cs="Times New Roman" w:eastAsia="Times New Roman" w:hAnsi="Times New Roman"/>
          <w:sz w:val="20"/>
          <w:szCs w:val="20"/>
          <w:color w:val="auto"/>
        </w:rPr>
        <w:t>”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spacing w:after="0" w:line="16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i w:val="1"/>
          <w:iCs w:val="1"/>
          <w:color w:val="auto"/>
        </w:rPr>
        <w:t>as.</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shall mean,</w:t>
      </w:r>
    </w:p>
    <w:p>
      <w:pPr>
        <w:spacing w:after="0" w:line="233" w:lineRule="exact"/>
        <w:rPr>
          <w:sz w:val="20"/>
          <w:szCs w:val="20"/>
          <w:color w:val="auto"/>
        </w:rPr>
      </w:pPr>
    </w:p>
    <w:p>
      <w:pPr>
        <w:jc w:val="both"/>
        <w:ind w:left="1960" w:hanging="760"/>
        <w:spacing w:after="0" w:line="258" w:lineRule="auto"/>
        <w:tabs>
          <w:tab w:leader="none" w:pos="2010" w:val="left"/>
        </w:tabs>
        <w:numPr>
          <w:ilvl w:val="0"/>
          <w:numId w:val="2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there is a simultaneous commencement of employment with the Company or any Subsidiary or service as a nonemployee director of the Company.</w:t>
      </w:r>
    </w:p>
    <w:p>
      <w:pPr>
        <w:spacing w:after="0" w:line="172" w:lineRule="exact"/>
        <w:rPr>
          <w:rFonts w:ascii="Times New Roman" w:cs="Times New Roman" w:eastAsia="Times New Roman" w:hAnsi="Times New Roman"/>
          <w:sz w:val="20"/>
          <w:szCs w:val="20"/>
          <w:i w:val="1"/>
          <w:iCs w:val="1"/>
          <w:color w:val="auto"/>
        </w:rPr>
      </w:pPr>
    </w:p>
    <w:p>
      <w:pPr>
        <w:jc w:val="both"/>
        <w:ind w:left="1960" w:hanging="815"/>
        <w:spacing w:after="0" w:line="253" w:lineRule="auto"/>
        <w:tabs>
          <w:tab w:leader="none" w:pos="2009" w:val="left"/>
        </w:tabs>
        <w:numPr>
          <w:ilvl w:val="0"/>
          <w:numId w:val="2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(A) terminations where there is a simultaneous reemployment or continuing employment of a Participant by the Company or any Subsidiary, (B) terminations that are followed by the simultaneous establishment of a consulting relationship by the Company or a Subsidiary with the former employee, and (C) at the sole discretion of the Administrator, terminations that result in a temporary severance of the employee-employer relationship.</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Administrator, in its sole discretion, shall determine the effect of all matters and questions relating to a Termination of Service, including, without limitation, the question of whether a Termination of Service resulted from a discharge for Cause, and all questions of whether a particular leave of absence constitutes a Termination of Service. For purposes of the Plan, a Participant’s employee-employer relationship or consultancy relations shall be deemed to be terminated in the event that the Subsidiary employing or contracting with such Participant ceases to remain a Subsidiary following any merger, sale of stock or other corporate transaction or event (including, without limitation, a spinoff).</w:t>
      </w:r>
    </w:p>
    <w:p>
      <w:pPr>
        <w:spacing w:after="0" w:line="19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and Delegation</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51" w:lineRule="auto"/>
        <w:tabs>
          <w:tab w:leader="none" w:pos="1300" w:val="left"/>
        </w:tabs>
        <w:numPr>
          <w:ilvl w:val="1"/>
          <w:numId w:val="3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Administrator. </w:t>
      </w:r>
      <w:r>
        <w:rPr>
          <w:rFonts w:ascii="Times New Roman" w:cs="Times New Roman" w:eastAsia="Times New Roman" w:hAnsi="Times New Roman"/>
          <w:sz w:val="20"/>
          <w:szCs w:val="20"/>
          <w:color w:val="auto"/>
        </w:rPr>
        <w:t>The Committee (or another committee or a subcommittee of the Board assuming the functions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under the Plan) shall administer the Plan (except as otherwise permitted herein) and shall consist solely of two or more nonemployee directors appointed by and holding office at the pleasure of the Board, each of whom is intended to qualify as a “non-employee director” as defined by Rule 16b-3 under the Exchange Act or any successor rule and an “independent director” under the rules of Nasdaq (or other securities exchange or automated quotation system on which shares of Common Stock are listed, quoted or traded); provided, that any action taken by the Committee shall be valid and effective, whether or not members of the Committee at the time of such action are later determined not to have satisfied the requirements for membership set forth in this Section 3(a) or otherwise provided in any charter of the Committee. Notwithstanding the foregoing, the Committee may delegate its authority hereunder to the extent permitted by Sections 3(d) and 3(e). In its sole discretion, the Board may at any time and from time to time exercise any and all rights and duties of the Committee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85" w:lineRule="exact"/>
        <w:rPr>
          <w:sz w:val="20"/>
          <w:szCs w:val="20"/>
          <w:color w:val="auto"/>
        </w:rPr>
      </w:pPr>
    </w:p>
    <w:p>
      <w:pPr>
        <w:jc w:val="both"/>
        <w:ind w:left="1300" w:hanging="644"/>
        <w:spacing w:after="0" w:line="252" w:lineRule="auto"/>
        <w:tabs>
          <w:tab w:leader="none" w:pos="1300" w:val="left"/>
        </w:tabs>
        <w:numPr>
          <w:ilvl w:val="1"/>
          <w:numId w:val="3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Duties and Powers of Administrator. </w:t>
      </w:r>
      <w:r>
        <w:rPr>
          <w:rFonts w:ascii="Times New Roman" w:cs="Times New Roman" w:eastAsia="Times New Roman" w:hAnsi="Times New Roman"/>
          <w:sz w:val="20"/>
          <w:szCs w:val="20"/>
          <w:color w:val="auto"/>
        </w:rPr>
        <w:t>The Administrator shall have authority to grant Awards and to adopt, amend and repeal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administrative rules, guidelines and practices relating to the Plan as it shall deem advisable. The Administrator may correct any defect, supply any omission or reconcile any inconsistency in the Plan or any Award in the manner and to the extent it shall deem expedient to carry the Plan into effect and it shall be the sole and final judge of such expediency. All decisions by the Administrator shall be made in the Administrator’s sole discretion and shall be final and binding on all persons having or claiming any interest in the Plan or in any Award. No director or person acting pursuant to the authority delegated by the Administrator shall be liable for any action or determination relating to or under the Plan made in good faith.</w:t>
      </w:r>
    </w:p>
    <w:p>
      <w:pPr>
        <w:spacing w:after="0" w:line="187" w:lineRule="exact"/>
        <w:rPr>
          <w:rFonts w:ascii="Times New Roman" w:cs="Times New Roman" w:eastAsia="Times New Roman" w:hAnsi="Times New Roman"/>
          <w:sz w:val="20"/>
          <w:szCs w:val="20"/>
          <w:i w:val="1"/>
          <w:iCs w:val="1"/>
          <w:color w:val="auto"/>
        </w:rPr>
      </w:pPr>
    </w:p>
    <w:p>
      <w:pPr>
        <w:jc w:val="both"/>
        <w:ind w:left="1300" w:hanging="644"/>
        <w:spacing w:after="0" w:line="263" w:lineRule="auto"/>
        <w:tabs>
          <w:tab w:leader="none" w:pos="1289" w:val="left"/>
        </w:tabs>
        <w:numPr>
          <w:ilvl w:val="1"/>
          <w:numId w:val="3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Award Eligibility. </w:t>
      </w:r>
      <w:r>
        <w:rPr>
          <w:rFonts w:ascii="Times New Roman" w:cs="Times New Roman" w:eastAsia="Times New Roman" w:hAnsi="Times New Roman"/>
          <w:sz w:val="20"/>
          <w:szCs w:val="20"/>
          <w:color w:val="auto"/>
        </w:rPr>
        <w:t>The Administrator may, from time to time, select from among all Eligible Individuals those to whom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 shall be granted under the Plan and shall determine the nature and amount of the Award, consistent with the requirements of the Plan.</w:t>
      </w:r>
    </w:p>
    <w:p>
      <w:pPr>
        <w:spacing w:after="0" w:line="175" w:lineRule="exact"/>
        <w:rPr>
          <w:rFonts w:ascii="Times New Roman" w:cs="Times New Roman" w:eastAsia="Times New Roman" w:hAnsi="Times New Roman"/>
          <w:sz w:val="20"/>
          <w:szCs w:val="20"/>
          <w:i w:val="1"/>
          <w:iCs w:val="1"/>
          <w:color w:val="auto"/>
        </w:rPr>
      </w:pPr>
    </w:p>
    <w:p>
      <w:pPr>
        <w:ind w:left="1300" w:right="20" w:hanging="644"/>
        <w:spacing w:after="0" w:line="273" w:lineRule="auto"/>
        <w:tabs>
          <w:tab w:leader="none" w:pos="1300" w:val="left"/>
        </w:tabs>
        <w:numPr>
          <w:ilvl w:val="1"/>
          <w:numId w:val="3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Delegation to Committees or Subcommittees. </w:t>
      </w:r>
      <w:r>
        <w:rPr>
          <w:rFonts w:ascii="Times New Roman" w:cs="Times New Roman" w:eastAsia="Times New Roman" w:hAnsi="Times New Roman"/>
          <w:sz w:val="20"/>
          <w:szCs w:val="20"/>
          <w:color w:val="auto"/>
        </w:rPr>
        <w:t>To the extent permitted by applicable law, the Board or Committee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delegate any or all of its powers under the Plan to one or more committees or subcommittees of the Board.</w:t>
      </w:r>
    </w:p>
    <w:p>
      <w:pPr>
        <w:spacing w:after="0" w:line="165" w:lineRule="exact"/>
        <w:rPr>
          <w:rFonts w:ascii="Times New Roman" w:cs="Times New Roman" w:eastAsia="Times New Roman" w:hAnsi="Times New Roman"/>
          <w:sz w:val="20"/>
          <w:szCs w:val="20"/>
          <w:i w:val="1"/>
          <w:iCs w:val="1"/>
          <w:color w:val="auto"/>
        </w:rPr>
      </w:pPr>
    </w:p>
    <w:p>
      <w:pPr>
        <w:jc w:val="both"/>
        <w:ind w:left="1300" w:hanging="644"/>
        <w:spacing w:after="0" w:line="251" w:lineRule="auto"/>
        <w:tabs>
          <w:tab w:leader="none" w:pos="1289" w:val="left"/>
        </w:tabs>
        <w:numPr>
          <w:ilvl w:val="1"/>
          <w:numId w:val="3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Delegation to Officers. </w:t>
      </w:r>
      <w:r>
        <w:rPr>
          <w:rFonts w:ascii="Times New Roman" w:cs="Times New Roman" w:eastAsia="Times New Roman" w:hAnsi="Times New Roman"/>
          <w:sz w:val="20"/>
          <w:szCs w:val="20"/>
          <w:color w:val="auto"/>
        </w:rPr>
        <w:t>Subject to any requirements of applicable law (including as applicable Sections 152 and 157(c)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 Corporation Law of the State of Delaware), the Administrator may delegate to one or more officers of the Company the power to grant Awards (subject to any limitations under the Plan) to employees or officers of the Company and to exercise such other powers under the Plan as the Administrator may determine, provided that the Administrator shall fix the terms of the Awards to be granted by such officers, the maximum number of shares subject to Awards that the officers may grant, and the time period in which such Awards may be granted; and provided further, that no officer shall be authorized to grant Awards to the following individuals: (i) any “executive officer” of the Company (as defined by Rule 3b-7 under the Exchange Act), (ii) any “officer” of the Company (as defined by Rule 16a-1 under the Exchange Act), or (iii) officers of the Company to whom authority to grant or amend Awards has been delegated hereunder. Any delegation under this Section 3(e) shall be subject to any other restrictions and limits that the Administrator specifies at the time of such delegation, and the Administrator may at any time rescind the authority so delegated or appoint a new delegatee.</w:t>
      </w:r>
    </w:p>
    <w:p>
      <w:pPr>
        <w:spacing w:after="0" w:line="184" w:lineRule="exact"/>
        <w:rPr>
          <w:rFonts w:ascii="Times New Roman" w:cs="Times New Roman" w:eastAsia="Times New Roman" w:hAnsi="Times New Roman"/>
          <w:sz w:val="20"/>
          <w:szCs w:val="20"/>
          <w:i w:val="1"/>
          <w:iCs w:val="1"/>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Available for Awards</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68" w:lineRule="auto"/>
        <w:tabs>
          <w:tab w:leader="none" w:pos="1300" w:val="left"/>
        </w:tabs>
        <w:numPr>
          <w:ilvl w:val="1"/>
          <w:numId w:val="3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Number of Shares. </w:t>
      </w:r>
      <w:r>
        <w:rPr>
          <w:rFonts w:ascii="Times New Roman" w:cs="Times New Roman" w:eastAsia="Times New Roman" w:hAnsi="Times New Roman"/>
          <w:sz w:val="19"/>
          <w:szCs w:val="19"/>
          <w:color w:val="auto"/>
        </w:rPr>
        <w:t>Subject to adjustment under Section 10, Awards may be made under the Plan for a number of shares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Common Stock that is equal to the sum of: (i) 20.75 million shares of Common Stock; and (ii) such additional number of shares of Common Stock (up to 22.3 million shares) as is equal to the sum of (x) the number of shares of Common Stock reserved for issuance under the Prior Plan that remained available for grant under the Prior Plan as of the Effective Date, and</w:t>
      </w:r>
    </w:p>
    <w:p>
      <w:pPr>
        <w:spacing w:after="0" w:line="1" w:lineRule="exact"/>
        <w:rPr>
          <w:rFonts w:ascii="Times New Roman" w:cs="Times New Roman" w:eastAsia="Times New Roman" w:hAnsi="Times New Roman"/>
          <w:sz w:val="19"/>
          <w:szCs w:val="19"/>
          <w:i w:val="1"/>
          <w:iCs w:val="1"/>
          <w:color w:val="auto"/>
        </w:rPr>
      </w:pPr>
    </w:p>
    <w:p>
      <w:pPr>
        <w:jc w:val="both"/>
        <w:ind w:left="1300"/>
        <w:spacing w:after="0" w:line="253" w:lineRule="auto"/>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20"/>
          <w:szCs w:val="20"/>
          <w:color w:val="auto"/>
        </w:rPr>
        <w:t>(y) the number of shares of Common Stock subject to awards granted under the Prior Plan which awards expire, terminate or are otherwise surrendered, canceled, forfeited or repurchased by the Company at their original issuance price pursuant to a contractual repurchase right after the Effective Date.</w:t>
      </w:r>
    </w:p>
    <w:p>
      <w:pPr>
        <w:spacing w:after="0" w:line="184" w:lineRule="exact"/>
        <w:rPr>
          <w:rFonts w:ascii="Times New Roman" w:cs="Times New Roman" w:eastAsia="Times New Roman" w:hAnsi="Times New Roman"/>
          <w:sz w:val="19"/>
          <w:szCs w:val="19"/>
          <w:i w:val="1"/>
          <w:iCs w:val="1"/>
          <w:color w:val="auto"/>
        </w:rPr>
      </w:pPr>
    </w:p>
    <w:p>
      <w:pPr>
        <w:jc w:val="both"/>
        <w:ind w:left="1300" w:hanging="644"/>
        <w:spacing w:after="0" w:line="255" w:lineRule="auto"/>
        <w:tabs>
          <w:tab w:leader="none" w:pos="1300" w:val="left"/>
        </w:tabs>
        <w:numPr>
          <w:ilvl w:val="1"/>
          <w:numId w:val="3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Counting of Shares. </w:t>
      </w:r>
      <w:r>
        <w:rPr>
          <w:rFonts w:ascii="Times New Roman" w:cs="Times New Roman" w:eastAsia="Times New Roman" w:hAnsi="Times New Roman"/>
          <w:sz w:val="20"/>
          <w:szCs w:val="20"/>
          <w:color w:val="auto"/>
        </w:rPr>
        <w:t>Subject to adjustment under Section 10, an Option or Stock Appreciation Right shall be counted against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share limit specified in Section 4(a) as one share for each share of Common Stock subject to such Award, and a Full Value Award shall be counted against the share limit specified in Section 4(a) as one and one-half (1.5) shares for each share of Common Stock issued upon settlement of such Full Value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85" w:lineRule="exact"/>
        <w:rPr>
          <w:sz w:val="20"/>
          <w:szCs w:val="20"/>
          <w:color w:val="auto"/>
        </w:rPr>
      </w:pPr>
    </w:p>
    <w:p>
      <w:pPr>
        <w:jc w:val="both"/>
        <w:ind w:left="1300" w:hanging="644"/>
        <w:spacing w:after="0" w:line="263" w:lineRule="auto"/>
        <w:tabs>
          <w:tab w:leader="none" w:pos="1289" w:val="left"/>
        </w:tabs>
        <w:numPr>
          <w:ilvl w:val="1"/>
          <w:numId w:val="33"/>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Lapses. </w:t>
      </w:r>
      <w:r>
        <w:rPr>
          <w:rFonts w:ascii="Times New Roman" w:cs="Times New Roman" w:eastAsia="Times New Roman" w:hAnsi="Times New Roman"/>
          <w:sz w:val="19"/>
          <w:szCs w:val="19"/>
          <w:color w:val="auto"/>
        </w:rPr>
        <w:t>If any Award expires or is terminated, surrendered or canceled without having been fully exercised or is forfeited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To the extent that a Full Value Award (which, for purposes of this Section 4(c) shall include any equivalent award granted under the Prior Plan) is forfeited or expires or such Full Value Award is settled for cash (in whole or in part), the shares of Common Stock available under the Plan shall be increased by one and one-half (1.5) shares of Common Stock subject to such Full Value Award that is forfeited, expired, or settled in cash. Notwithstanding the foregoing, shares delivered (either by actual delivery, attestation or net exercise) to the Company by a Participant (i) to purchase shares of Common Stock upon the exercise of an Award or (ii) to satisfy tax withholding obligations with respect to any Awards (including shares retained from the Award creating the tax obligation) shall not be added back to the number of shares available for the future grant of Awards. In the case of the exercise of a SAR for shares, the number of shares counted against the shares available under the Plan shall be the full number of shares subject to the SAR multiplied by the percentage of the SAR actually exercised, regardless of the number of shares actually used to settle such SAR upon exercise. Shares of Common Stock issued under the Plan may consist in whole or in part of authorized but unissued shares, treasury shares, or shares purchased on the open market; provided, however, that shares of Common Stock repurchased by the Company on the open market using the proceeds from the exercise of an Award shall not increase the number of shares available for future grant of Awards. The payment of Dividend Equivalents in cash in conjunction with any outstanding Award shall not be counted against the number of shares of Common Stock available for issuance under the Plan. Awards settleable only in cash shall not be counted against the number of shares of Common Stock available for issuance under the Plan.</w:t>
      </w:r>
    </w:p>
    <w:p>
      <w:pPr>
        <w:spacing w:after="0" w:line="200" w:lineRule="exact"/>
        <w:rPr>
          <w:rFonts w:ascii="Times New Roman" w:cs="Times New Roman" w:eastAsia="Times New Roman" w:hAnsi="Times New Roman"/>
          <w:sz w:val="19"/>
          <w:szCs w:val="19"/>
          <w:i w:val="1"/>
          <w:iCs w:val="1"/>
          <w:color w:val="auto"/>
        </w:rPr>
      </w:pPr>
    </w:p>
    <w:p>
      <w:pPr>
        <w:spacing w:after="0" w:line="219" w:lineRule="exact"/>
        <w:rPr>
          <w:rFonts w:ascii="Times New Roman" w:cs="Times New Roman" w:eastAsia="Times New Roman" w:hAnsi="Times New Roman"/>
          <w:sz w:val="19"/>
          <w:szCs w:val="19"/>
          <w:i w:val="1"/>
          <w:iCs w:val="1"/>
          <w:color w:val="auto"/>
        </w:rPr>
      </w:pPr>
    </w:p>
    <w:p>
      <w:pPr>
        <w:jc w:val="both"/>
        <w:ind w:left="1300" w:hanging="644"/>
        <w:spacing w:after="0" w:line="260" w:lineRule="auto"/>
        <w:tabs>
          <w:tab w:leader="none" w:pos="1300" w:val="left"/>
        </w:tabs>
        <w:numPr>
          <w:ilvl w:val="1"/>
          <w:numId w:val="3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Substitute Awards. </w:t>
      </w:r>
      <w:r>
        <w:rPr>
          <w:rFonts w:ascii="Times New Roman" w:cs="Times New Roman" w:eastAsia="Times New Roman" w:hAnsi="Times New Roman"/>
          <w:sz w:val="20"/>
          <w:szCs w:val="20"/>
          <w:color w:val="auto"/>
        </w:rPr>
        <w:t>To the extent permitted by applicable law, Substitute Awards shall not reduce the number of shares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authorized for grant under the Plan or count against the Award Limit with respect to any Participant. Substitute Awards may be granted on such terms as the Administrator deems appropriate in the circumstances, notwithstanding any limitations on Awards contained in the Plan.</w:t>
      </w:r>
    </w:p>
    <w:p>
      <w:pPr>
        <w:spacing w:after="0" w:line="164" w:lineRule="exact"/>
        <w:rPr>
          <w:rFonts w:ascii="Times New Roman" w:cs="Times New Roman" w:eastAsia="Times New Roman" w:hAnsi="Times New Roman"/>
          <w:sz w:val="20"/>
          <w:szCs w:val="20"/>
          <w:i w:val="1"/>
          <w:iCs w:val="1"/>
          <w:color w:val="auto"/>
        </w:rPr>
      </w:pPr>
    </w:p>
    <w:p>
      <w:pPr>
        <w:jc w:val="both"/>
        <w:ind w:left="1300" w:hanging="644"/>
        <w:spacing w:after="0" w:line="254" w:lineRule="auto"/>
        <w:tabs>
          <w:tab w:leader="none" w:pos="1289" w:val="left"/>
        </w:tabs>
        <w:numPr>
          <w:ilvl w:val="1"/>
          <w:numId w:val="3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Per-Participant Limit. </w:t>
      </w:r>
      <w:r>
        <w:rPr>
          <w:rFonts w:ascii="Times New Roman" w:cs="Times New Roman" w:eastAsia="Times New Roman" w:hAnsi="Times New Roman"/>
          <w:sz w:val="20"/>
          <w:szCs w:val="20"/>
          <w:color w:val="auto"/>
        </w:rPr>
        <w:t>Without regard to the share-counting rules in Section 4(b) hereof, the maximum number of shares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with respect to which Awards may be granted to any Participant under the Plan during any calendar year shall be 1,500,000 and the maximum aggregate amount of cash that may be paid during any calendar year with respect to one or more Awards payable in cash shall be $5,000,000. For purposes of the foregoing limits, the combination of an Option in tandem with an SAR shall be treated as a single Award. The fungible share counting rules in Section 4(b) shall not apply for purposes of this Section 4(e) and instead, each share subject to any type of Award shall be counted as one share for purposes of this Section 4(e).</w:t>
      </w:r>
    </w:p>
    <w:p>
      <w:pPr>
        <w:spacing w:after="0" w:line="181" w:lineRule="exact"/>
        <w:rPr>
          <w:rFonts w:ascii="Times New Roman" w:cs="Times New Roman" w:eastAsia="Times New Roman" w:hAnsi="Times New Roman"/>
          <w:sz w:val="20"/>
          <w:szCs w:val="20"/>
          <w:i w:val="1"/>
          <w:iCs w:val="1"/>
          <w:color w:val="auto"/>
        </w:rPr>
      </w:pPr>
    </w:p>
    <w:p>
      <w:pPr>
        <w:ind w:left="660" w:hanging="652"/>
        <w:spacing w:after="0"/>
        <w:tabs>
          <w:tab w:leader="none" w:pos="66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Options</w:t>
      </w:r>
    </w:p>
    <w:p>
      <w:pPr>
        <w:spacing w:after="0" w:line="224" w:lineRule="exact"/>
        <w:rPr>
          <w:rFonts w:ascii="Times New Roman" w:cs="Times New Roman" w:eastAsia="Times New Roman" w:hAnsi="Times New Roman"/>
          <w:sz w:val="22"/>
          <w:szCs w:val="22"/>
          <w:b w:val="1"/>
          <w:bCs w:val="1"/>
          <w:color w:val="auto"/>
        </w:rPr>
      </w:pPr>
    </w:p>
    <w:p>
      <w:pPr>
        <w:jc w:val="both"/>
        <w:ind w:left="1300" w:hanging="644"/>
        <w:spacing w:after="0" w:line="263" w:lineRule="auto"/>
        <w:tabs>
          <w:tab w:leader="none" w:pos="1300" w:val="left"/>
        </w:tabs>
        <w:numPr>
          <w:ilvl w:val="1"/>
          <w:numId w:val="3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Administrator may grant Options and determine the number of shares of Common Stock to be covered by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 the exercise price of each Option and the conditions and limitations applicable to the exercise of each Option, including conditions relating to applicable federal or state securities laws, as it considers necessary or advisable.</w:t>
      </w:r>
    </w:p>
    <w:p>
      <w:pPr>
        <w:spacing w:after="0" w:line="161" w:lineRule="exact"/>
        <w:rPr>
          <w:rFonts w:ascii="Times New Roman" w:cs="Times New Roman" w:eastAsia="Times New Roman" w:hAnsi="Times New Roman"/>
          <w:sz w:val="20"/>
          <w:szCs w:val="20"/>
          <w:i w:val="1"/>
          <w:iCs w:val="1"/>
          <w:color w:val="auto"/>
        </w:rPr>
      </w:pPr>
    </w:p>
    <w:p>
      <w:pPr>
        <w:jc w:val="both"/>
        <w:ind w:left="1300" w:hanging="644"/>
        <w:spacing w:after="0" w:line="270" w:lineRule="auto"/>
        <w:tabs>
          <w:tab w:leader="none" w:pos="1300" w:val="left"/>
        </w:tabs>
        <w:numPr>
          <w:ilvl w:val="1"/>
          <w:numId w:val="3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Exercise Price. </w:t>
      </w:r>
      <w:r>
        <w:rPr>
          <w:rFonts w:ascii="Times New Roman" w:cs="Times New Roman" w:eastAsia="Times New Roman" w:hAnsi="Times New Roman"/>
          <w:sz w:val="20"/>
          <w:szCs w:val="20"/>
          <w:color w:val="auto"/>
        </w:rPr>
        <w:t>The Administrator shall establish the exercise price of each Option and specify such exercise price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option agreement; provided, however, that the exercise price shall not be less than 100% of the Fair Market Value at the time the Option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85" w:lineRule="exact"/>
        <w:rPr>
          <w:sz w:val="20"/>
          <w:szCs w:val="20"/>
          <w:color w:val="auto"/>
        </w:rPr>
      </w:pPr>
    </w:p>
    <w:p>
      <w:pPr>
        <w:jc w:val="both"/>
        <w:ind w:left="644" w:hanging="644"/>
        <w:spacing w:after="0" w:line="252" w:lineRule="auto"/>
        <w:tabs>
          <w:tab w:leader="none" w:pos="633" w:val="left"/>
        </w:tabs>
        <w:numPr>
          <w:ilvl w:val="0"/>
          <w:numId w:val="3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Option Vesting. </w:t>
      </w:r>
      <w:r>
        <w:rPr>
          <w:rFonts w:ascii="Times New Roman" w:cs="Times New Roman" w:eastAsia="Times New Roman" w:hAnsi="Times New Roman"/>
          <w:sz w:val="20"/>
          <w:szCs w:val="20"/>
          <w:color w:val="auto"/>
        </w:rPr>
        <w:t>The period during which the right to exercise, in whole or in part, an Option vests in the Participant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set by the Administrator and the Administrator may determine that an Option may not be exercised in whole or in part for a specified period after it is granted. Such vesting may be based on service with the Company or any Subsidiary, any of the Performance Criteria, or any other criteria selected by the Administrator. At any time after grant of an Option, the Administrator may, in its sole discretion and subject to whatever terms and conditions it selects, accelerate the period during which an Option vests. No portion of an Option that is unexercisable at a Participant’s Termination of Service shall thereafter become exercisable, except as may be otherwise provided in the Plan or by the Administrator either in the Award Agreement or by action of the Administrator following the grant of the Option.</w:t>
      </w:r>
    </w:p>
    <w:p>
      <w:pPr>
        <w:spacing w:after="0" w:line="187" w:lineRule="exact"/>
        <w:rPr>
          <w:rFonts w:ascii="Times New Roman" w:cs="Times New Roman" w:eastAsia="Times New Roman" w:hAnsi="Times New Roman"/>
          <w:sz w:val="20"/>
          <w:szCs w:val="20"/>
          <w:i w:val="1"/>
          <w:iCs w:val="1"/>
          <w:color w:val="auto"/>
        </w:rPr>
      </w:pPr>
    </w:p>
    <w:p>
      <w:pPr>
        <w:jc w:val="both"/>
        <w:ind w:left="644" w:hanging="644"/>
        <w:spacing w:after="0" w:line="250" w:lineRule="auto"/>
        <w:tabs>
          <w:tab w:leader="none" w:pos="644" w:val="left"/>
        </w:tabs>
        <w:numPr>
          <w:ilvl w:val="0"/>
          <w:numId w:val="3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Termination of Service. </w:t>
      </w:r>
      <w:r>
        <w:rPr>
          <w:rFonts w:ascii="Times New Roman" w:cs="Times New Roman" w:eastAsia="Times New Roman" w:hAnsi="Times New Roman"/>
          <w:sz w:val="20"/>
          <w:szCs w:val="20"/>
          <w:color w:val="auto"/>
        </w:rPr>
        <w:t>Except as otherwise provided (i) in Sections 5(e), 11(d), 11(e), (ii) in an employment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severance agreement, change in control agreement or other similar agreement, if any, between the Company and the Participant, (iii) by the Administrator in an Award Agreement, or (iv) by action of the Administrator following the grant of an Option, all outstanding Options held by a Participant that are exercisable upon the Participant’s Termination of Service, shall remain exercisable for a period of time expiring on the earlier of (a) the three (3) month anniversary of the Participant’s Termination of Service, and (b) the final expiration date of such Options as set forth in the applicable Award Agreement, subject to the other terms and conditions of such Award Agreement; provided that such Options shall be exercisable only to the extent that the Participant was entitled to exercise such Options on the date of the Termination of Service. Notwithstanding the foregoing, if the Participant violates the non-solicitation, non-competition or confidentiality provisions of any employment contract, confidentiality and nondisclosure agreement or other agreement between such Participant and the Company, the right to exercise Options under this Section 5(d) shall terminate immediately upon written notice to the Participant from the Company describing such violation.</w:t>
      </w:r>
    </w:p>
    <w:p>
      <w:pPr>
        <w:spacing w:after="0" w:line="189" w:lineRule="exact"/>
        <w:rPr>
          <w:rFonts w:ascii="Times New Roman" w:cs="Times New Roman" w:eastAsia="Times New Roman" w:hAnsi="Times New Roman"/>
          <w:sz w:val="20"/>
          <w:szCs w:val="20"/>
          <w:i w:val="1"/>
          <w:iCs w:val="1"/>
          <w:color w:val="auto"/>
        </w:rPr>
      </w:pPr>
    </w:p>
    <w:p>
      <w:pPr>
        <w:jc w:val="both"/>
        <w:ind w:left="644" w:hanging="644"/>
        <w:spacing w:after="0" w:line="252" w:lineRule="auto"/>
        <w:tabs>
          <w:tab w:leader="none" w:pos="633" w:val="left"/>
        </w:tabs>
        <w:numPr>
          <w:ilvl w:val="0"/>
          <w:numId w:val="3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Termination of Service for Cause. </w:t>
      </w:r>
      <w:r>
        <w:rPr>
          <w:rFonts w:ascii="Times New Roman" w:cs="Times New Roman" w:eastAsia="Times New Roman" w:hAnsi="Times New Roman"/>
          <w:sz w:val="20"/>
          <w:szCs w:val="20"/>
          <w:color w:val="auto"/>
        </w:rPr>
        <w:t>Except as otherwise provided (i) in an employment agreement, severance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 in control agreement or other similar agreement, if any, between the Company and the Participant, (ii) by the Administrator in an Award Agreement, or (iii) by action of the Administrator following the grant of an Option, all outstanding Options that were exercisable by the Participant immediately prior to the Participant’s Termination of Service for Cause, shall terminate immediately upon the effective date of such Termination of Service and shall not be exercisable. The Participant shall be considered to have been discharged for Cause if the Company determines, within 30 days after the Participant’s resignation, that discharge for Cause was warranted.</w:t>
      </w:r>
    </w:p>
    <w:p>
      <w:pPr>
        <w:spacing w:after="0" w:line="186" w:lineRule="exact"/>
        <w:rPr>
          <w:rFonts w:ascii="Times New Roman" w:cs="Times New Roman" w:eastAsia="Times New Roman" w:hAnsi="Times New Roman"/>
          <w:sz w:val="20"/>
          <w:szCs w:val="20"/>
          <w:i w:val="1"/>
          <w:iCs w:val="1"/>
          <w:color w:val="auto"/>
        </w:rPr>
      </w:pPr>
    </w:p>
    <w:p>
      <w:pPr>
        <w:jc w:val="both"/>
        <w:ind w:left="644" w:hanging="644"/>
        <w:spacing w:after="0" w:line="252" w:lineRule="auto"/>
        <w:tabs>
          <w:tab w:leader="none" w:pos="640" w:val="left"/>
        </w:tabs>
        <w:numPr>
          <w:ilvl w:val="0"/>
          <w:numId w:val="3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Limitation on Repricing. </w:t>
      </w:r>
      <w:r>
        <w:rPr>
          <w:rFonts w:ascii="Times New Roman" w:cs="Times New Roman" w:eastAsia="Times New Roman" w:hAnsi="Times New Roman"/>
          <w:sz w:val="20"/>
          <w:szCs w:val="20"/>
          <w:color w:val="auto"/>
        </w:rPr>
        <w:t>Unless such action is approved by the Company’s stockholders, the Company may not (except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provided for under Section 10): (i) amend any outstanding Option granted under the Plan to provide an exercise price per share that is lower than the then-current exercise price per share of such outstanding Option, (ii)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(iii) cancel in exchange for a cash payment any outstanding Option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p>
    <w:p>
      <w:pPr>
        <w:spacing w:after="0" w:line="175" w:lineRule="exact"/>
        <w:rPr>
          <w:rFonts w:ascii="Times New Roman" w:cs="Times New Roman" w:eastAsia="Times New Roman" w:hAnsi="Times New Roman"/>
          <w:sz w:val="20"/>
          <w:szCs w:val="20"/>
          <w:i w:val="1"/>
          <w:iCs w:val="1"/>
          <w:color w:val="auto"/>
        </w:rPr>
      </w:pPr>
    </w:p>
    <w:p>
      <w:pPr>
        <w:ind w:left="644" w:hanging="644"/>
        <w:spacing w:after="0" w:line="287" w:lineRule="auto"/>
        <w:tabs>
          <w:tab w:leader="none" w:pos="644" w:val="left"/>
        </w:tabs>
        <w:numPr>
          <w:ilvl w:val="0"/>
          <w:numId w:val="3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No Reload Rights. </w:t>
      </w:r>
      <w:r>
        <w:rPr>
          <w:rFonts w:ascii="Times New Roman" w:cs="Times New Roman" w:eastAsia="Times New Roman" w:hAnsi="Times New Roman"/>
          <w:sz w:val="20"/>
          <w:szCs w:val="20"/>
          <w:color w:val="auto"/>
        </w:rPr>
        <w:t>No Option granted under the Plan shall contain any provision entitling the optionee to the automatic grant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additional Options in connection with any exercise of the original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584"/>
          </w:cols>
          <w:pgMar w:left="976" w:top="1440" w:right="339" w:bottom="1440" w:gutter="0" w:footer="0" w:header="0"/>
        </w:sectPr>
      </w:pPr>
    </w:p>
    <w:bookmarkStart w:id="37" w:name="page38"/>
    <w:bookmarkEnd w:id="37"/>
    <w:p>
      <w:pPr>
        <w:spacing w:after="0" w:line="185" w:lineRule="exact"/>
        <w:rPr>
          <w:sz w:val="20"/>
          <w:szCs w:val="20"/>
          <w:color w:val="auto"/>
        </w:rPr>
      </w:pPr>
    </w:p>
    <w:p>
      <w:pPr>
        <w:jc w:val="both"/>
        <w:ind w:left="1300" w:hanging="644"/>
        <w:spacing w:after="0" w:line="254" w:lineRule="auto"/>
        <w:tabs>
          <w:tab w:leader="none" w:pos="1300" w:val="left"/>
        </w:tabs>
        <w:numPr>
          <w:ilvl w:val="1"/>
          <w:numId w:val="3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Duration of Options. </w:t>
      </w:r>
      <w:r>
        <w:rPr>
          <w:rFonts w:ascii="Times New Roman" w:cs="Times New Roman" w:eastAsia="Times New Roman" w:hAnsi="Times New Roman"/>
          <w:sz w:val="20"/>
          <w:szCs w:val="20"/>
          <w:color w:val="auto"/>
        </w:rPr>
        <w:t>Each Option shall be exercisable at such times and subject to such terms and conditions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Administrator may specify in the applicable option agreement; provided, however, that no Option will be granted for a term in excess of seven (7) years. The Administrator shall determine the time period, including the time period following a Termination of Service, during which the Participant has the right to exercise the vested Options, which time period may not extend beyond the term of the Option.</w:t>
      </w:r>
    </w:p>
    <w:p>
      <w:pPr>
        <w:spacing w:after="0" w:line="187" w:lineRule="exact"/>
        <w:rPr>
          <w:rFonts w:ascii="Times New Roman" w:cs="Times New Roman" w:eastAsia="Times New Roman" w:hAnsi="Times New Roman"/>
          <w:sz w:val="20"/>
          <w:szCs w:val="20"/>
          <w:i w:val="1"/>
          <w:iCs w:val="1"/>
          <w:color w:val="auto"/>
        </w:rPr>
      </w:pPr>
    </w:p>
    <w:p>
      <w:pPr>
        <w:jc w:val="both"/>
        <w:ind w:left="1300" w:hanging="644"/>
        <w:spacing w:after="0" w:line="260" w:lineRule="auto"/>
        <w:tabs>
          <w:tab w:leader="none" w:pos="1296" w:val="left"/>
        </w:tabs>
        <w:numPr>
          <w:ilvl w:val="1"/>
          <w:numId w:val="3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Exercise of Option. </w:t>
      </w:r>
      <w:r>
        <w:rPr>
          <w:rFonts w:ascii="Times New Roman" w:cs="Times New Roman" w:eastAsia="Times New Roman" w:hAnsi="Times New Roman"/>
          <w:sz w:val="20"/>
          <w:szCs w:val="20"/>
          <w:color w:val="auto"/>
        </w:rPr>
        <w:t>Options may be exercised by delivery to the Company of a written notice of exercise signed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 person or by any other form of notice (including electronic notice) approved by the Administrator together with payment in full as specified in Section 12(g) for the number of shares for which the Option is exercised. Shares of Common Stock subject to the Option will be delivered by the Company following exercise as soon as practicable.</w:t>
      </w:r>
    </w:p>
    <w:p>
      <w:pPr>
        <w:spacing w:after="0" w:line="164" w:lineRule="exact"/>
        <w:rPr>
          <w:rFonts w:ascii="Times New Roman" w:cs="Times New Roman" w:eastAsia="Times New Roman" w:hAnsi="Times New Roman"/>
          <w:sz w:val="20"/>
          <w:szCs w:val="20"/>
          <w:i w:val="1"/>
          <w:iCs w:val="1"/>
          <w:color w:val="auto"/>
        </w:rPr>
      </w:pPr>
    </w:p>
    <w:p>
      <w:pPr>
        <w:jc w:val="both"/>
        <w:ind w:left="1300" w:hanging="644"/>
        <w:spacing w:after="0" w:line="270" w:lineRule="auto"/>
        <w:tabs>
          <w:tab w:leader="none" w:pos="1296" w:val="left"/>
        </w:tabs>
        <w:numPr>
          <w:ilvl w:val="1"/>
          <w:numId w:val="3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Partial Exercise. </w:t>
      </w:r>
      <w:r>
        <w:rPr>
          <w:rFonts w:ascii="Times New Roman" w:cs="Times New Roman" w:eastAsia="Times New Roman" w:hAnsi="Times New Roman"/>
          <w:sz w:val="20"/>
          <w:szCs w:val="20"/>
          <w:color w:val="auto"/>
        </w:rPr>
        <w:t>An exercisable Option may be exercised in whole or in part. However, an Option shall not be exercisable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fractional shares and the Administrator may require that, by the terms of the Option, a partial exercise be with respect to a minimum number of shares.</w:t>
      </w:r>
    </w:p>
    <w:p>
      <w:pPr>
        <w:spacing w:after="0" w:line="155" w:lineRule="exact"/>
        <w:rPr>
          <w:rFonts w:ascii="Times New Roman" w:cs="Times New Roman" w:eastAsia="Times New Roman" w:hAnsi="Times New Roman"/>
          <w:sz w:val="20"/>
          <w:szCs w:val="20"/>
          <w:i w:val="1"/>
          <w:iCs w:val="1"/>
          <w:color w:val="auto"/>
        </w:rPr>
      </w:pPr>
    </w:p>
    <w:p>
      <w:pPr>
        <w:jc w:val="both"/>
        <w:ind w:left="1300" w:hanging="644"/>
        <w:spacing w:after="0" w:line="267" w:lineRule="auto"/>
        <w:tabs>
          <w:tab w:leader="none" w:pos="1289" w:val="left"/>
        </w:tabs>
        <w:numPr>
          <w:ilvl w:val="1"/>
          <w:numId w:val="3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Substitute Awards. </w:t>
      </w:r>
      <w:r>
        <w:rPr>
          <w:rFonts w:ascii="Times New Roman" w:cs="Times New Roman" w:eastAsia="Times New Roman" w:hAnsi="Times New Roman"/>
          <w:sz w:val="19"/>
          <w:szCs w:val="19"/>
          <w:color w:val="auto"/>
        </w:rPr>
        <w:t>In connection with a merger or consolidation of an entity with the Company or the acquisition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of property or stock of an entity, the Administrator may grant Options in substitution for any options or other stock or stock-based awards granted by such entity or an affiliate thereof. An Option that is a Substitute Award may be granted on such terms as the Administrator deems appropriate in the circumstances, notwithstanding any limitations on Options contained in this Section 5 or in Section 3(c). Notwithstanding the foregoing provisions of this Section 5 to the contrary, in the case of an Option that is a Substitute Award, the price per share of the shares of Common Stock subject to such Option may be less than the Fair Market Value per share on the date of grant, provided, that such price per share shall be determined in accordance with Section 409A (and, if applicable, with Section 424 of the Code and the regulations thereunder).</w:t>
      </w:r>
    </w:p>
    <w:p>
      <w:pPr>
        <w:spacing w:after="0" w:line="183" w:lineRule="exact"/>
        <w:rPr>
          <w:rFonts w:ascii="Times New Roman" w:cs="Times New Roman" w:eastAsia="Times New Roman" w:hAnsi="Times New Roman"/>
          <w:sz w:val="19"/>
          <w:szCs w:val="19"/>
          <w:i w:val="1"/>
          <w:iCs w:val="1"/>
          <w:color w:val="auto"/>
        </w:rPr>
      </w:pPr>
    </w:p>
    <w:p>
      <w:pPr>
        <w:ind w:left="660" w:hanging="652"/>
        <w:spacing w:after="0"/>
        <w:tabs>
          <w:tab w:leader="none" w:pos="6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Appreciation Rights</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54" w:lineRule="auto"/>
        <w:tabs>
          <w:tab w:leader="none" w:pos="1300" w:val="left"/>
        </w:tabs>
        <w:numPr>
          <w:ilvl w:val="1"/>
          <w:numId w:val="3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A Stock Appreciation Right, or SAR, is an Award entitling the holder, upon exercise, to receive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determined in whole or in part by reference to appreciation, from and after the date of grant, in the Fair Market Value of a share of Common Stock. SARs may be based solely on appreciation in the Fair Market Value of Common Stock or on a comparison of such appreciation with some other measure of market growth such as (but not limited to) appreciation in a recognized market index. The date as of which such appreciation or other measure is determined shall be the exercise date unless another date is specified by the Administrator in the SAR Award. SARs may not be granted with a term in excess of seven (7) years from the date of grant.</w:t>
      </w:r>
    </w:p>
    <w:p>
      <w:pPr>
        <w:spacing w:after="0" w:line="172" w:lineRule="exact"/>
        <w:rPr>
          <w:rFonts w:ascii="Times New Roman" w:cs="Times New Roman" w:eastAsia="Times New Roman" w:hAnsi="Times New Roman"/>
          <w:sz w:val="20"/>
          <w:szCs w:val="20"/>
          <w:i w:val="1"/>
          <w:iCs w:val="1"/>
          <w:color w:val="auto"/>
        </w:rPr>
      </w:pPr>
    </w:p>
    <w:p>
      <w:pPr>
        <w:ind w:left="1300" w:hanging="644"/>
        <w:spacing w:after="0"/>
        <w:tabs>
          <w:tab w:leader="none" w:pos="1300" w:val="left"/>
        </w:tabs>
        <w:numPr>
          <w:ilvl w:val="1"/>
          <w:numId w:val="3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Grants. </w:t>
      </w:r>
      <w:r>
        <w:rPr>
          <w:rFonts w:ascii="Times New Roman" w:cs="Times New Roman" w:eastAsia="Times New Roman" w:hAnsi="Times New Roman"/>
          <w:sz w:val="20"/>
          <w:szCs w:val="20"/>
          <w:color w:val="auto"/>
        </w:rPr>
        <w:t>Stock Appreciation Rights may be granted in tandem with, or independently of, Options granted under the Plan.</w:t>
      </w:r>
    </w:p>
    <w:p>
      <w:pPr>
        <w:spacing w:after="0" w:line="229" w:lineRule="exact"/>
        <w:rPr>
          <w:rFonts w:ascii="Times New Roman" w:cs="Times New Roman" w:eastAsia="Times New Roman" w:hAnsi="Times New Roman"/>
          <w:sz w:val="20"/>
          <w:szCs w:val="20"/>
          <w:i w:val="1"/>
          <w:iCs w:val="1"/>
          <w:color w:val="auto"/>
        </w:rPr>
      </w:pPr>
    </w:p>
    <w:p>
      <w:pPr>
        <w:jc w:val="both"/>
        <w:ind w:left="1960" w:hanging="760"/>
        <w:spacing w:after="0" w:line="252" w:lineRule="auto"/>
        <w:tabs>
          <w:tab w:leader="none" w:pos="1960" w:val="left"/>
        </w:tabs>
        <w:numPr>
          <w:ilvl w:val="2"/>
          <w:numId w:val="3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Tandem Awards. </w:t>
      </w:r>
      <w:r>
        <w:rPr>
          <w:rFonts w:ascii="Times New Roman" w:cs="Times New Roman" w:eastAsia="Times New Roman" w:hAnsi="Times New Roman"/>
          <w:sz w:val="20"/>
          <w:szCs w:val="20"/>
          <w:color w:val="auto"/>
        </w:rPr>
        <w:t>When Stock Appreciation Rights are expressly granted in tandem with Options, (A) the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Appreciation Right will be exercisable only at such time or times, and to the extent, that the related Option is exercisable (except to the extent designated by the Administrator in connection with a Reorganization Event and will be exercisable in accordance with the procedure required for exercise of the related Option); (B) the Stock Appreciation Right will terminate and no longer be exercisable upon the termination or exercise of the related Option, except to the extent designated by the Administrator in connection with a Reorganization Event and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38" w:name="page39"/>
    <w:bookmarkEnd w:id="38"/>
    <w:p>
      <w:pPr>
        <w:jc w:val="both"/>
        <w:ind w:left="1960"/>
        <w:spacing w:after="0" w:line="253" w:lineRule="auto"/>
        <w:rPr>
          <w:sz w:val="20"/>
          <w:szCs w:val="20"/>
          <w:color w:val="auto"/>
        </w:rPr>
      </w:pPr>
      <w:r>
        <w:rPr>
          <w:rFonts w:ascii="Times New Roman" w:cs="Times New Roman" w:eastAsia="Times New Roman" w:hAnsi="Times New Roman"/>
          <w:sz w:val="20"/>
          <w:szCs w:val="20"/>
          <w:color w:val="auto"/>
        </w:rPr>
        <w:t>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(C) the Option will terminate and no longer be exercisable upon the exercise of the related Stock Appreciation Right; and (D) the Stock Appreciation Right will be transferable only with the related Option.</w:t>
      </w:r>
    </w:p>
    <w:p>
      <w:pPr>
        <w:spacing w:after="0" w:line="188" w:lineRule="exact"/>
        <w:rPr>
          <w:sz w:val="20"/>
          <w:szCs w:val="20"/>
          <w:color w:val="auto"/>
        </w:rPr>
      </w:pPr>
    </w:p>
    <w:p>
      <w:pPr>
        <w:ind w:left="1960" w:hanging="815"/>
        <w:spacing w:after="0" w:line="287" w:lineRule="auto"/>
        <w:tabs>
          <w:tab w:leader="none" w:pos="1960" w:val="left"/>
        </w:tabs>
        <w:numPr>
          <w:ilvl w:val="2"/>
          <w:numId w:val="3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Independent SARs. </w:t>
      </w:r>
      <w:r>
        <w:rPr>
          <w:rFonts w:ascii="Times New Roman" w:cs="Times New Roman" w:eastAsia="Times New Roman" w:hAnsi="Times New Roman"/>
          <w:sz w:val="20"/>
          <w:szCs w:val="20"/>
          <w:color w:val="auto"/>
        </w:rPr>
        <w:t>A Stock Appreciation Right not expressly granted in tandem with an Option will become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exercisable at such time or times, and on such conditions, as the Administrator may specify in the SAR Award.</w:t>
      </w:r>
    </w:p>
    <w:p>
      <w:pPr>
        <w:spacing w:after="0" w:line="138" w:lineRule="exact"/>
        <w:rPr>
          <w:rFonts w:ascii="Times New Roman" w:cs="Times New Roman" w:eastAsia="Times New Roman" w:hAnsi="Times New Roman"/>
          <w:sz w:val="20"/>
          <w:szCs w:val="20"/>
          <w:i w:val="1"/>
          <w:iCs w:val="1"/>
          <w:color w:val="auto"/>
        </w:rPr>
      </w:pPr>
    </w:p>
    <w:p>
      <w:pPr>
        <w:jc w:val="both"/>
        <w:ind w:left="1300" w:hanging="644"/>
        <w:spacing w:after="0" w:line="263" w:lineRule="auto"/>
        <w:tabs>
          <w:tab w:leader="none" w:pos="1289" w:val="left"/>
        </w:tabs>
        <w:numPr>
          <w:ilvl w:val="1"/>
          <w:numId w:val="3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Exercise. </w:t>
      </w:r>
      <w:r>
        <w:rPr>
          <w:rFonts w:ascii="Times New Roman" w:cs="Times New Roman" w:eastAsia="Times New Roman" w:hAnsi="Times New Roman"/>
          <w:sz w:val="20"/>
          <w:szCs w:val="20"/>
          <w:color w:val="auto"/>
        </w:rPr>
        <w:t>Stock Appreciation Rights may be exercised by delivery to the Company of a written notice of exercise signed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proper person or by any other form of notice (including electronic notice) approved by the Administrator, together with any other documents required by the Administrator.</w:t>
      </w:r>
    </w:p>
    <w:p>
      <w:pPr>
        <w:spacing w:after="0" w:line="175" w:lineRule="exact"/>
        <w:rPr>
          <w:rFonts w:ascii="Times New Roman" w:cs="Times New Roman" w:eastAsia="Times New Roman" w:hAnsi="Times New Roman"/>
          <w:sz w:val="20"/>
          <w:szCs w:val="20"/>
          <w:i w:val="1"/>
          <w:iCs w:val="1"/>
          <w:color w:val="auto"/>
        </w:rPr>
      </w:pPr>
    </w:p>
    <w:p>
      <w:pPr>
        <w:jc w:val="both"/>
        <w:ind w:left="1300" w:hanging="644"/>
        <w:spacing w:after="0" w:line="252" w:lineRule="auto"/>
        <w:tabs>
          <w:tab w:leader="none" w:pos="1300" w:val="left"/>
        </w:tabs>
        <w:numPr>
          <w:ilvl w:val="1"/>
          <w:numId w:val="3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Limitation on Repricing. </w:t>
      </w:r>
      <w:r>
        <w:rPr>
          <w:rFonts w:ascii="Times New Roman" w:cs="Times New Roman" w:eastAsia="Times New Roman" w:hAnsi="Times New Roman"/>
          <w:sz w:val="20"/>
          <w:szCs w:val="20"/>
          <w:color w:val="auto"/>
        </w:rPr>
        <w:t>Unless such action is approved by the Company’s stockholders, the Company may not (except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provided for under Section 10): (i) amend any outstanding SAR granted under the Plan to provide an exercise price per share that is lower than the then-current exercise price per share of such outstanding SAR, (ii) cancel any outstanding stock appreciation right (whether or not granted under the Plan) and grant in substitution therefor new Awards under the Plan covering the same or a different number of shares of Common Stock and having an exercise price per share lower than the then-current exercise price per share of the cancelled stock appreciation right, (iii) cancel in exchange for a cash payment any outstanding SAR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w:t>
      </w:r>
    </w:p>
    <w:p>
      <w:pPr>
        <w:spacing w:after="0" w:line="184" w:lineRule="exact"/>
        <w:rPr>
          <w:rFonts w:ascii="Times New Roman" w:cs="Times New Roman" w:eastAsia="Times New Roman" w:hAnsi="Times New Roman"/>
          <w:sz w:val="20"/>
          <w:szCs w:val="20"/>
          <w:i w:val="1"/>
          <w:iCs w:val="1"/>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 Restricted Stock Units</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52" w:lineRule="auto"/>
        <w:tabs>
          <w:tab w:leader="none" w:pos="1300" w:val="left"/>
        </w:tabs>
        <w:numPr>
          <w:ilvl w:val="1"/>
          <w:numId w:val="4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Administrator may grant Awards of Restricted Stock to Eligible Individuals entitling recipients to acquire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of Common Stock, subject to the right of the Company to repurchase all or part of such shares at their issue price or other stated or formula price (or to require forfeiture of such shares if issued at no cost) from the recipient in the event that conditions specified by the Administrator in the applicable Award are not satisfied prior to the end of the applicable restriction period or periods established by the Administrator for such Award. Instead of granting Awards of Restricted Stock, the Administrator may grant Awards of Restricted Stock Units to Eligible Individuals entitling recipients to receive shares of Common Stock to be delivered at the time such shares of Common Stock vest subject to such terms and conditions on the delivery of the shares of Common Stock as the Administrator shall determine. The Administrator shall determine the terms and conditions of a Restricted Stock Award, including the conditions for repurchase, forfeiture, or vesting, and the issue price, if any.</w:t>
      </w:r>
    </w:p>
    <w:p>
      <w:pPr>
        <w:spacing w:after="0" w:line="177" w:lineRule="exact"/>
        <w:rPr>
          <w:rFonts w:ascii="Times New Roman" w:cs="Times New Roman" w:eastAsia="Times New Roman" w:hAnsi="Times New Roman"/>
          <w:sz w:val="20"/>
          <w:szCs w:val="20"/>
          <w:i w:val="1"/>
          <w:iCs w:val="1"/>
          <w:color w:val="auto"/>
        </w:rPr>
      </w:pPr>
    </w:p>
    <w:p>
      <w:pPr>
        <w:jc w:val="both"/>
        <w:ind w:left="1300" w:hanging="644"/>
        <w:spacing w:after="0" w:line="254" w:lineRule="auto"/>
        <w:tabs>
          <w:tab w:leader="none" w:pos="1300" w:val="left"/>
        </w:tabs>
        <w:numPr>
          <w:ilvl w:val="1"/>
          <w:numId w:val="4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Stock Certificates; Dividends. </w:t>
      </w:r>
      <w:r>
        <w:rPr>
          <w:rFonts w:ascii="Times New Roman" w:cs="Times New Roman" w:eastAsia="Times New Roman" w:hAnsi="Times New Roman"/>
          <w:sz w:val="20"/>
          <w:szCs w:val="20"/>
          <w:color w:val="auto"/>
        </w:rPr>
        <w:t>Subject to Section 12(l), any stock certificates issued in respect of an award of Restricted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shall be registered in the name of the Participant and, unless otherwise determined by the Administrator,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Designated Beneficiary. Unless otherwise provided in the applicable Award Agreement, any dividends (whether paid in cash, stock or property) declared and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39" w:name="page40"/>
    <w:bookmarkEnd w:id="39"/>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by the Company with respect to unvested shares of Restricted Stock shall be subject to accrual as provided in Section 12(h).</w:t>
      </w:r>
    </w:p>
    <w:p>
      <w:pPr>
        <w:spacing w:after="0" w:line="234"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Performance Awards, Dividend Equivalents, and Other Stock Unit Awards</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67" w:lineRule="auto"/>
        <w:tabs>
          <w:tab w:leader="none" w:pos="1300" w:val="left"/>
        </w:tabs>
        <w:numPr>
          <w:ilvl w:val="1"/>
          <w:numId w:val="4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Performance Awards. </w:t>
      </w:r>
      <w:r>
        <w:rPr>
          <w:rFonts w:ascii="Times New Roman" w:cs="Times New Roman" w:eastAsia="Times New Roman" w:hAnsi="Times New Roman"/>
          <w:sz w:val="19"/>
          <w:szCs w:val="19"/>
          <w:color w:val="auto"/>
        </w:rPr>
        <w:t>The Administrator may grant Performance Awards under the Plan to any Eligible Individual.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value of Performance Awards shall be subject to the achievement of Performance Goals over a specified Performance Period. The Performance Goals applicable to a Performance Award may (i) vary by Participant, (ii) be different for different Awards, or (iii) be particular to a Participant or the Subsidiary, division, business unit, department, branch, or other unit in which the Participant works. The Administrator, in its discretion, may adjust the cash or number of shares of Common Stock payable pursuant to any Performance Award, and the Administrator may, at any time, waive the achievement of the applicable Performance Goals, including in the case of the death or Disability of the Participant or a Change in Control of the Company.</w:t>
      </w:r>
    </w:p>
    <w:p>
      <w:pPr>
        <w:spacing w:after="0" w:line="175" w:lineRule="exact"/>
        <w:rPr>
          <w:rFonts w:ascii="Times New Roman" w:cs="Times New Roman" w:eastAsia="Times New Roman" w:hAnsi="Times New Roman"/>
          <w:sz w:val="19"/>
          <w:szCs w:val="19"/>
          <w:i w:val="1"/>
          <w:iCs w:val="1"/>
          <w:color w:val="auto"/>
        </w:rPr>
      </w:pPr>
    </w:p>
    <w:p>
      <w:pPr>
        <w:jc w:val="both"/>
        <w:ind w:left="1300" w:hanging="644"/>
        <w:spacing w:after="0" w:line="270" w:lineRule="auto"/>
        <w:tabs>
          <w:tab w:leader="none" w:pos="1300" w:val="left"/>
        </w:tabs>
        <w:numPr>
          <w:ilvl w:val="1"/>
          <w:numId w:val="4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Dividend Equivalents. </w:t>
      </w:r>
      <w:r>
        <w:rPr>
          <w:rFonts w:ascii="Times New Roman" w:cs="Times New Roman" w:eastAsia="Times New Roman" w:hAnsi="Times New Roman"/>
          <w:sz w:val="19"/>
          <w:szCs w:val="19"/>
          <w:color w:val="auto"/>
        </w:rPr>
        <w:t>The Administrator may grant Dividend Equivalents under the Plan to any Eligible Individual based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dividends declared on the Common Stock, to be credited as of dividend payment dates during the period between the date an Award is granted to a Participant and the date such Award vests, is distributed or expires, as determined by the Administrator. Such Dividend Equivalents shall be converted to cash or additional shares of Common Stock by such formula and at such time and subject to such limitations as may be determined by the Administrator. Notwithstanding the foregoing, no Dividend Equivalents shall be payable with respect to Options or Stock Appreciation Rights. Unless otherwise provided in the applicable Award Agreement, any Dividend Equivalents shall be subject to accrual as provided in Section 12(h).</w:t>
      </w:r>
    </w:p>
    <w:p>
      <w:pPr>
        <w:spacing w:after="0" w:line="156" w:lineRule="exact"/>
        <w:rPr>
          <w:rFonts w:ascii="Times New Roman" w:cs="Times New Roman" w:eastAsia="Times New Roman" w:hAnsi="Times New Roman"/>
          <w:sz w:val="19"/>
          <w:szCs w:val="19"/>
          <w:i w:val="1"/>
          <w:iCs w:val="1"/>
          <w:color w:val="auto"/>
        </w:rPr>
      </w:pPr>
    </w:p>
    <w:p>
      <w:pPr>
        <w:jc w:val="both"/>
        <w:ind w:left="1300" w:hanging="644"/>
        <w:spacing w:after="0" w:line="254" w:lineRule="auto"/>
        <w:tabs>
          <w:tab w:leader="none" w:pos="1289" w:val="left"/>
        </w:tabs>
        <w:numPr>
          <w:ilvl w:val="1"/>
          <w:numId w:val="4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Other Stock Unit Awards. </w:t>
      </w:r>
      <w:r>
        <w:rPr>
          <w:rFonts w:ascii="Times New Roman" w:cs="Times New Roman" w:eastAsia="Times New Roman" w:hAnsi="Times New Roman"/>
          <w:sz w:val="20"/>
          <w:szCs w:val="20"/>
          <w:color w:val="auto"/>
        </w:rPr>
        <w:t>The Administrator may grant Other Stock Unit Awards under the Plan to any Eligible Individual.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Other Stock Unit Awards shall be available as a form of payment in the settlement of other Awards granted under the Plan or as payment in lieu of compensation to which a Participant is otherwise entitled. Other Stock Unit Awards may be paid in shares of Common Stock or cash, as the Administrator shall determine. Subject to the provisions of the Plan, the Administrator shall determine the conditions of each Other Stock Unit Award, including any purchase price applicable thereto and any conditions applicable thereto, including without limitation, performance-based conditions.</w:t>
      </w:r>
    </w:p>
    <w:p>
      <w:pPr>
        <w:spacing w:after="0" w:line="195" w:lineRule="exact"/>
        <w:rPr>
          <w:rFonts w:ascii="Times New Roman" w:cs="Times New Roman" w:eastAsia="Times New Roman" w:hAnsi="Times New Roman"/>
          <w:sz w:val="20"/>
          <w:szCs w:val="20"/>
          <w:i w:val="1"/>
          <w:iCs w:val="1"/>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a Change in Control</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54" w:lineRule="auto"/>
        <w:tabs>
          <w:tab w:leader="none" w:pos="1300" w:val="left"/>
        </w:tabs>
        <w:numPr>
          <w:ilvl w:val="1"/>
          <w:numId w:val="4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Qualifying Termination Prior to Change in Control. </w:t>
      </w:r>
      <w:r>
        <w:rPr>
          <w:rFonts w:ascii="Times New Roman" w:cs="Times New Roman" w:eastAsia="Times New Roman" w:hAnsi="Times New Roman"/>
          <w:sz w:val="20"/>
          <w:szCs w:val="20"/>
          <w:color w:val="auto"/>
        </w:rPr>
        <w:t>Notwithstanding anything in this Plan to the contrary, in the event that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Participant experiences a Qualifying Termination that is within the period of time commencing three (3) months prior to the Change in Control and ending on the effective date of the Change in Control, then on the date of the Termination of Service, each outstanding and unvested Award held by such Participant as of the day prior to the date of the Participant’s Termination of Service shall</w:t>
      </w:r>
    </w:p>
    <w:p>
      <w:pPr>
        <w:spacing w:after="0" w:line="191" w:lineRule="exact"/>
        <w:rPr>
          <w:rFonts w:ascii="Times New Roman" w:cs="Times New Roman" w:eastAsia="Times New Roman" w:hAnsi="Times New Roman"/>
          <w:sz w:val="20"/>
          <w:szCs w:val="20"/>
          <w:i w:val="1"/>
          <w:iCs w:val="1"/>
          <w:color w:val="auto"/>
        </w:rPr>
      </w:pPr>
    </w:p>
    <w:p>
      <w:pPr>
        <w:jc w:val="both"/>
        <w:ind w:left="1960" w:hanging="760"/>
        <w:spacing w:after="0" w:line="254" w:lineRule="auto"/>
        <w:tabs>
          <w:tab w:leader="none" w:pos="2023" w:val="left"/>
        </w:tabs>
        <w:numPr>
          <w:ilvl w:val="2"/>
          <w:numId w:val="4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remain outstanding for the period of three (3) months following the Participant’s Termination of Service with any vesting of such Award being suspended until it is determined whether there is a Change in Control during the three</w:t>
      </w:r>
    </w:p>
    <w:p>
      <w:pPr>
        <w:spacing w:after="0" w:line="1" w:lineRule="exact"/>
        <w:rPr>
          <w:rFonts w:ascii="Times New Roman" w:cs="Times New Roman" w:eastAsia="Times New Roman" w:hAnsi="Times New Roman"/>
          <w:sz w:val="20"/>
          <w:szCs w:val="20"/>
          <w:i w:val="1"/>
          <w:iCs w:val="1"/>
          <w:color w:val="auto"/>
        </w:rPr>
      </w:pPr>
    </w:p>
    <w:p>
      <w:pPr>
        <w:ind w:left="1960"/>
        <w:spacing w:after="0"/>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(3) month period following the Participant’s Termination of Service;</w:t>
      </w:r>
    </w:p>
    <w:p>
      <w:pPr>
        <w:spacing w:after="0" w:line="213" w:lineRule="exact"/>
        <w:rPr>
          <w:rFonts w:ascii="Times New Roman" w:cs="Times New Roman" w:eastAsia="Times New Roman" w:hAnsi="Times New Roman"/>
          <w:sz w:val="20"/>
          <w:szCs w:val="20"/>
          <w:i w:val="1"/>
          <w:iCs w:val="1"/>
          <w:color w:val="auto"/>
        </w:rPr>
      </w:pPr>
    </w:p>
    <w:p>
      <w:pPr>
        <w:jc w:val="both"/>
        <w:ind w:left="1960" w:hanging="815"/>
        <w:spacing w:after="0" w:line="261" w:lineRule="auto"/>
        <w:tabs>
          <w:tab w:leader="none" w:pos="2009" w:val="left"/>
        </w:tabs>
        <w:numPr>
          <w:ilvl w:val="2"/>
          <w:numId w:val="4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if a Change in Control occurs within the three (3) month period following the Participant’s Termination of Service, be treated as if the Participant had remained employed by the Company through the effective date of the Change in Control and notwithstanding any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40" w:name="page41"/>
    <w:bookmarkEnd w:id="40"/>
    <w:p>
      <w:pPr>
        <w:jc w:val="both"/>
        <w:ind w:left="1304"/>
        <w:spacing w:after="0" w:line="261" w:lineRule="auto"/>
        <w:rPr>
          <w:sz w:val="20"/>
          <w:szCs w:val="20"/>
          <w:color w:val="auto"/>
        </w:rPr>
      </w:pPr>
      <w:r>
        <w:rPr>
          <w:rFonts w:ascii="Times New Roman" w:cs="Times New Roman" w:eastAsia="Times New Roman" w:hAnsi="Times New Roman"/>
          <w:sz w:val="20"/>
          <w:szCs w:val="20"/>
          <w:color w:val="auto"/>
        </w:rPr>
        <w:t>forfeiture provisions, or anything else to the contrary in the respective Award Agreement governing such Award, subject to the same terms and conditions as in effect immediately prior to the Participant’s Termination of Service and subject to any applicable provisions of this Section 9; and</w:t>
      </w:r>
    </w:p>
    <w:p>
      <w:pPr>
        <w:spacing w:after="0" w:line="181" w:lineRule="exact"/>
        <w:rPr>
          <w:sz w:val="20"/>
          <w:szCs w:val="20"/>
          <w:color w:val="auto"/>
        </w:rPr>
      </w:pPr>
    </w:p>
    <w:p>
      <w:pPr>
        <w:jc w:val="both"/>
        <w:ind w:left="1304" w:hanging="870"/>
        <w:spacing w:after="0" w:line="261" w:lineRule="auto"/>
        <w:tabs>
          <w:tab w:leader="none" w:pos="1354" w:val="left"/>
        </w:tabs>
        <w:numPr>
          <w:ilvl w:val="1"/>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if no Change in Control occurs within the three (3) month period following the Participant’s Termination of Service, terminate and be of no further force or effect except as otherwise provided by the Administrator or in a written agreement between the Company and the Participant.</w:t>
      </w:r>
    </w:p>
    <w:p>
      <w:pPr>
        <w:spacing w:after="0" w:line="177" w:lineRule="exact"/>
        <w:rPr>
          <w:rFonts w:ascii="Times New Roman" w:cs="Times New Roman" w:eastAsia="Times New Roman" w:hAnsi="Times New Roman"/>
          <w:sz w:val="20"/>
          <w:szCs w:val="20"/>
          <w:i w:val="1"/>
          <w:iCs w:val="1"/>
          <w:color w:val="auto"/>
        </w:rPr>
      </w:pPr>
    </w:p>
    <w:p>
      <w:pPr>
        <w:jc w:val="both"/>
        <w:ind w:left="644" w:hanging="644"/>
        <w:spacing w:after="0" w:line="263" w:lineRule="auto"/>
        <w:tabs>
          <w:tab w:leader="none" w:pos="644" w:val="left"/>
        </w:tabs>
        <w:numPr>
          <w:ilvl w:val="0"/>
          <w:numId w:val="4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Treatment of Awards upon a Change in Control. </w:t>
      </w:r>
      <w:r>
        <w:rPr>
          <w:rFonts w:ascii="Times New Roman" w:cs="Times New Roman" w:eastAsia="Times New Roman" w:hAnsi="Times New Roman"/>
          <w:sz w:val="20"/>
          <w:szCs w:val="20"/>
          <w:color w:val="auto"/>
        </w:rPr>
        <w:t>In the event of a Change in Control (without regard to whether such event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also constitutes a Reorganization Event), the following provisions shall apply to all then-outstanding Awards (including any Awards that remain outstanding as of the Change in Control pursuant to Section 9(a)):</w:t>
      </w:r>
    </w:p>
    <w:p>
      <w:pPr>
        <w:spacing w:after="0" w:line="161" w:lineRule="exact"/>
        <w:rPr>
          <w:rFonts w:ascii="Times New Roman" w:cs="Times New Roman" w:eastAsia="Times New Roman" w:hAnsi="Times New Roman"/>
          <w:sz w:val="20"/>
          <w:szCs w:val="20"/>
          <w:i w:val="1"/>
          <w:iCs w:val="1"/>
          <w:color w:val="auto"/>
        </w:rPr>
      </w:pPr>
    </w:p>
    <w:p>
      <w:pPr>
        <w:jc w:val="both"/>
        <w:ind w:left="1304" w:hanging="760"/>
        <w:spacing w:after="0" w:line="251" w:lineRule="auto"/>
        <w:tabs>
          <w:tab w:leader="none" w:pos="1304" w:val="left"/>
        </w:tabs>
        <w:numPr>
          <w:ilvl w:val="1"/>
          <w:numId w:val="4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Performance Awards. </w:t>
      </w:r>
      <w:r>
        <w:rPr>
          <w:rFonts w:ascii="Times New Roman" w:cs="Times New Roman" w:eastAsia="Times New Roman" w:hAnsi="Times New Roman"/>
          <w:sz w:val="20"/>
          <w:szCs w:val="20"/>
          <w:color w:val="auto"/>
        </w:rPr>
        <w:t>If the Change in Control occurs prior to the Measurement Date for a Performance Award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vests based upon the achievement of Performance Goals and upon a Participant providing continued service to the Company, then upon the effective date of the Change in Control such Award shall be earned as to the greater of (A) the “Target” level of shares for such Award, or (B) the number of shares that would have been earned pursuant to the terms of such Award based upon performance up through and including the day prior to the date of the Change in Control; provided, however, that if the Administrator determines in its sole discretion that it is impracticable to calculate the number of shares that would have been earned under clause (B) above with respect to one or more of the applicable Performance Goals of the Award, then such Award shall be earned as to the “Target” level of shares covered by such Performance Goal(s). For the avoidance of doubt, any deemed satisfaction of Performance Goals as described in this Section 9(b)(i) shall occur prior to the assumption, substitution, or accelerated vesting of such Award as provided in this Section 9(b) or in Section 9(c).</w:t>
      </w:r>
    </w:p>
    <w:p>
      <w:pPr>
        <w:spacing w:after="0" w:line="189" w:lineRule="exact"/>
        <w:rPr>
          <w:sz w:val="20"/>
          <w:szCs w:val="20"/>
          <w:color w:val="auto"/>
        </w:rPr>
      </w:pPr>
    </w:p>
    <w:p>
      <w:pPr>
        <w:jc w:val="both"/>
        <w:ind w:left="1304" w:hanging="815"/>
        <w:spacing w:after="0" w:line="250" w:lineRule="auto"/>
        <w:tabs>
          <w:tab w:leader="none" w:pos="1304" w:val="left"/>
        </w:tabs>
        <w:numPr>
          <w:ilvl w:val="0"/>
          <w:numId w:val="4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Awards Not Assumed. </w:t>
      </w:r>
      <w:r>
        <w:rPr>
          <w:rFonts w:ascii="Times New Roman" w:cs="Times New Roman" w:eastAsia="Times New Roman" w:hAnsi="Times New Roman"/>
          <w:sz w:val="20"/>
          <w:szCs w:val="20"/>
          <w:color w:val="auto"/>
        </w:rPr>
        <w:t>In the event that the successor or surviving company in the Change in Control does not agree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assume, or substitute for, an outstanding Award (or in the event that the Company is the ultimate parent corporation in the Change in Control and does not agree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Administrator, then such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Award, after giving effect to any deemed satisfaction of Performance Goals as described in Section 9(b)(i). If an Award becomes exercisable pursuant to this Section 9(b)(ii), the Administrator shall notify the Participant that the Award shall be fully exercisable beginning prior to the Change in Control contingent on the occurrence of the Change in Control, and the Award shall terminate on the Change in Control.</w:t>
      </w:r>
    </w:p>
    <w:p>
      <w:pPr>
        <w:spacing w:after="0" w:line="193" w:lineRule="exact"/>
        <w:rPr>
          <w:rFonts w:ascii="Times New Roman" w:cs="Times New Roman" w:eastAsia="Times New Roman" w:hAnsi="Times New Roman"/>
          <w:sz w:val="20"/>
          <w:szCs w:val="20"/>
          <w:i w:val="1"/>
          <w:iCs w:val="1"/>
          <w:color w:val="auto"/>
        </w:rPr>
      </w:pPr>
    </w:p>
    <w:p>
      <w:pPr>
        <w:jc w:val="both"/>
        <w:ind w:left="1304" w:hanging="870"/>
        <w:spacing w:after="0" w:line="255" w:lineRule="auto"/>
        <w:tabs>
          <w:tab w:leader="none" w:pos="1304" w:val="left"/>
        </w:tabs>
        <w:numPr>
          <w:ilvl w:val="0"/>
          <w:numId w:val="4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Awards Assumed. </w:t>
      </w:r>
      <w:r>
        <w:rPr>
          <w:rFonts w:ascii="Times New Roman" w:cs="Times New Roman" w:eastAsia="Times New Roman" w:hAnsi="Times New Roman"/>
          <w:sz w:val="20"/>
          <w:szCs w:val="20"/>
          <w:color w:val="auto"/>
        </w:rPr>
        <w:t>In the event that the successor or surviving company in the Change in Control agrees to assume,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substitute for, an outstanding Award (or in the event that the Company is the ultimate parent corporation in the Change in Control and agrees to continue the Award) on substantially similar terms with substantially equivalent economic benefits (which benefits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584"/>
          </w:cols>
          <w:pgMar w:left="976" w:top="1413" w:right="339" w:bottom="1440" w:gutter="0" w:footer="0" w:header="0"/>
        </w:sectPr>
      </w:pPr>
    </w:p>
    <w:bookmarkStart w:id="41" w:name="page42"/>
    <w:bookmarkEnd w:id="41"/>
    <w:p>
      <w:pPr>
        <w:jc w:val="both"/>
        <w:ind w:left="1960"/>
        <w:spacing w:after="0" w:line="253" w:lineRule="auto"/>
        <w:rPr>
          <w:sz w:val="20"/>
          <w:szCs w:val="20"/>
          <w:color w:val="auto"/>
        </w:rPr>
      </w:pPr>
      <w:r>
        <w:rPr>
          <w:rFonts w:ascii="Times New Roman" w:cs="Times New Roman" w:eastAsia="Times New Roman" w:hAnsi="Times New Roman"/>
          <w:sz w:val="20"/>
          <w:szCs w:val="20"/>
          <w:color w:val="auto"/>
        </w:rPr>
        <w:t>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9(b)(i)), as determined in the sole discretion of the Administrator, then for the avoidance of doubt, such Award shall, following the Change in Control, continue to be subject to the same time-based vesting schedule to which the Award was subject immediately prior to the Change in Control.</w:t>
      </w:r>
    </w:p>
    <w:p>
      <w:pPr>
        <w:spacing w:after="0" w:line="188" w:lineRule="exact"/>
        <w:rPr>
          <w:sz w:val="20"/>
          <w:szCs w:val="20"/>
          <w:color w:val="auto"/>
        </w:rPr>
      </w:pPr>
    </w:p>
    <w:p>
      <w:pPr>
        <w:jc w:val="both"/>
        <w:ind w:left="1300" w:hanging="644"/>
        <w:spacing w:after="0" w:line="249" w:lineRule="auto"/>
        <w:tabs>
          <w:tab w:leader="none" w:pos="1289" w:val="left"/>
        </w:tabs>
        <w:numPr>
          <w:ilvl w:val="1"/>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Treatment of Awards upon a Qualifying Termination. </w:t>
      </w:r>
      <w:r>
        <w:rPr>
          <w:rFonts w:ascii="Times New Roman" w:cs="Times New Roman" w:eastAsia="Times New Roman" w:hAnsi="Times New Roman"/>
          <w:sz w:val="20"/>
          <w:szCs w:val="20"/>
          <w:color w:val="auto"/>
        </w:rPr>
        <w:t>Subject to the provisions of Section 13(f), in the event that a Participant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experiences a Qualifying Termination, each outstanding and unvested Award under the Plan held by the Participant on the Equity Acceleration Date that, pursuant to its terms and after giving effect to any deemed satisfaction of Performance Goals as described in Section 9(b)(i) and any deemed continued employment through the effective date of the Change in Control as described in Section 9(a), vests solely based upon providing continued service to the Company (or, if applicable, a successor corporation to the Company), including, without limitation, Options, SARs, Restricted Stock Awards, and Performance Awards that are earned but unissued, shall on the Equity Acceleration Date automatically become vested, exercisable, and issuable, and any forfeiture restrictions thereon shall immediately lapse, as applicable, in each case, with respect to one-hundred percent (100%) of that number of then-unvested shares underlying such Award. For the avoidance of doubt, the reference in this Section 9(c) to “Performance Awards that are earned but unissued” shall include any Awards (i) for which the Measurement Date occurs on or prior to the effective date of the Change in Control, and (ii) for which the Change in Control occurs prior to the Measurement Date and which are upon the Change in Control converted into, or substituted by, Awards vesting solely based upon providing continued service to the Company or its successor, pursuant to Section 9(b) above.</w:t>
      </w:r>
    </w:p>
    <w:p>
      <w:pPr>
        <w:spacing w:after="0" w:line="196" w:lineRule="exact"/>
        <w:rPr>
          <w:rFonts w:ascii="Times New Roman" w:cs="Times New Roman" w:eastAsia="Times New Roman" w:hAnsi="Times New Roman"/>
          <w:sz w:val="20"/>
          <w:szCs w:val="20"/>
          <w:i w:val="1"/>
          <w:iCs w:val="1"/>
          <w:color w:val="auto"/>
        </w:rPr>
      </w:pPr>
    </w:p>
    <w:p>
      <w:pPr>
        <w:jc w:val="both"/>
        <w:ind w:left="1300" w:hanging="644"/>
        <w:spacing w:after="0" w:line="263" w:lineRule="auto"/>
        <w:tabs>
          <w:tab w:leader="none" w:pos="1300" w:val="left"/>
        </w:tabs>
        <w:numPr>
          <w:ilvl w:val="1"/>
          <w:numId w:val="4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Share Issuance. </w:t>
      </w:r>
      <w:r>
        <w:rPr>
          <w:rFonts w:ascii="Times New Roman" w:cs="Times New Roman" w:eastAsia="Times New Roman" w:hAnsi="Times New Roman"/>
          <w:sz w:val="20"/>
          <w:szCs w:val="20"/>
          <w:color w:val="auto"/>
        </w:rPr>
        <w:t>Subject to Section 12(f), any shares of Common Stock that are issued pursuant to Section 9(b)(ii)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9(c) shall be issued to the applicable Participant on, or as soon as practicable (but not more than sixty (60) days) after, the Equity Acceleration Date (or such later date as may be required by Section 13(f)).</w:t>
      </w:r>
    </w:p>
    <w:p>
      <w:pPr>
        <w:spacing w:after="0" w:line="184" w:lineRule="exact"/>
        <w:rPr>
          <w:rFonts w:ascii="Times New Roman" w:cs="Times New Roman" w:eastAsia="Times New Roman" w:hAnsi="Times New Roman"/>
          <w:sz w:val="20"/>
          <w:szCs w:val="20"/>
          <w:i w:val="1"/>
          <w:iCs w:val="1"/>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Changes in Common Stock and Reorganization Events</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52" w:lineRule="auto"/>
        <w:tabs>
          <w:tab w:leader="none" w:pos="1300" w:val="left"/>
        </w:tabs>
        <w:numPr>
          <w:ilvl w:val="1"/>
          <w:numId w:val="4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Changes in Capitalization. </w:t>
      </w:r>
      <w:r>
        <w:rPr>
          <w:rFonts w:ascii="Times New Roman" w:cs="Times New Roman" w:eastAsia="Times New Roman" w:hAnsi="Times New Roman"/>
          <w:sz w:val="20"/>
          <w:szCs w:val="20"/>
          <w:color w:val="auto"/>
        </w:rPr>
        <w:t>In the event of any stock split, reverse stock split, stock dividend, recapitalization, combination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reclassification of shares, spinoff or other similar change in capitalization or event, or any distribution to holders of Common Stock other than an ordinary cash dividend, (i) the number and class of securities available under this Plan, (ii) the Award Limit set forth in Section 4(e), (iii) the number and class of securities and exercise price per share of each outstanding Option, (iv) the share- and per-share provisions of each Stock Appreciation Right, (v) the repurchase price per share subject to each outstanding award of Restricted Stock and (vi) the share- and per-share provisions of each outstanding Restricted Stock Unit Award and each outstanding Other Stock Unit Award, shall be appropriately adjusted by the Company (or substituted Awards may be made, if applicable) to the extent determined by the Board.</w:t>
      </w:r>
    </w:p>
    <w:p>
      <w:pPr>
        <w:spacing w:after="0" w:line="187" w:lineRule="exact"/>
        <w:rPr>
          <w:rFonts w:ascii="Times New Roman" w:cs="Times New Roman" w:eastAsia="Times New Roman" w:hAnsi="Times New Roman"/>
          <w:sz w:val="20"/>
          <w:szCs w:val="20"/>
          <w:i w:val="1"/>
          <w:iCs w:val="1"/>
          <w:color w:val="auto"/>
        </w:rPr>
      </w:pPr>
    </w:p>
    <w:p>
      <w:pPr>
        <w:jc w:val="both"/>
        <w:ind w:left="1300" w:hanging="644"/>
        <w:spacing w:after="0" w:line="271" w:lineRule="auto"/>
        <w:tabs>
          <w:tab w:leader="none" w:pos="1300" w:val="left"/>
        </w:tabs>
        <w:numPr>
          <w:ilvl w:val="1"/>
          <w:numId w:val="4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Consequences of a Reorganization Event on Awards Other than Restricted Stock. </w:t>
      </w:r>
      <w:r>
        <w:rPr>
          <w:rFonts w:ascii="Times New Roman" w:cs="Times New Roman" w:eastAsia="Times New Roman" w:hAnsi="Times New Roman"/>
          <w:sz w:val="19"/>
          <w:szCs w:val="19"/>
          <w:color w:val="auto"/>
        </w:rPr>
        <w:t>In connection with a Reorganization Event,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Board shall take any one or more of the following actions as to all or any outstanding Awards other than Restricted Stock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Options or other unexercised Awards shall become exercisable in full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42" w:name="page43"/>
    <w:bookmarkEnd w:id="42"/>
    <w:p>
      <w:pPr>
        <w:spacing w:after="0" w:line="189" w:lineRule="exact"/>
        <w:rPr>
          <w:sz w:val="20"/>
          <w:szCs w:val="20"/>
          <w:color w:val="auto"/>
        </w:rPr>
      </w:pPr>
    </w:p>
    <w:p>
      <w:pPr>
        <w:jc w:val="both"/>
        <w:ind w:left="1300"/>
        <w:spacing w:after="0" w:line="267" w:lineRule="auto"/>
        <w:rPr>
          <w:sz w:val="20"/>
          <w:szCs w:val="20"/>
          <w:color w:val="auto"/>
        </w:rPr>
      </w:pPr>
      <w:r>
        <w:rPr>
          <w:rFonts w:ascii="Times New Roman" w:cs="Times New Roman" w:eastAsia="Times New Roman" w:hAnsi="Times New Roman"/>
          <w:sz w:val="19"/>
          <w:szCs w:val="19"/>
          <w:color w:val="auto"/>
        </w:rPr>
        <w:t>terminate immediately prior to the consummation of such Reorganization Event unless exercised by the Participant within a specified period following the date of such notice, (iii) provide that outstanding Awards shall become realizable or deliverable, or restrictions applicable to an Award shall lapse, in whole or in part prior to or upon such Reorganization Event,</w:t>
      </w:r>
    </w:p>
    <w:p>
      <w:pPr>
        <w:spacing w:after="0" w:line="2" w:lineRule="exact"/>
        <w:rPr>
          <w:sz w:val="20"/>
          <w:szCs w:val="20"/>
          <w:color w:val="auto"/>
        </w:rPr>
      </w:pPr>
    </w:p>
    <w:p>
      <w:pPr>
        <w:jc w:val="both"/>
        <w:ind w:left="1300" w:firstLine="4"/>
        <w:spacing w:after="0" w:line="249" w:lineRule="auto"/>
        <w:tabs>
          <w:tab w:leader="none" w:pos="168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20"/>
          <w:szCs w:val="20"/>
          <w:b w:val="1"/>
          <w:bCs w:val="1"/>
          <w:i w:val="1"/>
          <w:iCs w:val="1"/>
          <w:color w:val="auto"/>
        </w:rPr>
        <w:t>Acquisition Price</w:t>
      </w:r>
      <w:r>
        <w:rPr>
          <w:rFonts w:ascii="Times New Roman" w:cs="Times New Roman" w:eastAsia="Times New Roman" w:hAnsi="Times New Roman"/>
          <w:sz w:val="20"/>
          <w:szCs w:val="20"/>
          <w:color w:val="auto"/>
        </w:rPr>
        <w:t>”), make or provide for a cash payment to a Participant equal to (A) the Acquisition Price times the number of shares of Common Stock subject to the Participant’s Options or other Awards (to the 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purposes of subsection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To the extent all or any portion of an Option becomes exercisable solely as a result of subsection (ii) above, the Board may provide that upon exercise of such Option the Participant shall receive shares subject to a right of repurchase by the Company or its successor at the Option exercise price; such repurchase right (x) shall lapse at the same rate as the Option would have become exercisable under its terms and</w:t>
      </w:r>
    </w:p>
    <w:p>
      <w:pPr>
        <w:ind w:left="280" w:hanging="272"/>
        <w:spacing w:after="0"/>
        <w:tabs>
          <w:tab w:leader="none" w:pos="2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apply to any shares subject to the Option that were exercisable under its terms without regard to subsection (ii) above.</w:t>
      </w:r>
    </w:p>
    <w:p>
      <w:pPr>
        <w:spacing w:after="0" w:line="203" w:lineRule="exact"/>
        <w:rPr>
          <w:rFonts w:ascii="Times New Roman" w:cs="Times New Roman" w:eastAsia="Times New Roman" w:hAnsi="Times New Roman"/>
          <w:sz w:val="20"/>
          <w:szCs w:val="20"/>
          <w:color w:val="auto"/>
        </w:rPr>
      </w:pPr>
    </w:p>
    <w:p>
      <w:pPr>
        <w:ind w:left="1300" w:hanging="648"/>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c.Consequences of a Reorganization Event on Awards of Restricted Stock. </w:t>
      </w:r>
      <w:r>
        <w:rPr>
          <w:rFonts w:ascii="Times New Roman" w:cs="Times New Roman" w:eastAsia="Times New Roman" w:hAnsi="Times New Roman"/>
          <w:sz w:val="20"/>
          <w:szCs w:val="20"/>
          <w:color w:val="auto"/>
        </w:rPr>
        <w:t>Upon the occurrence of a Reorganization Event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than a liquidation or dissolution of the Company, the repurchase and other rights of the Company under each outstanding Award of Restricted Stock shall inure to the benefit of the Company’s successor and shall apply to the cash, securities or other property that the Common Stock was converted into or exchanged for pursuant to such Reorganization Event in the same manner and to the same extent as they applied to the Common Stock subject to such Award of Restricted Stock. Upon the occurrence of a Reorganization Event involving the liquidation or dissolution of the Company, except to the extent specifically provided to the contrary in the instrument evidencing any Award of Restricted Stock or any other agreement between a Participant and the Company, all restrictions and conditions on all Awards of Restricted Stock then outstanding shall automatically be deemed terminated or satisfied.</w:t>
      </w:r>
    </w:p>
    <w:p>
      <w:pPr>
        <w:spacing w:after="0" w:line="185" w:lineRule="exact"/>
        <w:rPr>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Service Due to Death or Disability</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60" w:lineRule="auto"/>
        <w:tabs>
          <w:tab w:leader="none" w:pos="1300" w:val="left"/>
        </w:tabs>
        <w:numPr>
          <w:ilvl w:val="1"/>
          <w:numId w:val="4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Acceleration of Awards. </w:t>
      </w:r>
      <w:r>
        <w:rPr>
          <w:rFonts w:ascii="Times New Roman" w:cs="Times New Roman" w:eastAsia="Times New Roman" w:hAnsi="Times New Roman"/>
          <w:sz w:val="20"/>
          <w:szCs w:val="20"/>
          <w:color w:val="auto"/>
        </w:rPr>
        <w:t>In the event that a Participant experiences a Termination of Service due to death or Disability,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of such Termination of Service each outstanding and unvested Award under the Plan held by the Participant that, pursuant to its terms, vests solely based upon providing continued service to the Company, including, without limitation, Options, SARs, Restricted Stock Awards,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89" w:lineRule="exact"/>
        <w:rPr>
          <w:sz w:val="20"/>
          <w:szCs w:val="20"/>
          <w:color w:val="auto"/>
        </w:rPr>
      </w:pPr>
    </w:p>
    <w:p>
      <w:pPr>
        <w:jc w:val="both"/>
        <w:ind w:left="1292"/>
        <w:spacing w:after="0" w:line="261" w:lineRule="auto"/>
        <w:rPr>
          <w:sz w:val="20"/>
          <w:szCs w:val="20"/>
          <w:color w:val="auto"/>
        </w:rPr>
      </w:pPr>
      <w:r>
        <w:rPr>
          <w:rFonts w:ascii="Times New Roman" w:cs="Times New Roman" w:eastAsia="Times New Roman" w:hAnsi="Times New Roman"/>
          <w:sz w:val="20"/>
          <w:szCs w:val="20"/>
          <w:color w:val="auto"/>
        </w:rPr>
        <w:t>Performance Awards that are earned but unissued, shall automatically become vested, exercisable, and issuable, and any forfeiture restrictions thereon shall immediately lapse, as applicable, in each case, with respect to one-hundred percent (100%) of that number of then-unvested shares underlying such Award.</w:t>
      </w:r>
    </w:p>
    <w:p>
      <w:pPr>
        <w:spacing w:after="0" w:line="177" w:lineRule="exact"/>
        <w:rPr>
          <w:sz w:val="20"/>
          <w:szCs w:val="20"/>
          <w:color w:val="auto"/>
        </w:rPr>
      </w:pPr>
    </w:p>
    <w:p>
      <w:pPr>
        <w:jc w:val="both"/>
        <w:ind w:left="1292" w:hanging="644"/>
        <w:spacing w:after="0" w:line="252" w:lineRule="auto"/>
        <w:tabs>
          <w:tab w:leader="none" w:pos="1292" w:val="left"/>
        </w:tabs>
        <w:numPr>
          <w:ilvl w:val="0"/>
          <w:numId w:val="5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Performance Awards. </w:t>
      </w:r>
      <w:r>
        <w:rPr>
          <w:rFonts w:ascii="Times New Roman" w:cs="Times New Roman" w:eastAsia="Times New Roman" w:hAnsi="Times New Roman"/>
          <w:sz w:val="20"/>
          <w:szCs w:val="20"/>
          <w:color w:val="auto"/>
        </w:rPr>
        <w:t>In the event that a Participant holds a Performance Award that vests based upon the achievement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Goals and upon providing continued service to the Company and the Participant’s Termination of Service due to death or Disability occurs prior to the Measurement Date for such Award, then such Award shall, as of the Measurement Date, (i) be earned as to the greater of (A) the “Target” level of shares for such Award, or (B) the number of shares that would have been earned pursuant to the terms of such Award had the Participant remained employed through the Measurement Date, and (ii) automatically become vested, exercisable, and issuable, and any forfeiture restrictions thereon shall immediately lapse, as applicable, in each case, as of the Measurement Date, with respect to one-hundred percent (100%) of that number of then-unvested shares underlying such equity Award that are earned pursuant to subsection (i) above.</w:t>
      </w:r>
    </w:p>
    <w:p>
      <w:pPr>
        <w:spacing w:after="0" w:line="175" w:lineRule="exact"/>
        <w:rPr>
          <w:rFonts w:ascii="Times New Roman" w:cs="Times New Roman" w:eastAsia="Times New Roman" w:hAnsi="Times New Roman"/>
          <w:sz w:val="20"/>
          <w:szCs w:val="20"/>
          <w:i w:val="1"/>
          <w:iCs w:val="1"/>
          <w:color w:val="auto"/>
        </w:rPr>
      </w:pPr>
    </w:p>
    <w:p>
      <w:pPr>
        <w:ind w:left="1292" w:hanging="644"/>
        <w:spacing w:after="0"/>
        <w:tabs>
          <w:tab w:leader="none" w:pos="1292" w:val="left"/>
        </w:tabs>
        <w:numPr>
          <w:ilvl w:val="0"/>
          <w:numId w:val="5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Share Issuance. </w:t>
      </w:r>
      <w:r>
        <w:rPr>
          <w:rFonts w:ascii="Times New Roman" w:cs="Times New Roman" w:eastAsia="Times New Roman" w:hAnsi="Times New Roman"/>
          <w:sz w:val="20"/>
          <w:szCs w:val="20"/>
          <w:color w:val="auto"/>
        </w:rPr>
        <w:t>Subject to Section 12(f), any shares of Common Stock that are issued pursuant to Section 11(a) shall be</w:t>
      </w:r>
    </w:p>
    <w:p>
      <w:pPr>
        <w:spacing w:after="0" w:line="3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0"/>
          <w:szCs w:val="20"/>
          <w:color w:val="auto"/>
        </w:rPr>
        <w:t>issued to the Participant (or to the Participant’s estate, if applicable) on, or as soon as practicable (but not more than sixty</w:t>
      </w:r>
    </w:p>
    <w:p>
      <w:pPr>
        <w:spacing w:after="0" w:line="6" w:lineRule="exact"/>
        <w:rPr>
          <w:sz w:val="20"/>
          <w:szCs w:val="20"/>
          <w:color w:val="auto"/>
        </w:rPr>
      </w:pPr>
    </w:p>
    <w:p>
      <w:pPr>
        <w:jc w:val="both"/>
        <w:ind w:left="1292"/>
        <w:spacing w:after="0" w:line="251" w:lineRule="auto"/>
        <w:rPr>
          <w:sz w:val="20"/>
          <w:szCs w:val="20"/>
          <w:color w:val="auto"/>
        </w:rPr>
      </w:pPr>
      <w:r>
        <w:rPr>
          <w:rFonts w:ascii="Times New Roman" w:cs="Times New Roman" w:eastAsia="Times New Roman" w:hAnsi="Times New Roman"/>
          <w:sz w:val="20"/>
          <w:szCs w:val="20"/>
          <w:color w:val="auto"/>
        </w:rPr>
        <w:t>(60) days) after, the date of the Participant’s Termination of Service (or such later date as may be required by Section 13(f)). Subject to Section 12(f), any shares of Common Stock that are issued pursuant to Section 11(b) shall be issued to the Participant (or to the Participant’s estate, if applicable) on, or as soon as practicable (but not more than sixty (60) days) after, the Measurement Date.</w:t>
      </w:r>
    </w:p>
    <w:p>
      <w:pPr>
        <w:spacing w:after="0" w:line="186" w:lineRule="exact"/>
        <w:rPr>
          <w:sz w:val="20"/>
          <w:szCs w:val="20"/>
          <w:color w:val="auto"/>
        </w:rPr>
      </w:pPr>
    </w:p>
    <w:p>
      <w:pPr>
        <w:jc w:val="both"/>
        <w:ind w:left="1292" w:hanging="644"/>
        <w:spacing w:after="0" w:line="264" w:lineRule="auto"/>
        <w:tabs>
          <w:tab w:leader="none" w:pos="1292" w:val="left"/>
        </w:tabs>
        <w:numPr>
          <w:ilvl w:val="1"/>
          <w:numId w:val="5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Exercise Period of Options Upon Death. </w:t>
      </w:r>
      <w:r>
        <w:rPr>
          <w:rFonts w:ascii="Times New Roman" w:cs="Times New Roman" w:eastAsia="Times New Roman" w:hAnsi="Times New Roman"/>
          <w:sz w:val="19"/>
          <w:szCs w:val="19"/>
          <w:color w:val="auto"/>
        </w:rPr>
        <w:t>Except as otherwise provided (i) in an employment agreement, severance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death (including any Options that become vested and exercisable pursuant to Section 11(a)) shall remain exercisable for a period of time expiring on the earlier of (a) the one (1) year anniversary of the Participant’s Termination of Service due to death, and</w:t>
      </w:r>
    </w:p>
    <w:p>
      <w:pPr>
        <w:spacing w:after="0" w:line="1" w:lineRule="exact"/>
        <w:rPr>
          <w:rFonts w:ascii="Times New Roman" w:cs="Times New Roman" w:eastAsia="Times New Roman" w:hAnsi="Times New Roman"/>
          <w:sz w:val="19"/>
          <w:szCs w:val="19"/>
          <w:i w:val="1"/>
          <w:iCs w:val="1"/>
          <w:color w:val="auto"/>
        </w:rPr>
      </w:pPr>
    </w:p>
    <w:p>
      <w:pPr>
        <w:ind w:left="1292"/>
        <w:spacing w:after="0" w:line="260" w:lineRule="auto"/>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20"/>
          <w:szCs w:val="20"/>
          <w:color w:val="auto"/>
        </w:rPr>
        <w:t>(b) the final expiration date of such Options as set forth in the applicable Award Agreement, subject to the other terms and conditions of such Award Agreement.</w:t>
      </w:r>
    </w:p>
    <w:p>
      <w:pPr>
        <w:spacing w:after="0" w:line="164" w:lineRule="exact"/>
        <w:rPr>
          <w:rFonts w:ascii="Times New Roman" w:cs="Times New Roman" w:eastAsia="Times New Roman" w:hAnsi="Times New Roman"/>
          <w:sz w:val="19"/>
          <w:szCs w:val="19"/>
          <w:i w:val="1"/>
          <w:iCs w:val="1"/>
          <w:color w:val="auto"/>
        </w:rPr>
      </w:pPr>
    </w:p>
    <w:p>
      <w:pPr>
        <w:jc w:val="both"/>
        <w:ind w:left="1292" w:hanging="644"/>
        <w:spacing w:after="0" w:line="254" w:lineRule="auto"/>
        <w:tabs>
          <w:tab w:leader="none" w:pos="1281" w:val="left"/>
        </w:tabs>
        <w:numPr>
          <w:ilvl w:val="1"/>
          <w:numId w:val="5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Exercise Period of Options Upon Disability. </w:t>
      </w:r>
      <w:r>
        <w:rPr>
          <w:rFonts w:ascii="Times New Roman" w:cs="Times New Roman" w:eastAsia="Times New Roman" w:hAnsi="Times New Roman"/>
          <w:sz w:val="20"/>
          <w:szCs w:val="20"/>
          <w:color w:val="auto"/>
        </w:rPr>
        <w:t>Except as otherwise provided (i) in an employment agreement, severance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Disability (including any Options that become vested and exercisable pursuant to Section 11(a)) shall remain exercisable for a period of time expiring on the earlier of (a) the six (6) month anniversary of the Participant’s Termination of Service due to Disability, and (b) the final expiration date of such Options as set forth in the applicable Award Agreement, subject to the other terms and conditions of such Award Agreement.</w:t>
      </w:r>
    </w:p>
    <w:p>
      <w:pPr>
        <w:spacing w:after="0" w:line="181" w:lineRule="exact"/>
        <w:rPr>
          <w:rFonts w:ascii="Times New Roman" w:cs="Times New Roman" w:eastAsia="Times New Roman" w:hAnsi="Times New Roman"/>
          <w:sz w:val="20"/>
          <w:szCs w:val="20"/>
          <w:i w:val="1"/>
          <w:iCs w:val="1"/>
          <w:color w:val="auto"/>
        </w:rPr>
      </w:pPr>
    </w:p>
    <w:p>
      <w:pPr>
        <w:ind w:left="652" w:hanging="652"/>
        <w:spacing w:after="0"/>
        <w:tabs>
          <w:tab w:leader="none" w:pos="652"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 Applicable to Awards</w:t>
      </w:r>
    </w:p>
    <w:p>
      <w:pPr>
        <w:spacing w:after="0" w:line="210" w:lineRule="exact"/>
        <w:rPr>
          <w:rFonts w:ascii="Times New Roman" w:cs="Times New Roman" w:eastAsia="Times New Roman" w:hAnsi="Times New Roman"/>
          <w:sz w:val="22"/>
          <w:szCs w:val="22"/>
          <w:b w:val="1"/>
          <w:bCs w:val="1"/>
          <w:color w:val="auto"/>
        </w:rPr>
      </w:pPr>
    </w:p>
    <w:p>
      <w:pPr>
        <w:jc w:val="both"/>
        <w:ind w:left="1292" w:hanging="644"/>
        <w:spacing w:after="0" w:line="270" w:lineRule="auto"/>
        <w:tabs>
          <w:tab w:leader="none" w:pos="1292" w:val="left"/>
        </w:tabs>
        <w:numPr>
          <w:ilvl w:val="1"/>
          <w:numId w:val="5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Transferability of Awards. </w:t>
      </w:r>
      <w:r>
        <w:rPr>
          <w:rFonts w:ascii="Times New Roman" w:cs="Times New Roman" w:eastAsia="Times New Roman" w:hAnsi="Times New Roman"/>
          <w:sz w:val="20"/>
          <w:szCs w:val="20"/>
          <w:color w:val="auto"/>
        </w:rPr>
        <w:t>Except as the Administrator may otherwise determine or provide in an Award, Awards shall not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sold, assigned, transferred, pledged or otherwise encumbered by the person to whom they are granted, either voluntarily or by operation of law, except by will or the laws of descent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32"/>
          </w:cols>
          <w:pgMar w:left="328" w:top="1440" w:right="339" w:bottom="1440" w:gutter="0" w:footer="0" w:header="0"/>
        </w:sectPr>
      </w:pPr>
    </w:p>
    <w:bookmarkStart w:id="44" w:name="page45"/>
    <w:bookmarkEnd w:id="44"/>
    <w:p>
      <w:pPr>
        <w:spacing w:after="0" w:line="189" w:lineRule="exact"/>
        <w:rPr>
          <w:sz w:val="20"/>
          <w:szCs w:val="20"/>
          <w:color w:val="auto"/>
        </w:rPr>
      </w:pPr>
    </w:p>
    <w:p>
      <w:pPr>
        <w:ind w:left="644"/>
        <w:spacing w:after="0" w:line="283" w:lineRule="auto"/>
        <w:rPr>
          <w:sz w:val="20"/>
          <w:szCs w:val="20"/>
          <w:color w:val="auto"/>
        </w:rPr>
      </w:pPr>
      <w:r>
        <w:rPr>
          <w:rFonts w:ascii="Times New Roman" w:cs="Times New Roman" w:eastAsia="Times New Roman" w:hAnsi="Times New Roman"/>
          <w:sz w:val="20"/>
          <w:szCs w:val="20"/>
          <w:color w:val="auto"/>
        </w:rPr>
        <w:t>distribution and, during the life of the Participant, shall be exercisable only by the Participant. References to a Participant, to the extent relevant in the context, shall include references to authorized transferees.</w:t>
      </w:r>
    </w:p>
    <w:p>
      <w:pPr>
        <w:spacing w:after="0" w:line="142" w:lineRule="exact"/>
        <w:rPr>
          <w:sz w:val="20"/>
          <w:szCs w:val="20"/>
          <w:color w:val="auto"/>
        </w:rPr>
      </w:pPr>
    </w:p>
    <w:p>
      <w:pPr>
        <w:ind w:left="644" w:hanging="644"/>
        <w:spacing w:after="0"/>
        <w:tabs>
          <w:tab w:leader="none" w:pos="644" w:val="left"/>
        </w:tabs>
        <w:numPr>
          <w:ilvl w:val="0"/>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Award Agreement. </w:t>
      </w:r>
      <w:r>
        <w:rPr>
          <w:rFonts w:ascii="Times New Roman" w:cs="Times New Roman" w:eastAsia="Times New Roman" w:hAnsi="Times New Roman"/>
          <w:sz w:val="20"/>
          <w:szCs w:val="20"/>
          <w:color w:val="auto"/>
        </w:rPr>
        <w:t>Each Award shall be evidenced by an Award Agreement (which may be electronic).</w:t>
      </w:r>
    </w:p>
    <w:p>
      <w:pPr>
        <w:spacing w:after="0" w:line="229" w:lineRule="exact"/>
        <w:rPr>
          <w:rFonts w:ascii="Times New Roman" w:cs="Times New Roman" w:eastAsia="Times New Roman" w:hAnsi="Times New Roman"/>
          <w:sz w:val="20"/>
          <w:szCs w:val="20"/>
          <w:i w:val="1"/>
          <w:iCs w:val="1"/>
          <w:color w:val="auto"/>
        </w:rPr>
      </w:pPr>
    </w:p>
    <w:p>
      <w:pPr>
        <w:jc w:val="both"/>
        <w:ind w:left="644" w:hanging="644"/>
        <w:spacing w:after="0" w:line="254" w:lineRule="auto"/>
        <w:tabs>
          <w:tab w:leader="none" w:pos="633" w:val="left"/>
        </w:tabs>
        <w:numPr>
          <w:ilvl w:val="0"/>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Limitations Applicable to Section 16 Persons. </w:t>
      </w:r>
      <w:r>
        <w:rPr>
          <w:rFonts w:ascii="Times New Roman" w:cs="Times New Roman" w:eastAsia="Times New Roman" w:hAnsi="Times New Roman"/>
          <w:sz w:val="20"/>
          <w:szCs w:val="20"/>
          <w:color w:val="auto"/>
        </w:rPr>
        <w:t>Notwithstanding any other provision of the Plan, the Plan and any Award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granted or awarded to any individual who is then subject to Section 16 of the Exchange Act shall be subject to any additional limitations set forth in any applicable exemptive rule under Section 16 of the Exchange Act (including Rule 16b-3 under the Exchange Act or any successor rule)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73" w:lineRule="exact"/>
        <w:rPr>
          <w:rFonts w:ascii="Times New Roman" w:cs="Times New Roman" w:eastAsia="Times New Roman" w:hAnsi="Times New Roman"/>
          <w:sz w:val="20"/>
          <w:szCs w:val="20"/>
          <w:i w:val="1"/>
          <w:iCs w:val="1"/>
          <w:color w:val="auto"/>
        </w:rPr>
      </w:pPr>
    </w:p>
    <w:p>
      <w:pPr>
        <w:jc w:val="both"/>
        <w:ind w:left="644" w:hanging="644"/>
        <w:spacing w:after="0" w:line="270" w:lineRule="auto"/>
        <w:tabs>
          <w:tab w:leader="none" w:pos="644" w:val="left"/>
        </w:tabs>
        <w:numPr>
          <w:ilvl w:val="0"/>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Administrator Discretion. </w:t>
      </w:r>
      <w:r>
        <w:rPr>
          <w:rFonts w:ascii="Times New Roman" w:cs="Times New Roman" w:eastAsia="Times New Roman" w:hAnsi="Times New Roman"/>
          <w:sz w:val="20"/>
          <w:szCs w:val="20"/>
          <w:color w:val="auto"/>
        </w:rPr>
        <w:t>Except as otherwise provided by the Plan, each Award may be made alone or in addition or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relation to any other Award. The terms of each Award need not be identical, and the Administrator need not treat Participants uniformly.</w:t>
      </w:r>
    </w:p>
    <w:p>
      <w:pPr>
        <w:spacing w:after="0" w:line="155" w:lineRule="exact"/>
        <w:rPr>
          <w:rFonts w:ascii="Times New Roman" w:cs="Times New Roman" w:eastAsia="Times New Roman" w:hAnsi="Times New Roman"/>
          <w:sz w:val="20"/>
          <w:szCs w:val="20"/>
          <w:i w:val="1"/>
          <w:iCs w:val="1"/>
          <w:color w:val="auto"/>
        </w:rPr>
      </w:pPr>
    </w:p>
    <w:p>
      <w:pPr>
        <w:jc w:val="both"/>
        <w:ind w:left="644" w:hanging="644"/>
        <w:spacing w:after="0" w:line="260" w:lineRule="auto"/>
        <w:tabs>
          <w:tab w:leader="none" w:pos="633" w:val="left"/>
        </w:tabs>
        <w:numPr>
          <w:ilvl w:val="0"/>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Termination of Service. </w:t>
      </w:r>
      <w:r>
        <w:rPr>
          <w:rFonts w:ascii="Times New Roman" w:cs="Times New Roman" w:eastAsia="Times New Roman" w:hAnsi="Times New Roman"/>
          <w:sz w:val="20"/>
          <w:szCs w:val="20"/>
          <w:color w:val="auto"/>
        </w:rPr>
        <w:t>Subject to the provisions of Sections 9 and 11, the Administrator in its sole discretion shall determine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effect on an Award of the Disability, death, or other Termination of Service or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77" w:lineRule="exact"/>
        <w:rPr>
          <w:rFonts w:ascii="Times New Roman" w:cs="Times New Roman" w:eastAsia="Times New Roman" w:hAnsi="Times New Roman"/>
          <w:sz w:val="20"/>
          <w:szCs w:val="20"/>
          <w:i w:val="1"/>
          <w:iCs w:val="1"/>
          <w:color w:val="auto"/>
        </w:rPr>
      </w:pPr>
    </w:p>
    <w:p>
      <w:pPr>
        <w:jc w:val="both"/>
        <w:ind w:left="644" w:hanging="644"/>
        <w:spacing w:after="0" w:line="249" w:lineRule="auto"/>
        <w:tabs>
          <w:tab w:leader="none" w:pos="640" w:val="left"/>
        </w:tabs>
        <w:numPr>
          <w:ilvl w:val="0"/>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Withholding. </w:t>
      </w:r>
      <w:r>
        <w:rPr>
          <w:rFonts w:ascii="Times New Roman" w:cs="Times New Roman" w:eastAsia="Times New Roman" w:hAnsi="Times New Roman"/>
          <w:sz w:val="20"/>
          <w:szCs w:val="20"/>
          <w:color w:val="auto"/>
        </w:rPr>
        <w:t>The Company shall have the authority and the right to deduct or withhold, or require a Participant to remit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an amount sufficient to satisfy federal, state, local and foreign taxes (including applicable income and payroll taxes) required by law to be withheld with respect to any taxable event concerning a Participant arising as a result of the Plan. The Administrator may in its sole discretion and in satisfaction of the foregoing requirement allow a Participant to elect to have the Company withhold shares of Common Stock otherwise issuable under an Award (or allow the surrender of shares of Common Stock). The number of shares of Common Stock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except that, to the extent that the Company is able to withhold or receive surrendered shares of Common Stock having a Fair Market Value that exceeds the applicable minimum statutory withholding tax without financial accounting implications or the Company is withholding in a jurisdiction that does not have a minimum statutory withholding tax, the Company may withhold or allow the surrender of such number of shares of Common Stock (up to the number of shares having a Fair Market Value equal to the applicable maximum individual statutory rate of tax (determined by, or in a manner approved by, the Company)) as the Company shall determine in its sole discretion to satisfy the tax liability associated with any Award. The Administrator shall determine the fair market value of the Common Stock,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87" w:lineRule="exact"/>
        <w:rPr>
          <w:rFonts w:ascii="Times New Roman" w:cs="Times New Roman" w:eastAsia="Times New Roman" w:hAnsi="Times New Roman"/>
          <w:sz w:val="20"/>
          <w:szCs w:val="20"/>
          <w:i w:val="1"/>
          <w:iCs w:val="1"/>
          <w:color w:val="auto"/>
        </w:rPr>
      </w:pPr>
    </w:p>
    <w:p>
      <w:pPr>
        <w:ind w:left="644" w:hanging="644"/>
        <w:spacing w:after="0" w:line="287" w:lineRule="auto"/>
        <w:tabs>
          <w:tab w:leader="none" w:pos="644" w:val="left"/>
        </w:tabs>
        <w:numPr>
          <w:ilvl w:val="0"/>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Payment. </w:t>
      </w:r>
      <w:r>
        <w:rPr>
          <w:rFonts w:ascii="Times New Roman" w:cs="Times New Roman" w:eastAsia="Times New Roman" w:hAnsi="Times New Roman"/>
          <w:sz w:val="20"/>
          <w:szCs w:val="20"/>
          <w:color w:val="auto"/>
        </w:rPr>
        <w:t>The Administrator shall determine the methods by which payments shall be made by any Participant with respect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any Awards granted under the Plan, including, without limitation:</w:t>
      </w:r>
    </w:p>
    <w:p>
      <w:pPr>
        <w:spacing w:after="0" w:line="142" w:lineRule="exact"/>
        <w:rPr>
          <w:rFonts w:ascii="Times New Roman" w:cs="Times New Roman" w:eastAsia="Times New Roman" w:hAnsi="Times New Roman"/>
          <w:sz w:val="20"/>
          <w:szCs w:val="20"/>
          <w:i w:val="1"/>
          <w:iCs w:val="1"/>
          <w:color w:val="auto"/>
        </w:rPr>
      </w:pPr>
    </w:p>
    <w:p>
      <w:pPr>
        <w:ind w:left="1344" w:hanging="800"/>
        <w:spacing w:after="0"/>
        <w:tabs>
          <w:tab w:leader="none" w:pos="1344" w:val="left"/>
        </w:tabs>
        <w:numPr>
          <w:ilvl w:val="1"/>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in cash or by check, payable to the order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584"/>
          </w:cols>
          <w:pgMar w:left="976" w:top="1440" w:right="339" w:bottom="1440" w:gutter="0" w:footer="0" w:header="0"/>
        </w:sectPr>
      </w:pPr>
    </w:p>
    <w:bookmarkStart w:id="45" w:name="page46"/>
    <w:bookmarkEnd w:id="45"/>
    <w:p>
      <w:pPr>
        <w:jc w:val="both"/>
        <w:ind w:left="1304" w:hanging="815"/>
        <w:spacing w:after="0" w:line="253" w:lineRule="auto"/>
        <w:tabs>
          <w:tab w:leader="none" w:pos="1367" w:val="left"/>
        </w:tabs>
        <w:numPr>
          <w:ilvl w:val="2"/>
          <w:numId w:val="5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except as the Administrator may otherwise provide in an option agreement, by (A) delivery of an irrevocable and unconditional undertaking by a creditworthy broker to deliver promptly to the Company sufficient funds to pay the exercise price and/or any required tax withholding, or (B) delivery by the Participant to the Company of a copy of irrevocable and unconditional instructions to a creditworthy broker to deliver promptly to the Company cash or a check sufficient to pay the exercise price and/or any required tax withholding, provided, in either case, that delivery of such required payments is then made to the Company upon settlement of such sale;</w:t>
      </w:r>
    </w:p>
    <w:p>
      <w:pPr>
        <w:spacing w:after="0" w:line="192" w:lineRule="exact"/>
        <w:rPr>
          <w:rFonts w:ascii="Times New Roman" w:cs="Times New Roman" w:eastAsia="Times New Roman" w:hAnsi="Times New Roman"/>
          <w:sz w:val="20"/>
          <w:szCs w:val="20"/>
          <w:i w:val="1"/>
          <w:iCs w:val="1"/>
          <w:color w:val="auto"/>
        </w:rPr>
      </w:pPr>
    </w:p>
    <w:p>
      <w:pPr>
        <w:jc w:val="both"/>
        <w:ind w:left="1304" w:hanging="870"/>
        <w:spacing w:after="0" w:line="253" w:lineRule="auto"/>
        <w:tabs>
          <w:tab w:leader="none" w:pos="1354" w:val="left"/>
        </w:tabs>
        <w:numPr>
          <w:ilvl w:val="2"/>
          <w:numId w:val="5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when the Common Stock is registered under the Exchange Act, by delivery of shares of Common Stock owned by the Participant valued at their Fair Market Value, provided (A) such method of payment is then permitted under applicable law, (B) such Common Stock, if acquired directly from the Company, was owned by the Participant for such minimum period of time, if any, as may be established by the Administrator in its discretion and (C) such Common Stock is not subject to any repurchase, forfeiture, unfulfilled vesting or other similar requirements;</w:t>
      </w:r>
    </w:p>
    <w:p>
      <w:pPr>
        <w:spacing w:after="0" w:line="191" w:lineRule="exact"/>
        <w:rPr>
          <w:rFonts w:ascii="Times New Roman" w:cs="Times New Roman" w:eastAsia="Times New Roman" w:hAnsi="Times New Roman"/>
          <w:sz w:val="20"/>
          <w:szCs w:val="20"/>
          <w:i w:val="1"/>
          <w:iCs w:val="1"/>
          <w:color w:val="auto"/>
        </w:rPr>
      </w:pPr>
    </w:p>
    <w:p>
      <w:pPr>
        <w:ind w:left="1304" w:hanging="848"/>
        <w:spacing w:after="0" w:line="269" w:lineRule="auto"/>
        <w:tabs>
          <w:tab w:leader="none" w:pos="1339" w:val="left"/>
        </w:tabs>
        <w:numPr>
          <w:ilvl w:val="1"/>
          <w:numId w:val="5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to the extent permitted by applicable law and by the Administrator, by payment of such other lawful consideration as the Administrator may determine; or</w:t>
      </w:r>
    </w:p>
    <w:p>
      <w:pPr>
        <w:spacing w:after="0" w:line="172" w:lineRule="exact"/>
        <w:rPr>
          <w:rFonts w:ascii="Times New Roman" w:cs="Times New Roman" w:eastAsia="Times New Roman" w:hAnsi="Times New Roman"/>
          <w:sz w:val="20"/>
          <w:szCs w:val="20"/>
          <w:i w:val="1"/>
          <w:iCs w:val="1"/>
          <w:color w:val="auto"/>
        </w:rPr>
      </w:pPr>
    </w:p>
    <w:p>
      <w:pPr>
        <w:ind w:left="1324" w:hanging="813"/>
        <w:spacing w:after="0"/>
        <w:tabs>
          <w:tab w:leader="none" w:pos="1324" w:val="left"/>
        </w:tabs>
        <w:numPr>
          <w:ilvl w:val="1"/>
          <w:numId w:val="5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by any combination of the above-permitted forms of payment.</w:t>
      </w:r>
    </w:p>
    <w:p>
      <w:pPr>
        <w:spacing w:after="0" w:line="211" w:lineRule="exact"/>
        <w:rPr>
          <w:rFonts w:ascii="Times New Roman" w:cs="Times New Roman" w:eastAsia="Times New Roman" w:hAnsi="Times New Roman"/>
          <w:sz w:val="20"/>
          <w:szCs w:val="20"/>
          <w:i w:val="1"/>
          <w:iCs w:val="1"/>
          <w:color w:val="auto"/>
        </w:rPr>
      </w:pPr>
    </w:p>
    <w:p>
      <w:pPr>
        <w:jc w:val="both"/>
        <w:ind w:left="644" w:hanging="644"/>
        <w:spacing w:after="0" w:line="251" w:lineRule="auto"/>
        <w:tabs>
          <w:tab w:leader="none" w:pos="644" w:val="left"/>
        </w:tabs>
        <w:numPr>
          <w:ilvl w:val="0"/>
          <w:numId w:val="5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Accrued Dividends. </w:t>
      </w:r>
      <w:r>
        <w:rPr>
          <w:rFonts w:ascii="Times New Roman" w:cs="Times New Roman" w:eastAsia="Times New Roman" w:hAnsi="Times New Roman"/>
          <w:sz w:val="20"/>
          <w:szCs w:val="20"/>
          <w:color w:val="auto"/>
        </w:rPr>
        <w:t>Unless otherwise provided in the applicable Award Agreement, any dividends (whether paid in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or property) declared and paid by the Company with respect to shares of Restricted Stock or Dividend Equivalents granted with respect to Restricted Stock Units or other Awards (either, “</w:t>
      </w:r>
      <w:r>
        <w:rPr>
          <w:rFonts w:ascii="Times New Roman" w:cs="Times New Roman" w:eastAsia="Times New Roman" w:hAnsi="Times New Roman"/>
          <w:sz w:val="20"/>
          <w:szCs w:val="20"/>
          <w:b w:val="1"/>
          <w:bCs w:val="1"/>
          <w:i w:val="1"/>
          <w:iCs w:val="1"/>
          <w:color w:val="auto"/>
        </w:rPr>
        <w:t>Accrued Dividends</w:t>
      </w:r>
      <w:r>
        <w:rPr>
          <w:rFonts w:ascii="Times New Roman" w:cs="Times New Roman" w:eastAsia="Times New Roman" w:hAnsi="Times New Roman"/>
          <w:sz w:val="20"/>
          <w:szCs w:val="20"/>
          <w:color w:val="auto"/>
        </w:rPr>
        <w:t>”) shall be paid to the Participant only if and when such shares become free from the restrictions on transferability and forfeitability that apply to such shares or, in the case of a Restricted Stock Unit or other Award, the Award vests and the shares are delivered to the Participant. In addition, Accrued Dividends with respect to an Award with performance-based vesting that are based on dividends paid prior to the vesting of such Award shall be paid out to the Participant only to the extent that the performance-based vesting conditions are subsequently satisfied and the Award vests.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Restricted Stock Award. No interest will be paid on Accrued Dividends.</w:t>
      </w:r>
    </w:p>
    <w:p>
      <w:pPr>
        <w:spacing w:after="0" w:line="189" w:lineRule="exact"/>
        <w:rPr>
          <w:rFonts w:ascii="Times New Roman" w:cs="Times New Roman" w:eastAsia="Times New Roman" w:hAnsi="Times New Roman"/>
          <w:sz w:val="20"/>
          <w:szCs w:val="20"/>
          <w:i w:val="1"/>
          <w:iCs w:val="1"/>
          <w:color w:val="auto"/>
        </w:rPr>
      </w:pPr>
    </w:p>
    <w:p>
      <w:pPr>
        <w:jc w:val="both"/>
        <w:ind w:left="644" w:right="20" w:hanging="644"/>
        <w:spacing w:after="0" w:line="263" w:lineRule="auto"/>
        <w:tabs>
          <w:tab w:leader="none" w:pos="640" w:val="left"/>
        </w:tabs>
        <w:numPr>
          <w:ilvl w:val="0"/>
          <w:numId w:val="5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Fractional Shares. </w:t>
      </w:r>
      <w:r>
        <w:rPr>
          <w:rFonts w:ascii="Times New Roman" w:cs="Times New Roman" w:eastAsia="Times New Roman" w:hAnsi="Times New Roman"/>
          <w:sz w:val="20"/>
          <w:szCs w:val="20"/>
          <w:color w:val="auto"/>
        </w:rPr>
        <w:t>No fractional shares of Common Stock shall be issued pursuant to Awards granted under the Plan,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Administrator shall determine, in its sole discretion, whether cash shall be given in lieu of fractional shares or whether such fractional shares shall be eliminated by rounding down.</w:t>
      </w:r>
    </w:p>
    <w:p>
      <w:pPr>
        <w:spacing w:after="0" w:line="175" w:lineRule="exact"/>
        <w:rPr>
          <w:rFonts w:ascii="Times New Roman" w:cs="Times New Roman" w:eastAsia="Times New Roman" w:hAnsi="Times New Roman"/>
          <w:sz w:val="20"/>
          <w:szCs w:val="20"/>
          <w:i w:val="1"/>
          <w:iCs w:val="1"/>
          <w:color w:val="auto"/>
        </w:rPr>
      </w:pPr>
    </w:p>
    <w:p>
      <w:pPr>
        <w:jc w:val="both"/>
        <w:ind w:left="644" w:hanging="644"/>
        <w:spacing w:after="0" w:line="254" w:lineRule="auto"/>
        <w:tabs>
          <w:tab w:leader="none" w:pos="640" w:val="left"/>
        </w:tabs>
        <w:numPr>
          <w:ilvl w:val="0"/>
          <w:numId w:val="5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Amendment of Award. </w:t>
      </w:r>
      <w:r>
        <w:rPr>
          <w:rFonts w:ascii="Times New Roman" w:cs="Times New Roman" w:eastAsia="Times New Roman" w:hAnsi="Times New Roman"/>
          <w:sz w:val="20"/>
          <w:szCs w:val="20"/>
          <w:color w:val="auto"/>
        </w:rPr>
        <w:t>Except as provided in Sections 5 and 6, the Administrator may amend, modify or terminate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Award, including but not limited to, substituting therefor another Award of the same or a different type and changing the date of exercise or realization, provided that the Participant’s consent to such action shall be required unless the Administrator determines that the action, taking into account any related action, would not materially and adversely affect the Participant.</w:t>
      </w:r>
    </w:p>
    <w:p>
      <w:pPr>
        <w:spacing w:after="0" w:line="187" w:lineRule="exact"/>
        <w:rPr>
          <w:rFonts w:ascii="Times New Roman" w:cs="Times New Roman" w:eastAsia="Times New Roman" w:hAnsi="Times New Roman"/>
          <w:sz w:val="20"/>
          <w:szCs w:val="20"/>
          <w:i w:val="1"/>
          <w:iCs w:val="1"/>
          <w:color w:val="auto"/>
        </w:rPr>
      </w:pPr>
    </w:p>
    <w:p>
      <w:pPr>
        <w:jc w:val="both"/>
        <w:ind w:left="644" w:hanging="644"/>
        <w:spacing w:after="0" w:line="255" w:lineRule="auto"/>
        <w:tabs>
          <w:tab w:leader="none" w:pos="633" w:val="left"/>
        </w:tabs>
        <w:numPr>
          <w:ilvl w:val="0"/>
          <w:numId w:val="5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Conditions on Delivery of Stock. </w:t>
      </w:r>
      <w:r>
        <w:rPr>
          <w:rFonts w:ascii="Times New Roman" w:cs="Times New Roman" w:eastAsia="Times New Roman" w:hAnsi="Times New Roman"/>
          <w:sz w:val="20"/>
          <w:szCs w:val="20"/>
          <w:color w:val="auto"/>
        </w:rPr>
        <w:t>The Company will not be obligated to deliver any shares of Common Stock pursuant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or to remove restrictions from shares previously delivered under the Plan until (i) all conditions of the Award have been met or removed to the satisfaction of the Company, (ii) in the opinion of the Company’s counsel, the shares of Common Stock are covered by an effective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584"/>
          </w:cols>
          <w:pgMar w:left="976" w:top="1413" w:right="339" w:bottom="1440" w:gutter="0" w:footer="0" w:header="0"/>
        </w:sectPr>
      </w:pPr>
    </w:p>
    <w:bookmarkStart w:id="46" w:name="page47"/>
    <w:bookmarkEnd w:id="46"/>
    <w:p>
      <w:pPr>
        <w:spacing w:after="0" w:line="189" w:lineRule="exact"/>
        <w:rPr>
          <w:sz w:val="20"/>
          <w:szCs w:val="20"/>
          <w:color w:val="auto"/>
        </w:rPr>
      </w:pPr>
    </w:p>
    <w:p>
      <w:pPr>
        <w:jc w:val="both"/>
        <w:ind w:left="1300"/>
        <w:spacing w:after="0" w:line="276" w:lineRule="auto"/>
        <w:rPr>
          <w:sz w:val="20"/>
          <w:szCs w:val="20"/>
          <w:color w:val="auto"/>
        </w:rPr>
      </w:pPr>
      <w:r>
        <w:rPr>
          <w:rFonts w:ascii="Times New Roman" w:cs="Times New Roman" w:eastAsia="Times New Roman" w:hAnsi="Times New Roman"/>
          <w:sz w:val="19"/>
          <w:szCs w:val="19"/>
          <w:color w:val="auto"/>
        </w:rPr>
        <w:t>statement or applicable exemption from registration and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52" w:lineRule="exact"/>
        <w:rPr>
          <w:sz w:val="20"/>
          <w:szCs w:val="20"/>
          <w:color w:val="auto"/>
        </w:rPr>
      </w:pPr>
    </w:p>
    <w:p>
      <w:pPr>
        <w:jc w:val="both"/>
        <w:ind w:left="1300" w:hanging="644"/>
        <w:spacing w:after="0" w:line="260" w:lineRule="auto"/>
        <w:tabs>
          <w:tab w:leader="none" w:pos="1296" w:val="left"/>
        </w:tabs>
        <w:numPr>
          <w:ilvl w:val="1"/>
          <w:numId w:val="5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Book Entry. </w:t>
      </w:r>
      <w:r>
        <w:rPr>
          <w:rFonts w:ascii="Times New Roman" w:cs="Times New Roman" w:eastAsia="Times New Roman" w:hAnsi="Times New Roman"/>
          <w:sz w:val="20"/>
          <w:szCs w:val="20"/>
          <w:color w:val="auto"/>
        </w:rPr>
        <w:t>Notwithstanding any other provision of the Plan, unless otherwise determined by the Administrator or required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any applicable law, rule or regulation, the Company shall not deliver to any Participant certificates evidencing shares of Common Stock issued in connection with any Award and instead such shares of Common Stock shall be recorded in the books of the Company (or, as applicable, its transfer agent or stock plan administrator).</w:t>
      </w:r>
    </w:p>
    <w:p>
      <w:pPr>
        <w:spacing w:after="0" w:line="177" w:lineRule="exact"/>
        <w:rPr>
          <w:rFonts w:ascii="Times New Roman" w:cs="Times New Roman" w:eastAsia="Times New Roman" w:hAnsi="Times New Roman"/>
          <w:sz w:val="20"/>
          <w:szCs w:val="20"/>
          <w:i w:val="1"/>
          <w:iCs w:val="1"/>
          <w:color w:val="auto"/>
        </w:rPr>
      </w:pPr>
    </w:p>
    <w:p>
      <w:pPr>
        <w:jc w:val="both"/>
        <w:ind w:left="1300" w:hanging="644"/>
        <w:spacing w:after="0" w:line="263" w:lineRule="auto"/>
        <w:tabs>
          <w:tab w:leader="none" w:pos="1290" w:val="left"/>
        </w:tabs>
        <w:numPr>
          <w:ilvl w:val="1"/>
          <w:numId w:val="5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Acceleration. </w:t>
      </w:r>
      <w:r>
        <w:rPr>
          <w:rFonts w:ascii="Times New Roman" w:cs="Times New Roman" w:eastAsia="Times New Roman" w:hAnsi="Times New Roman"/>
          <w:sz w:val="20"/>
          <w:szCs w:val="20"/>
          <w:color w:val="auto"/>
        </w:rPr>
        <w:t>Except as otherwise provided in the Plan, the Administrator may at any time provide that any Award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become immediately exercisable in full or in part, free of some or all restrictions or conditions, or otherwise realizable in full or in part, as the case may be.</w:t>
      </w:r>
    </w:p>
    <w:p>
      <w:pPr>
        <w:spacing w:after="0" w:line="184" w:lineRule="exact"/>
        <w:rPr>
          <w:rFonts w:ascii="Times New Roman" w:cs="Times New Roman" w:eastAsia="Times New Roman" w:hAnsi="Times New Roman"/>
          <w:sz w:val="20"/>
          <w:szCs w:val="20"/>
          <w:i w:val="1"/>
          <w:iCs w:val="1"/>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60" w:lineRule="auto"/>
        <w:tabs>
          <w:tab w:leader="none" w:pos="1300" w:val="left"/>
        </w:tabs>
        <w:numPr>
          <w:ilvl w:val="1"/>
          <w:numId w:val="5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No Right To Employment or Other Status. </w:t>
      </w:r>
      <w:r>
        <w:rPr>
          <w:rFonts w:ascii="Times New Roman" w:cs="Times New Roman" w:eastAsia="Times New Roman" w:hAnsi="Times New Roman"/>
          <w:sz w:val="20"/>
          <w:szCs w:val="20"/>
          <w:color w:val="auto"/>
        </w:rPr>
        <w:t>No person shall have any claim or right to be granted an Award, and the grant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64" w:lineRule="exact"/>
        <w:rPr>
          <w:rFonts w:ascii="Times New Roman" w:cs="Times New Roman" w:eastAsia="Times New Roman" w:hAnsi="Times New Roman"/>
          <w:sz w:val="20"/>
          <w:szCs w:val="20"/>
          <w:i w:val="1"/>
          <w:iCs w:val="1"/>
          <w:color w:val="auto"/>
        </w:rPr>
      </w:pPr>
    </w:p>
    <w:p>
      <w:pPr>
        <w:jc w:val="both"/>
        <w:ind w:left="1300" w:hanging="644"/>
        <w:spacing w:after="0" w:line="252" w:lineRule="auto"/>
        <w:tabs>
          <w:tab w:leader="none" w:pos="1300" w:val="left"/>
        </w:tabs>
        <w:numPr>
          <w:ilvl w:val="1"/>
          <w:numId w:val="5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No Rights as Stockholder. </w:t>
      </w:r>
      <w:r>
        <w:rPr>
          <w:rFonts w:ascii="Times New Roman" w:cs="Times New Roman" w:eastAsia="Times New Roman" w:hAnsi="Times New Roman"/>
          <w:sz w:val="20"/>
          <w:szCs w:val="20"/>
          <w:color w:val="auto"/>
        </w:rPr>
        <w:t>Subject to the provisions of the applicable Award, no Participant or Designated Beneficiary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75" w:lineRule="exact"/>
        <w:rPr>
          <w:rFonts w:ascii="Times New Roman" w:cs="Times New Roman" w:eastAsia="Times New Roman" w:hAnsi="Times New Roman"/>
          <w:sz w:val="20"/>
          <w:szCs w:val="20"/>
          <w:i w:val="1"/>
          <w:iCs w:val="1"/>
          <w:color w:val="auto"/>
        </w:rPr>
      </w:pPr>
    </w:p>
    <w:p>
      <w:pPr>
        <w:ind w:left="1300" w:hanging="644"/>
        <w:spacing w:after="0" w:line="287" w:lineRule="auto"/>
        <w:tabs>
          <w:tab w:leader="none" w:pos="1289" w:val="left"/>
        </w:tabs>
        <w:numPr>
          <w:ilvl w:val="1"/>
          <w:numId w:val="5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Term of Plan. </w:t>
      </w:r>
      <w:r>
        <w:rPr>
          <w:rFonts w:ascii="Times New Roman" w:cs="Times New Roman" w:eastAsia="Times New Roman" w:hAnsi="Times New Roman"/>
          <w:sz w:val="20"/>
          <w:szCs w:val="20"/>
          <w:color w:val="auto"/>
        </w:rPr>
        <w:t>No Awards shall be granted under the Plan on or after the Expiration Date. Any Awards that are outstanding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Expiration Date shall remain in force according to the terms of the Plan and the applicable Award Agreement.</w:t>
      </w:r>
    </w:p>
    <w:p>
      <w:pPr>
        <w:spacing w:after="0" w:line="151" w:lineRule="exact"/>
        <w:rPr>
          <w:rFonts w:ascii="Times New Roman" w:cs="Times New Roman" w:eastAsia="Times New Roman" w:hAnsi="Times New Roman"/>
          <w:sz w:val="20"/>
          <w:szCs w:val="20"/>
          <w:i w:val="1"/>
          <w:iCs w:val="1"/>
          <w:color w:val="auto"/>
        </w:rPr>
      </w:pPr>
    </w:p>
    <w:p>
      <w:pPr>
        <w:jc w:val="both"/>
        <w:ind w:left="1300" w:hanging="644"/>
        <w:spacing w:after="0" w:line="256" w:lineRule="auto"/>
        <w:tabs>
          <w:tab w:leader="none" w:pos="1300" w:val="left"/>
        </w:tabs>
        <w:numPr>
          <w:ilvl w:val="1"/>
          <w:numId w:val="5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Amendment of Plan. </w:t>
      </w:r>
      <w:r>
        <w:rPr>
          <w:rFonts w:ascii="Times New Roman" w:cs="Times New Roman" w:eastAsia="Times New Roman" w:hAnsi="Times New Roman"/>
          <w:sz w:val="20"/>
          <w:szCs w:val="20"/>
          <w:color w:val="auto"/>
        </w:rPr>
        <w:t>The Board or the Committee may amend, suspend or terminate the Plan or any portion thereof at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provided that, without approval of the Company’s stockholders, no amendment may (i) increase the number of shares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authorized under the Plan (other than pursuant to Section 10), (ii) materially increase the benefits provided under the Plan,</w:t>
      </w:r>
    </w:p>
    <w:p>
      <w:pPr>
        <w:spacing w:after="0" w:line="6" w:lineRule="exact"/>
        <w:rPr>
          <w:sz w:val="20"/>
          <w:szCs w:val="20"/>
          <w:color w:val="auto"/>
        </w:rPr>
      </w:pPr>
    </w:p>
    <w:p>
      <w:pPr>
        <w:jc w:val="both"/>
        <w:ind w:left="1300" w:firstLine="4"/>
        <w:spacing w:after="0" w:line="251" w:lineRule="auto"/>
        <w:tabs>
          <w:tab w:leader="none" w:pos="165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expand the class of participants eligible to participate in the Plan, (iv) expand the types of Awards provided under the Plan or (v) make any other changes that require stockholder approval under the rules of Nasdaq (or other securities exchange or automated quotation system on which shares of Common Stock are listed, quoted or traded). No amendment, suspension or termination of the Plan shall, without the consent of the Participant, impair any rights or obligations under any Award theretofore granted or awarded,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9" w:lineRule="exact"/>
        <w:rPr>
          <w:sz w:val="20"/>
          <w:szCs w:val="20"/>
          <w:color w:val="auto"/>
        </w:rPr>
      </w:pPr>
    </w:p>
    <w:p>
      <w:pPr>
        <w:ind w:left="644"/>
        <w:spacing w:after="0" w:line="283" w:lineRule="auto"/>
        <w:rPr>
          <w:sz w:val="20"/>
          <w:szCs w:val="20"/>
          <w:color w:val="auto"/>
        </w:rPr>
      </w:pPr>
      <w:r>
        <w:rPr>
          <w:rFonts w:ascii="Times New Roman" w:cs="Times New Roman" w:eastAsia="Times New Roman" w:hAnsi="Times New Roman"/>
          <w:sz w:val="20"/>
          <w:szCs w:val="20"/>
          <w:color w:val="auto"/>
        </w:rPr>
        <w:t>applicable Award Agreement itself otherwise expressly so provides. No Awards may be granted or awarded under the Plan during any period of suspension or after termination of the Plan.</w:t>
      </w:r>
    </w:p>
    <w:p>
      <w:pPr>
        <w:spacing w:after="0" w:line="142" w:lineRule="exact"/>
        <w:rPr>
          <w:sz w:val="20"/>
          <w:szCs w:val="20"/>
          <w:color w:val="auto"/>
        </w:rPr>
      </w:pPr>
    </w:p>
    <w:p>
      <w:pPr>
        <w:jc w:val="both"/>
        <w:ind w:left="644" w:hanging="644"/>
        <w:spacing w:after="0" w:line="260" w:lineRule="auto"/>
        <w:tabs>
          <w:tab w:leader="none" w:pos="633"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Provisions for Foreign Participants. </w:t>
      </w:r>
      <w:r>
        <w:rPr>
          <w:rFonts w:ascii="Times New Roman" w:cs="Times New Roman" w:eastAsia="Times New Roman" w:hAnsi="Times New Roman"/>
          <w:sz w:val="20"/>
          <w:szCs w:val="20"/>
          <w:color w:val="auto"/>
        </w:rPr>
        <w:t>The Administrator may modify Awards or Options granted to Participants who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77" w:lineRule="exact"/>
        <w:rPr>
          <w:rFonts w:ascii="Times New Roman" w:cs="Times New Roman" w:eastAsia="Times New Roman" w:hAnsi="Times New Roman"/>
          <w:sz w:val="20"/>
          <w:szCs w:val="20"/>
          <w:i w:val="1"/>
          <w:iCs w:val="1"/>
          <w:color w:val="auto"/>
        </w:rPr>
      </w:pPr>
    </w:p>
    <w:p>
      <w:pPr>
        <w:jc w:val="both"/>
        <w:ind w:left="644" w:hanging="644"/>
        <w:spacing w:after="0" w:line="251" w:lineRule="auto"/>
        <w:tabs>
          <w:tab w:leader="none" w:pos="640"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Compliance with Section 409A. </w:t>
      </w:r>
      <w:r>
        <w:rPr>
          <w:rFonts w:ascii="Times New Roman" w:cs="Times New Roman" w:eastAsia="Times New Roman" w:hAnsi="Times New Roman"/>
          <w:sz w:val="20"/>
          <w:szCs w:val="20"/>
          <w:color w:val="auto"/>
        </w:rPr>
        <w:t>If and to the extent (A) any portion of any payment, compensation or other benefit 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a Participant pursuant to the Plan in connection with his or her Termination of Service constitutes “nonqualified deferred compensation” within the meaning of Section 409A, and (B)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 w:cs="Times New Roman" w:eastAsia="Times New Roman" w:hAnsi="Times New Roman"/>
          <w:sz w:val="20"/>
          <w:szCs w:val="20"/>
          <w:b w:val="1"/>
          <w:bCs w:val="1"/>
          <w:i w:val="1"/>
          <w:iCs w:val="1"/>
          <w:color w:val="auto"/>
        </w:rPr>
        <w:t>New Payment Date</w:t>
      </w:r>
      <w:r>
        <w:rPr>
          <w:rFonts w:ascii="Times New Roman" w:cs="Times New Roman" w:eastAsia="Times New Roman" w:hAnsi="Times New Roman"/>
          <w:sz w:val="20"/>
          <w:szCs w:val="20"/>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86" w:lineRule="exact"/>
        <w:rPr>
          <w:rFonts w:ascii="Times New Roman" w:cs="Times New Roman" w:eastAsia="Times New Roman" w:hAnsi="Times New Roman"/>
          <w:sz w:val="20"/>
          <w:szCs w:val="20"/>
          <w:i w:val="1"/>
          <w:iCs w:val="1"/>
          <w:color w:val="auto"/>
        </w:rPr>
      </w:pPr>
    </w:p>
    <w:p>
      <w:pPr>
        <w:jc w:val="both"/>
        <w:ind w:left="644" w:hanging="644"/>
        <w:spacing w:after="0" w:line="255" w:lineRule="auto"/>
        <w:tabs>
          <w:tab w:leader="none" w:pos="644" w:val="left"/>
        </w:tabs>
        <w:numPr>
          <w:ilvl w:val="0"/>
          <w:numId w:val="6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Governing Law. </w:t>
      </w:r>
      <w:r>
        <w:rPr>
          <w:rFonts w:ascii="Times New Roman" w:cs="Times New Roman" w:eastAsia="Times New Roman" w:hAnsi="Times New Roman"/>
          <w:sz w:val="20"/>
          <w:szCs w:val="20"/>
          <w:color w:val="auto"/>
        </w:rPr>
        <w:t>The provisions of the Plan and all Awards made hereunder shall be governed by and interpreted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accordance with the laws of the State of Delaware, without giving effect to any choice or conflict of law provision or rule (whether of Delaware or any other jurisdiction) that would cause the application of laws of any jurisdiction other than those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584"/>
          </w:cols>
          <w:pgMar w:left="976" w:top="144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19685</wp:posOffset>
            </wp:positionV>
            <wp:extent cx="1731645" cy="565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31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mbria" w:cs="Cambria" w:eastAsia="Cambria" w:hAnsi="Cambria"/>
          <w:sz w:val="36"/>
          <w:szCs w:val="36"/>
          <w:b w:val="1"/>
          <w:bCs w:val="1"/>
          <w:color w:val="auto"/>
        </w:rPr>
        <w:t>SKYWORKS SOLUTIONS,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2002 EMPLOYEE STOCK PURCHASE PLAN, AS AMENDED</w:t>
      </w:r>
    </w:p>
    <w:p>
      <w:pPr>
        <w:spacing w:after="0" w:line="200" w:lineRule="exact"/>
        <w:rPr>
          <w:sz w:val="20"/>
          <w:szCs w:val="20"/>
          <w:color w:val="auto"/>
        </w:rPr>
      </w:pPr>
    </w:p>
    <w:p>
      <w:pPr>
        <w:spacing w:after="0" w:line="324"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Skyworks Solutions, Inc. 2002 Employee Stock Purchase Plan (hereinafter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intended to provide a method whereby employees of Skyworks Solutions,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its participating subsidiaries (as defined in Article 18) will have an opportunity to acquire a proprietary interest in the Company through the purchase of shares of the Company’s Common Stock. It is the intention of the Company to have the Plan qualify as an “employee stock purchase plan” under Section 423 of the Internal Revenue Code of 1986, as amended (the “</w:t>
      </w:r>
      <w:r>
        <w:rPr>
          <w:rFonts w:ascii="Times New Roman" w:cs="Times New Roman" w:eastAsia="Times New Roman" w:hAnsi="Times New Roman"/>
          <w:sz w:val="20"/>
          <w:szCs w:val="20"/>
          <w:b w:val="1"/>
          <w:bCs w:val="1"/>
          <w:i w:val="1"/>
          <w:iCs w:val="1"/>
          <w:color w:val="auto"/>
        </w:rPr>
        <w:t>Internal Revenue Code</w:t>
      </w:r>
      <w:r>
        <w:rPr>
          <w:rFonts w:ascii="Times New Roman" w:cs="Times New Roman" w:eastAsia="Times New Roman" w:hAnsi="Times New Roman"/>
          <w:sz w:val="20"/>
          <w:szCs w:val="20"/>
          <w:color w:val="auto"/>
        </w:rPr>
        <w:t>”). The provisions of the Plan shall, accordingly, be construed so as to extend and limit participation in a manner consistent with the requirements of that Section of the Internal Revenue Code.</w:t>
      </w:r>
    </w:p>
    <w:p>
      <w:pPr>
        <w:spacing w:after="0" w:line="196"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Eligible Employees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employees of the Company or any of its participating subsidiaries who are employed by the Company at least ten (10) business days prior to the first day of the applicable Offering Period shall be eligible to receive options under this Plan to purchase the Company’s Common Stock. Except as otherwise provided herein, persons who become eligible employees after the first day of any Offering Period shall be eligible to receive options on the first day of the next succeeding Offering Period on which options are granted to eligible employees under the Plan. For the purpose of this Plan, the term employee shall not include an employee whose customary employment is less than twenty (20) hours per week or is for not more than five (5) months in any calendar year.</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no event may an employee be granted an option if such employee, immediately after the option is granted, owns stock possessing five (5%) percent or more of the total combined voting power or value of all classes of stock of the Company or of its parent corporation or subsidiary corporation as the terms “parent corporation” and “subsidiary corporation” are defined in Section 424(e) and (f) of the Internal Revenue Code. For purposes of determining stock ownership under this paragraph, the rules of Section 424(d) of the Internal Revenue Code shall apply and stock which the employee may purchase under outstanding options shall be treated as stock owned by the employee.</w:t>
      </w:r>
    </w:p>
    <w:p>
      <w:pPr>
        <w:spacing w:after="0" w:line="178"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Subject to the Plan</w:t>
      </w:r>
    </w:p>
    <w:p>
      <w:pPr>
        <w:spacing w:after="0" w:line="2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The stock subject to the options granted hereunder shall be shares of the Company’s authorized but unissued Common Stock or shares of Common Stock reacquired by the Company, including shares purchased in the open market. Subject to approval of the stockholders, the aggregate number of shares which may be issued pursuant to the Plan is </w:t>
      </w:r>
      <w:r>
        <w:rPr>
          <w:rFonts w:ascii="Times New Roman" w:cs="Times New Roman" w:eastAsia="Times New Roman" w:hAnsi="Times New Roman"/>
          <w:sz w:val="19"/>
          <w:szCs w:val="19"/>
          <w:color w:val="191919"/>
        </w:rPr>
        <w:t>11,380,000</w:t>
      </w:r>
      <w:r>
        <w:rPr>
          <w:rFonts w:ascii="Times New Roman" w:cs="Times New Roman" w:eastAsia="Times New Roman" w:hAnsi="Times New Roman"/>
          <w:sz w:val="19"/>
          <w:szCs w:val="19"/>
          <w:color w:val="auto"/>
        </w:rPr>
        <w:t xml:space="preserve"> for all Offering Periods, subject to increase or decrease by reason of stock split-ups, reclassifications, stock dividends, changes in par value and the like. If any option granted under the Plan shall expire or terminate for any reason without having been exercised in full or shall cease for any reason to be exercisable in whole or in part, the unpurchased shares subject to such option shall again be available under the Plan. If the number of shares of Common Stock available for any</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amended and approved by the stockholders on May 14, 2024</w:t>
      </w:r>
    </w:p>
    <w:p>
      <w:pPr>
        <w:sectPr>
          <w:pgSz w:w="11900" w:h="16838" w:orient="portrait"/>
          <w:cols w:equalWidth="0" w:num="1">
            <w:col w:w="11240"/>
          </w:cols>
          <w:pgMar w:left="320" w:top="1413" w:right="339" w:bottom="1440" w:gutter="0" w:footer="0" w:header="0"/>
          <w:type w:val="continuous"/>
        </w:sectPr>
      </w:pPr>
    </w:p>
    <w:bookmarkStart w:id="49" w:name="page50"/>
    <w:bookmarkEnd w:id="49"/>
    <w:p>
      <w:pPr>
        <w:spacing w:after="0" w:line="283" w:lineRule="auto"/>
        <w:rPr>
          <w:sz w:val="20"/>
          <w:szCs w:val="20"/>
          <w:color w:val="auto"/>
        </w:rPr>
      </w:pPr>
      <w:r>
        <w:rPr>
          <w:rFonts w:ascii="Times New Roman" w:cs="Times New Roman" w:eastAsia="Times New Roman" w:hAnsi="Times New Roman"/>
          <w:sz w:val="20"/>
          <w:szCs w:val="20"/>
          <w:color w:val="auto"/>
        </w:rPr>
        <w:t>Offering Period is insufficient to satisfy all purchase requirements for that Offering Period, the available shares for that Offering Period shall be apportioned among participating employees in proportion to their options.</w:t>
      </w:r>
    </w:p>
    <w:p>
      <w:pPr>
        <w:spacing w:after="0" w:line="151"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Offering Periods and Stock Options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There shall be Offering Periods during which payroll deductions will be accumulated under the Plan. Each Offering Period includes only regular pay days falling within it. The Committee shall be expressly permitted to establish the Offering Periods, including the Offering Commencement Date and Offering Termination Date of any Offering Period, under this Plan; provided, however, that, in no event shall any Offering Period extend for more than twenty-four (24) months. The Offering Commencement Date is the first day of each Offering Period. The Offering Termination Date is the applicable date on which an Offering Period ends under this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the foregoing, the Offering Periods shall generally commence and end as follows:</w:t>
      </w:r>
    </w:p>
    <w:p>
      <w:pPr>
        <w:spacing w:after="0" w:line="265"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Offering Commencement Dates</w:t>
            </w:r>
          </w:p>
        </w:tc>
        <w:tc>
          <w:tcPr>
            <w:tcW w:w="200" w:type="dxa"/>
            <w:vAlign w:val="bottom"/>
          </w:tcPr>
          <w:p>
            <w:pPr>
              <w:spacing w:after="0"/>
              <w:rPr>
                <w:sz w:val="19"/>
                <w:szCs w:val="19"/>
                <w:color w:val="auto"/>
              </w:rPr>
            </w:pPr>
          </w:p>
        </w:tc>
        <w:tc>
          <w:tcPr>
            <w:tcW w:w="25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w w:val="97"/>
              </w:rPr>
              <w:t>Offering Termination Dates</w:t>
            </w:r>
          </w:p>
        </w:tc>
      </w:tr>
      <w:tr>
        <w:trPr>
          <w:trHeight w:val="20"/>
        </w:trPr>
        <w:tc>
          <w:tcPr>
            <w:tcW w:w="2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r>
        <w:trPr>
          <w:trHeight w:val="539"/>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Each August 1</w:t>
            </w:r>
          </w:p>
        </w:tc>
        <w:tc>
          <w:tcPr>
            <w:tcW w:w="200" w:type="dxa"/>
            <w:vAlign w:val="bottom"/>
          </w:tcPr>
          <w:p>
            <w:pPr>
              <w:spacing w:after="0"/>
              <w:rPr>
                <w:sz w:val="24"/>
                <w:szCs w:val="24"/>
                <w:color w:val="auto"/>
              </w:rPr>
            </w:pPr>
          </w:p>
        </w:tc>
        <w:tc>
          <w:tcPr>
            <w:tcW w:w="2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Each January 31</w:t>
            </w:r>
          </w:p>
        </w:tc>
      </w:tr>
      <w:tr>
        <w:trPr>
          <w:trHeight w:val="513"/>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Each February 1</w:t>
            </w:r>
          </w:p>
        </w:tc>
        <w:tc>
          <w:tcPr>
            <w:tcW w:w="2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Each July 31</w:t>
            </w:r>
          </w:p>
        </w:tc>
      </w:tr>
    </w:tbl>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Provided, however, that (i) the Offering Commencement Date and Offering Termination Date of the initial Offering Period under this Plan shall be October 21, 2002 and March 31, 2003, respectively, and (ii) the Offering Commencement Date and Offering Termination Date of the Offering Period immediately following the initial Offering Period under this Plan shall be April 1, 2003 and July 31, 2003, respectively.</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each Offering Commencement Date, the Company will grant to each eligible employee who is then a participant in the Plan an option to purchase on the Offering Termination Date at the Option Exercise Price, as hereinafter provided, that number of full shares of Common Stock reserved for the purpose of the Plan, up to a maximum of 1,000 shares, subject to increase or decrease (i) at the discretion of the Committee before each Offering Period or (ii) by reason of stock split-ups, reclassifications, stock dividends, changes in par value and the like (the “</w:t>
      </w:r>
      <w:r>
        <w:rPr>
          <w:rFonts w:ascii="Times New Roman" w:cs="Times New Roman" w:eastAsia="Times New Roman" w:hAnsi="Times New Roman"/>
          <w:sz w:val="20"/>
          <w:szCs w:val="20"/>
          <w:b w:val="1"/>
          <w:bCs w:val="1"/>
          <w:i w:val="1"/>
          <w:iCs w:val="1"/>
          <w:color w:val="auto"/>
        </w:rPr>
        <w:t>Share Cap</w:t>
      </w:r>
      <w:r>
        <w:rPr>
          <w:rFonts w:ascii="Times New Roman" w:cs="Times New Roman" w:eastAsia="Times New Roman" w:hAnsi="Times New Roman"/>
          <w:sz w:val="20"/>
          <w:szCs w:val="20"/>
          <w:color w:val="auto"/>
        </w:rPr>
        <w:t>”); provided that such employee remains eligible to participate in the Plan throughout such Offering Period. If the eligible employee’s accumulated payroll deductions on the Offering Termination Date would enable the eligible employee to purchase more than the Share Cap except for the Share Cap, the excess of the amount of the accumulated payroll deductions over the aggregate purchase price of the Share Cap shall be refunded to the eligible employee as soon as administratively practicable by the Company, without interest. The Option Exercise Price for each Offering Period shall be the lesser of (i) eighty-five percent (85%) of the fair market value of the Common Stock on the Offering Commencement Date, or (ii) eighty-five percent (85%) of the fair market value of the Common Stock on the Offering Termination Date, in either case rounded up to the next whole cent. In the event of an increase or decrease in the number of outstanding shares of Common Stock through stock split-ups, reclassifications, stock dividends, changes in par value and the like, an appropriate adjustment shall be made in the number of shares and Option Exercise Price per share provided for under the Plan, either by a proportionate increase in the number of shares and proportionate decrease in the Option Exercise Price per share, or by a proportionate decrease in the number of shares and a proportionate increase in the Option Exercise Price per share, as may be required to enable an eligible employee who is then a participant in the Plan to acquire on the Offering Termination Date that number of full shares of Common Stock as his accumulated payroll deductions on such date will pay for at a price equal to the lesser of (i) eighty-five percent (85%) of the fair market value of the Common Stock on the Offering Commencement Date, or (ii) eighty-five percent (85%) of the fair market value of the Common Stock on the Offering Termination Date, in either case rounded up to the next whole cent, as so adjusted.</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purposes of this Plan, the term “fair market value” means, if the Common Stock is listed on a national securities exchange or is on the National Association of Securities Dealers Automated Quotation (“</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Global Select Market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type w:val="continuous"/>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system, the closing sale price of the Common Stock on such exchange or as reported on Nasdaq or, if the Common Stock is traded in the over-the-counter securities market, but not on the Nasdaq Global Select Market, the closing bid quotation for the Common Stock, each as published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If no shares of Common Stock are traded on the Offering Commencement Date or Offering Termination Date, the fair market value will be determined on the next regular business day on which shares of Common Stock are traded.</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purposes of this Plan the term “business day” as used herein means a day on which there is trading on the Nasdaq Global Select Market or such national securities exchange on which the Common Stock is listed.</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 employee shall be granted an option which permits his rights to purchase Common Stock under the Plan and any similar plans of the Company or any parent or subsidiary corporations to accrue at a rate which exceeds $25,000 of fair market value of such stock (determined at the time such option is granted) for each calendar year in which such option is outstanding at any time. The purpose of the limitation in the preceding sentence is to comply with and shall be construed in accordance with Section 423(b)(8) of the Internal Revenue Code. If the participant’s accumulated payroll deductions on the last day of the Offering Period would otherwise enable the participant to purchase Common Stock in excess of the Section 423(b)(8) limitation described in this paragraph, the excess of the amount of the accumulated payroll deductions over the aggregate purchase price of the shares actually purchased shall be refunded as soon as administratively practicable to the participant by the Company, without interest.</w:t>
      </w:r>
    </w:p>
    <w:p>
      <w:pPr>
        <w:spacing w:after="0" w:line="187"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Option</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eligible employee who continues to be a participant in the Plan on the Offering Termination Date shall be deemed to have exercised his or her option on such date and shall be deemed to have purchased from the Company such number of full shares of Common Stock reserved for the purpose of the Plan as his or her accumulated payroll deductions on such date will pay for at the Option Exercise Price subject to the Share Cap and the Section 423(b)(8) limitation described in Article 4. If a participant is not an employee on the Offering Termination Date and throughout an Offering Period, he or she shall not be entitled to exercise his or her option.</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If a participant’s accumulated payroll deductions in his or her account are based on a currency other than the U.S. dollar, then on the Offering Termination Date the accumulated payroll deductions in his or her account will be converted into an equivalent value of U.S. dollars based upon the U.S. dollar-foreign currency exchange rate in effect on that date,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provided that such conversion does not result in an Option Exercise Price which is, in fact, less than the lesser of an amount equal to 85 percent of the fair market value of the Common Stock at the time such option is granted or 85 percent of the fair market value of the Common Stock at the time such option is exercised. The Plan administrators (as defined in Article 19) shall have the right to change such conversion date, as they deem appropriate to effectively purchase shares on any Offering Termination Date, provided that such action does not cause the Plan, or any grants under the Plan, to fail to qualify under Section 423 of the Internal Revenue Code.</w:t>
      </w:r>
    </w:p>
    <w:p>
      <w:pPr>
        <w:spacing w:after="0" w:line="18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Authorization for Entering Plan</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 eligible employee may enter the Plan by following a written, electronic or other enrollment process, including a payroll deduction authorization, as prescribed by the Plan administrators under generally applicable rules. Except as may otherwise be established by the Plan administrators under generally applicable rules, all enrollment authorizations shall be effective only if delivered to the designated Plan administrator(s) in accordance with the prescribed procedures not later than ten (10) business days before an applicable Offering Commencement Date. Participation may be conditioned on an eligible employee’s consent to transfer and process personal data and on acknowledgment and agreement to Plan terms and other specified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51" w:name="page52"/>
    <w:bookmarkEnd w:id="51"/>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 will accumulate and hold for the employee’s account the amounts deducted from his or her pay. No interest will be paid thereon. Participating employees may not make any separate cash payments into their account.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an employee files a new authorization, or withdraws from the Plan, his or her deductions and purchases under the authorization he or she has on file under the Plan will continue as long as the Plan remains in effect. An employee may increase or decrease the amount of his or her payroll deductions as of the next Offering Commencement Date by filing a revised payroll deduction authorization in accordance with the procedures then applicable to such actions. Except as may otherwise be established by the Plan administrators under generally applicable rules, all revised authorizations shall be effective only if delivered to the designated Plan administrator(s) in accordance with the prescribed procedures not later than ten (10) business days before the next Offering Commencement Date.</w:t>
      </w:r>
    </w:p>
    <w:p>
      <w:pPr>
        <w:spacing w:after="0" w:line="197"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Maximum Amount of Payroll Deductions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An employee may authorize payroll deductions in an amount of not less than one percent (1%) and not more than fifteen percent (15%) (in whole number percentages only) of his or her eligible compensation. Such deductions shall be determined based on the employee’s election in effect on the payday on which such eligible compensation is paid. An employee may not make any additional payments into such account. Eligible compensation means the wages as defined in Section 3401(a) of the Internal Revenue Code, determined without regard to any rules that limit compensation included in wages based on the nature or location or employment or services performed, including without limitation base pay, shift premium, overtime, gain sharing (profit sharing), incentive compensation, bonuses and commissions and all other payments made to the employee for services as an employee during the applicable payroll period, and excluding the value of any qualified or non-qualified stock option granted to the employee to the extent such value is includible in the taxable wages, reimbursements or other expense allowances, fringe benefits, moving expenses, deferred compensation, and welfare benefits, but determined prior to any exclusions for any amounts deferred under Sections 125, 401(k), 402(e)(3), 402(h)(1)(B), 403(b) or 457(b) of the Internal Revenue Code or for certain contributions described in Section 457(h)(2) of the Internal Revenue Code that are treated as Company contributions.</w:t>
      </w:r>
    </w:p>
    <w:p>
      <w:pPr>
        <w:spacing w:after="0" w:line="191"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Unused Payroll Deductions</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Only full shares of Common Stock may be purchased. Any balance remaining in an employee’s account after a purchase will be reported to the employee and will be carried forward to the next Offering Period. However, in no event will the amount of the unused payroll deductions carried forward from a payroll period exceed the Option Exercise Price per share for that Offering Period. If for any Offering Period the amount of unused payroll deductions should exceed the Option Exercise Price per share, the amount of the excess for any participant shall be refunded to such participant, without interest.</w:t>
      </w:r>
    </w:p>
    <w:p>
      <w:pPr>
        <w:spacing w:after="0" w:line="197"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Payroll Deductions</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Unless otherwise permitted by the Committee prior to the commencement of an Offering Period, payroll deductions may not be increased, decreased or suspended by a participant during an Offering Period. However, a participant may withdraw in full from the Plan.</w:t>
      </w:r>
    </w:p>
    <w:p>
      <w:pPr>
        <w:spacing w:after="0" w:line="178"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Withdrawal from the Plan</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An employee may withdraw from the Plan and withdraw all but not less than all of the payroll deductions credited to his or her account under the Plan prior to the Offering Termination Date by completing and filing a withdrawal notification with the designated Plan administrator(s) in accordance with the prescribed procedures, in which event the Company will refund as soon as administratively practicable without interest the entire balance of such employee’s deductions not previously used to purchase Common Stock under the Plan. Except as may otherwise be prescribed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83" w:lineRule="auto"/>
        <w:rPr>
          <w:sz w:val="20"/>
          <w:szCs w:val="20"/>
          <w:color w:val="auto"/>
        </w:rPr>
      </w:pPr>
      <w:r>
        <w:rPr>
          <w:rFonts w:ascii="Times New Roman" w:cs="Times New Roman" w:eastAsia="Times New Roman" w:hAnsi="Times New Roman"/>
          <w:sz w:val="20"/>
          <w:szCs w:val="20"/>
          <w:color w:val="auto"/>
        </w:rPr>
        <w:t>administrators under generally applicable rules, all withdrawals shall be effective only if delivered to the designated Plan administrator(s) in accordance with the prescribed procedures not later than ten (10) business days before the Offering Termination Date.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 employee who withdraws from the Plan is like an employee who has never entered the Plan; the employee’s rights under the Plan will be terminated and no further payroll deductions will be made. To reenter, such an employee must re-enroll pursuant to the provisions of Article 6 before the next Offering Commencement Date which cannot, however, become effective before the beginning of the next Offering Period following his withdrawal.</w:t>
      </w:r>
    </w:p>
    <w:p>
      <w:pPr>
        <w:spacing w:after="0" w:line="190" w:lineRule="exact"/>
        <w:rPr>
          <w:sz w:val="20"/>
          <w:szCs w:val="20"/>
          <w:color w:val="auto"/>
        </w:rPr>
      </w:pPr>
    </w:p>
    <w:p>
      <w:pPr>
        <w:ind w:left="640" w:hanging="632"/>
        <w:spacing w:after="0"/>
        <w:tabs>
          <w:tab w:leader="none" w:pos="6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Issuance of Stock</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soon as administratively practicable after each Offering Period the Company shall deliver (by electronic or other means) to the participant the Common Stock purchased under the Plan, except as specified below. The Plan administrators may permit or require that the Common Stock shares be deposited directly with a broker or agent designated by the Plan administrators, and the Plan administrators may utilize electronic or automated methods of share transfer. In addition, the Plan administrators may require that shares be retained with such broker or agent for a designated period of time (and may restrict dispositions during that period) and/or may establish other procedures to permit tracking of disqualifying dispositions of such shares or to restrict transfer of such shares as required to ensure that the Company’s applicable tax withholding obligations are satisfied.</w:t>
      </w:r>
    </w:p>
    <w:p>
      <w:pPr>
        <w:spacing w:after="0" w:line="198"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Transfer or Assignment of Employee’s Rights</w:t>
      </w:r>
    </w:p>
    <w:p>
      <w:pPr>
        <w:spacing w:after="0" w:line="2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An employee’s rights under the Plan are his or hers alone and may not be transferred or assigned to, or availed of by, any other person. Any option granted to an employee may be exercised only by him or her, except as provided in Article 13 in the event of an employee’s death.</w:t>
      </w:r>
    </w:p>
    <w:p>
      <w:pPr>
        <w:spacing w:after="0" w:line="151"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Employee’s Rights</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Except as set forth in Article 14, an employee’s rights under the Plan will terminate when he or she ceases to be an employee because of retirement, resignation, lay-off, discharge, death, change of status, failure to remain in the customary employ of the Company for twenty (20) hours or more per week, or for any other reason. Notwithstanding anything to the contrary contained in Article 10, a withdrawal notice will be considered as having been received from the employee on the day his or her employment ceases, and all payroll deductions not used to purchase Common Stock will be refunded without interest.</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Notwithstanding anything to the contrary contained in Article 10, if an employee’s payroll deductions are interrupted by any legal process, a withdrawal notice will be considered as having been received from him or her on the day the interruption occurs.</w:t>
      </w:r>
    </w:p>
    <w:p>
      <w:pPr>
        <w:spacing w:after="0" w:line="165"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Death of an Employee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Upon termination of the participating employee’s employment because of death, the person(s) entitled to receipt of the Common Stock and/or cash as provided in this Article 14 shall have the right to elect, by written notice given to the Plan administrators prior to the expiration of the thirty (30) day period commencing with the date of the death of the employee, either (i) to withdraw, without interest, all of the payroll deductions credited to the employee’s account under the Plan, or (ii) to exercise the employee’s option for the purchase of shares of Common Stock on the next Offering Termination Date following the date of the employee’s death for the purchase of that number of full shares of Common Stock reserved for the purpose of the Plan which the accumulated payroll deductions in the employee’s account at the date of the employee’s death will purchase at the applicable Option Exercise Price (subject to the limitations set forth in Article 4),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20"/>
          <w:szCs w:val="20"/>
          <w:color w:val="auto"/>
        </w:rPr>
        <w:t>excess in such account (in lieu of fractional shares) will be paid to the employee’s estate as soon as administratively practicable, without interest. In the event that no such written notice of election shall be duly received by the Plan administrators, the payroll deductions credited to the employee’s account at the date of the employee’s death will be paid to the employee’s estate as soon as administratively practicable, without interest.</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Except as provided in the preceding paragraph, in the event of the death of a participating employee, the Company shall deliver such Common Stock and/or cash to the executor or administrator of the estate of the employee.</w:t>
      </w:r>
    </w:p>
    <w:p>
      <w:pPr>
        <w:spacing w:after="0" w:line="165"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and Amendments to Plan</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may be terminated at any time by the Company’s Board of Directors or, if sooner, when all of the shares of Common Stock reserved for the purposes of the Plan have been purchased. In the event that the Board of Directors terminates the Plan pursuant to this Article 15, the date of such termination shall be deemed as the Offering Termination Date of the applicable Offering Period in which such termination date occurs. Upon such termination or any other termination of the Plan, all payroll deductions not used to purchase Common Stock will be refunded without interest.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Committee or the Board of Directors may from time to time adopt amendments to the Plan provided that, without the approval of the stockholders of the Company, no amendment may (i) except as provided in Articles 3, 4, 24 and 25, increase the number of shares that may be issued under the Plan; (ii) change the class of employees eligible to receive options under the Plan, if such action would be treated as the adoption of a new plan for purposes of Section 423(b) of the Internal Revenue Code; or (iii) cause Rule 16b-3 under the Securities Exchange Act of 1934 to become inapplicable to the Plan.</w:t>
      </w:r>
    </w:p>
    <w:p>
      <w:pPr>
        <w:spacing w:after="0" w:line="197"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Limitations of Sale of Stock Purchased Under the Plan</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is intended to provide shares of Common Stock for investment and not for resale. The Company does not, however, intend to restrict or influence any employee in the conduct of his or her own affairs. An employee may, therefore, sell stock purchased under the Plan at any time the employee chooses, subject to compliance with any applicable federal or state securities laws and subject to any restrictions imposed under Articles 11 and 26. Each employee agrees by entering the Plan to promptly give the Company notice of any such Common Stock disposed of within two years after the Offering Commencement Date on which the Common Stock was purchased showing the number of such shares disposed of. The employee assumes the risk of any market fluctuations in the price of such Common Stock.</w:t>
      </w:r>
    </w:p>
    <w:p>
      <w:pPr>
        <w:spacing w:after="0" w:line="184"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Offering of Expenses Related to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bear all costs of administering and carrying out the Plan.</w:t>
      </w:r>
    </w:p>
    <w:p>
      <w:pPr>
        <w:spacing w:after="0" w:line="220"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Participating Subsidiaries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term “participating subsidiaries” shall mean any present or future subsidiary of the Company which is designated by the Committee to participate in the Plan. The Committee shall have the power to make such designation(s) before or after the Plan is approved by the stockholders.</w:t>
      </w:r>
    </w:p>
    <w:p>
      <w:pPr>
        <w:spacing w:after="0" w:line="166"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the Plan</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Plan may be administered by the Compensation Committee, or such other committee as may be appointed by the Board of Directors of the Company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No member of the Committee shall be eligible to participate in the Plan while serving as a member of the Committee. In the event that the Board of Directors fails to appoint or refrains from</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type w:val="continuous"/>
        </w:sectPr>
      </w:pPr>
    </w:p>
    <w:bookmarkStart w:id="54" w:name="page55"/>
    <w:bookmarkEnd w:id="54"/>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appointing a Committee, the Board of Directors shall have all power and authority to administer the Plan (in such event the word “Committee” shall refer to the Board of Directors).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Committee shall have the authority to construe and interpret the Plan and options, and to establish, amend and revoke rules and regulations for the administration of the Plan. The Committee, in the exercise of this power, may correct any defect, omission or inconsistency in the Plan, in a manner and to the extent it shall deem necessary or expedient to make the Plan fully effective. The interpretation and construction by the Committee of any provisions of the Plan or of any option granted under it shall be final. The Committee may from time to time adopt such rules and regulations for carrying out the Plan as it may deem best. Without limiting the foregoing, the Committee shall have the power, subject to, and within the limitations of, the express provisions of the Plan: (i) to determine when and how options to purchase shares of Common Stock shall be granted and the provisions of each Offering Period (which need not be identical); (ii) to designate from time to time which participating subsidiaries of the Company shall be eligible to participate in the Plan; (iii) to determine the Offering Commencement Date and Offering Termination Date of any Offering Period; (iv) to increase or decrease the maximum number of shares which may be purchased by an eligible employee in any Offering Period; (v) to amend the Plan as provided in Article 15, and (vi) generally, to exercise such powers and to perform such acts as it deems necessary or expedient to promote the best interests of the Company and the participating subsidiaries.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Committee may delegate to one or more individuals the day-to-day administration of the Plan. Without limitation, subject to the terms and conditions of this Plan, the President, the Chief Financial Officer of the Company, and any other officer of the Company or committee of officers or employees designated by the Committee (collectively, the “</w:t>
      </w:r>
      <w:r>
        <w:rPr>
          <w:rFonts w:ascii="Times New Roman" w:cs="Times New Roman" w:eastAsia="Times New Roman" w:hAnsi="Times New Roman"/>
          <w:sz w:val="20"/>
          <w:szCs w:val="20"/>
          <w:b w:val="1"/>
          <w:bCs w:val="1"/>
          <w:i w:val="1"/>
          <w:iCs w:val="1"/>
          <w:color w:val="auto"/>
        </w:rPr>
        <w:t>Plan administrators</w:t>
      </w:r>
      <w:r>
        <w:rPr>
          <w:rFonts w:ascii="Times New Roman" w:cs="Times New Roman" w:eastAsia="Times New Roman" w:hAnsi="Times New Roman"/>
          <w:sz w:val="20"/>
          <w:szCs w:val="20"/>
          <w:color w:val="auto"/>
        </w:rPr>
        <w:t>”), shall each be authorized to determine the methods through which eligible employees may elect to participate, amend their participation, or withdraw from participation in the Plan, and establish methods of enrollment by means of a manual or electronic form of authorization or an integrated voice response system. The Plan administrators are further authorized to determine the matters described in Article 11 concerning the means of issuance of Common Stock and the procedures established to permit tracking of disqualifying dispositions of shares or to restrict transfer of such shares.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With respect to persons subject to Section 16 of the Securities and Exchange Act of 1934, as amended, transactions under the Plan are intended to comply with all applicable conditions of Rule 16b-3 or its successors under said Act. To the extent any provision of the Plan or action by the Committee fails to so comply, it shall be deemed null and void, to the extent permitted by law and deemed advisable by that Committee.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 member of the Board of Directors or the Committee shall be liable for any action or determination made in good faith with respect to the Plan or any option granted under it. The Company shall indemnify each member of the Board of Directors and the Committee to the fullest extent permitted by law with respect to any claim, loss, damage or expense (including counsel fees) arising in connection with their responsibilities under this Plan.</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soon as administratively practicable after the end of each Offering Period, the Plan administrators shall prepare and distribute or make otherwise readily available by electronic means or otherwise to each participating employee in the Plan information concerning the amount of the participating employee’s accumulated payroll deductions as of the Offering Termination Date, the Option Exercise Price for such Offering Period, the number of shares of Common Stock purchased by the participating employee with the participating employee’s accumulated payroll deductions, and the amount of any unused payroll deductions either to be carried forward to the next Offering Period, or returned to the participating employee without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55" w:name="page56"/>
    <w:bookmarkEnd w:id="55"/>
    <w:p>
      <w:pPr>
        <w:spacing w:after="0" w:line="194"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Optionees Not Stockholders</w:t>
      </w:r>
    </w:p>
    <w:p>
      <w:pPr>
        <w:spacing w:after="0" w:line="2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Neither the granting of an option to an employee nor the deductions from his or her pay shall constitute such employee a stockholder of the Company with respect to the shares covered by such option until such shares have been purchased by and issued to him.</w:t>
      </w:r>
    </w:p>
    <w:p>
      <w:pPr>
        <w:spacing w:after="0" w:line="151"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of Funds</w:t>
      </w:r>
    </w:p>
    <w:p>
      <w:pPr>
        <w:spacing w:after="0" w:line="22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proceeds received by the Company from the sale of Common Stock pursuant to options granted under the Plan may be used for any corporate purposes, and the Company shall not be obligated to segregate participating employees’ payroll deductions.</w:t>
      </w:r>
    </w:p>
    <w:p>
      <w:pPr>
        <w:spacing w:after="0" w:line="178"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Governmental Regulation</w:t>
      </w:r>
    </w:p>
    <w:p>
      <w:pPr>
        <w:spacing w:after="0" w:line="21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Company’s obligation to sell and deliver shares of the Company’s Common Stock under this Plan is subject to the approval of any governmental authority required in connection with the authorization, issuance or sale of such stock.</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this regard, the Board of Directors may, in its discretion, require as a condition to the exercise of any option that a Registration Statement under the Securities Act of 1933, as amended, with respect to the shares of Common Stock reserved for issuance upon exercise of the option shall be effective.</w:t>
      </w:r>
    </w:p>
    <w:p>
      <w:pPr>
        <w:spacing w:after="0" w:line="186"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Transferability</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Neither payroll deductions credited to an employee’s account nor any rights with regard to the exercise of an option or to receive stock under the Plan may be assigned, transferred, pledged, or otherwise disposed of in any way by the employee. Any such attempted assignment, transfer, pledge, or other disposition shall be without effect, except that the Company may treat such act as an election to withdraw funds in accordance with Article 10.</w:t>
      </w:r>
    </w:p>
    <w:p>
      <w:pPr>
        <w:spacing w:after="0" w:line="177"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Changes of Common Stock</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the Company should subdivide or reclassify the Common Stock which has been or may be optioned under the Plan, or should declare thereon any dividend payable in shares of such Common Stock, or should take any other action of a similar nature affecting such Common Stock, then the number and class of shares of Common Stock which may thereafter be optioned (in the aggregate and to any individual participating employee) shall be adjusted accordingly.</w:t>
      </w:r>
    </w:p>
    <w:p>
      <w:pPr>
        <w:spacing w:after="0" w:line="192"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Merger or Consolidation</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the Company should at any time merge into or consolidate with another corporation, the Board of Directors may, at its election, either (i) terminate the Plan and refund without interest the entire balance of each participating employee’s payroll deductions, or (ii) entitle each participating employee to receive on the Offering Termination Date upon the exercise of such option for each share of Common Stock as to which such option shall be exercised the securities or property to which a holder of one share of the Common Stock was entitled upon and at the time of such merger or consolidation, and the Board of Directors shall take such steps in connection with such merger or consolidation as the Board of Directors shall deem necessary to assure that the provisions of this Article 25 shall thereafter be applicable, as nearly as reasonably possible. A sale of all or substantially all of the assets of the Company shall be deemed a merger or consolidation for the foregoing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of Additional Tax</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By electing to participate in the Plan, each participant acknowledges that the Company and its participating subsidiaries are required to withhold taxes with respect to the amounts deducted from the participant’s compensation and accumulated for the benefit of the participant under the Plan, and each participant agrees that the Company and its participating subsidiaries may deduct additional amounts from the participant’s compensation, when amounts are added to the participant’s account, used to purchase Common Stock or refunded, in order to satisfy such withholding obligations. Each participant further acknowledges that when Common Stock is purchased under the Plan the Company and its participating subsidiaries may be required to withhold taxes with respect to all or a portion of the difference between the fair market value of the Common Stock purchased and its purchase price, and each participant agrees that such taxes may be withheld from compensation otherwise payable to such participant. It is intended that tax withholding will be accomplished in such a manner that the full amount of payroll deductions elected by the participant under Article 7 will be used to purchase Common Stock. However, if amounts sufficient to satisfy applicable tax withholding obligations have not been withheld from compensation otherwise payable to any participant then, notwithstanding any other provision of the Plan, the Company may withhold such taxes from the participant’s accumulated payroll deductions and apply the net amount to the purchase of Common Stock, unless the participant pays to the Company, prior to the exercise date, an amount sufficient to satisfy such withholding obligations. Each participant further acknowledges that the Company and its participating subsidiaries may be required to withhold taxes in connection with the disposition of stock acquired under the Plan and agrees that the Company or any participating subsidiary may take whatever action it considers appropriate to satisfy such withholding requirements, including deducting from compensation otherwise payable to such participant an amount sufficient to satisfy such withholding requirements or conditioning any disposition of Common Stock by the participant upon the payment to the Company or such subsidiary of an amount sufficient to satisfy such withholding requirements.</w:t>
      </w:r>
    </w:p>
    <w:p>
      <w:pPr>
        <w:spacing w:after="0" w:line="206"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Approval of Stockholders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Plan was first adopted by the Board of Directors on September 25, 2002, and amended on January 14, 2003, and approved, as amended, by the stockholders of the Company on March 10, 2003. The Plan was subsequently amended and approved by the stockholders on March 30, 2006, March 27, 2008, May 11, 2011, May 6, 2020, and May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19685</wp:posOffset>
            </wp:positionV>
            <wp:extent cx="1731645"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316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mbria" w:cs="Cambria" w:eastAsia="Cambria" w:hAnsi="Cambria"/>
          <w:sz w:val="36"/>
          <w:szCs w:val="36"/>
          <w:b w:val="1"/>
          <w:bCs w:val="1"/>
          <w:color w:val="auto"/>
        </w:rPr>
        <w:t>SKYWORKS SOLUTIONS,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NON-QUALIFIED EMPLOYEE STOCK PURCHASE PLAN</w:t>
      </w:r>
    </w:p>
    <w:p>
      <w:pPr>
        <w:spacing w:after="0" w:line="200" w:lineRule="exact"/>
        <w:rPr>
          <w:sz w:val="20"/>
          <w:szCs w:val="20"/>
          <w:color w:val="auto"/>
        </w:rPr>
      </w:pPr>
    </w:p>
    <w:p>
      <w:pPr>
        <w:spacing w:after="0" w:line="307"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Skyworks Solutions, Inc. Non-Qualified Employee Stock Purchase Plan (hereinafter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effective as of October 1, 2002, is intended to provide a method whereby employees of participating organizations (as defined in Article 17) of Skyworks Solutions,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will have an opportunity to acquire a proprietary interest in the Company through the purchase of shares of the Company’s Common Stock. It is the intention of the Company that this Plan authorize the grant of purchase rights and issuance of Common Stock which do not qualify as an “Employee Stock Purchase Plan” under section 423 of the United States Internal Revenue Code of 1986, as amended (the “</w:t>
      </w:r>
      <w:r>
        <w:rPr>
          <w:rFonts w:ascii="Times New Roman" w:cs="Times New Roman" w:eastAsia="Times New Roman" w:hAnsi="Times New Roman"/>
          <w:sz w:val="20"/>
          <w:szCs w:val="20"/>
          <w:b w:val="1"/>
          <w:bCs w:val="1"/>
          <w:i w:val="1"/>
          <w:iCs w:val="1"/>
          <w:color w:val="auto"/>
        </w:rPr>
        <w:t>Internal Revenue Code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Eligible Employees</w:t>
      </w:r>
    </w:p>
    <w:p>
      <w:pPr>
        <w:spacing w:after="0" w:line="2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All employees of any of the participating organizations of the Company who are employed by the Company or a participating organization at least ten (10) business days prior to the first day of the applicable Offering Period or any Special Offering Period (each as defined below), or at such other time on or before the first day of the applicable Offering Period or any Special Offering Period, as determined by the Committee (the “</w:t>
      </w:r>
      <w:r>
        <w:rPr>
          <w:rFonts w:ascii="Times New Roman" w:cs="Times New Roman" w:eastAsia="Times New Roman" w:hAnsi="Times New Roman"/>
          <w:sz w:val="19"/>
          <w:szCs w:val="19"/>
          <w:b w:val="1"/>
          <w:bCs w:val="1"/>
          <w:i w:val="1"/>
          <w:iCs w:val="1"/>
          <w:color w:val="auto"/>
        </w:rPr>
        <w:t>Eligibility Date</w:t>
      </w:r>
      <w:r>
        <w:rPr>
          <w:rFonts w:ascii="Times New Roman" w:cs="Times New Roman" w:eastAsia="Times New Roman" w:hAnsi="Times New Roman"/>
          <w:sz w:val="19"/>
          <w:szCs w:val="19"/>
          <w:color w:val="auto"/>
        </w:rPr>
        <w:t>”), shall be eligible to participate in and receive rights under this Plan to purchase Common Stock. Except as otherwise provided herein, persons who become eligible employees after the Eligibility Date shall be eligible to receive purchase rights on the first day of the next succeeding Offering Period on which purchase rights are granted to eligible employees under the Plan. In no event may an employee be granted a purchase right if such employee, immediately after the purchase right is granted, owns stock possessing five (5%) percent or more of the total combined voting power or value of all classes of stock of the Company or of its parent corporation or subsidiary corporation as the terms “parent corporation” and “subsidiary corporation” are defined in Section 424(e) and (1) of the Internal Revenue Code. For purposes of determining stock ownership under this paragraph, the rules of Section 424(d) of the Internal Revenue Code shall apply and stock which the employee may purchase under outstanding purchase rights shall be treated as stock owned by the employee. All employees who participate in the Plan shall have the same rights and privileges under the Plan except for differences which may be mandated by local law and except that employees participating in a sub-plan adopted pursuant to Article 26 need not have the same rights and privileges as other employees participating in the Plan. The Committee (as defined in Article 18) may impose restrictions on eligibility and participation of employees who are officers and directors to facilitate compliance with federal or state securities laws or foreign laws.</w:t>
      </w:r>
    </w:p>
    <w:p>
      <w:pPr>
        <w:spacing w:after="0" w:line="194"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Subject to the Plan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stock subject to the purchase rights granted hereunder shall be shares of the Company’s authorized but unissued Common Stock or shares of Common Stock reacquired by the Company, including shares purchased in the open market. The aggregate number of shares which may be issued pursuant to the Plan is 2,120,000 for all Offering Periods, including</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amended effective May 14, 2024</w:t>
      </w:r>
    </w:p>
    <w:p>
      <w:pPr>
        <w:sectPr>
          <w:pgSz w:w="11900" w:h="16838" w:orient="portrait"/>
          <w:cols w:equalWidth="0" w:num="1">
            <w:col w:w="11240"/>
          </w:cols>
          <w:pgMar w:left="320" w:top="1413" w:right="339" w:bottom="1440" w:gutter="0" w:footer="0" w:header="0"/>
          <w:type w:val="continuous"/>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20"/>
          <w:szCs w:val="20"/>
          <w:color w:val="auto"/>
        </w:rPr>
        <w:t>any Special Offering Period, subject to increase or decrease by reason of stock split-ups, reclassifications, stock dividends, changes in par value and the like. If any purchase right granted under the Plan shall expire or terminate for any reason without having been exercised in full or shall cease for any reason to be exercisable in whole or in part, the unpurchased shares subject to such purchase right shall again be available under the Plan. If the number of shares of Common Stock available for any Offering Period, including any Special Offering Period, is insufficient to satisfy all purchase requirements for that Offering Period, the available shares for that Offering Period shall be apportioned among participating employees in proportion to their purchase rights.</w:t>
      </w:r>
    </w:p>
    <w:p>
      <w:pPr>
        <w:spacing w:after="0" w:line="197"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Offering Periods and Stock Purchase Rights</w:t>
      </w:r>
    </w:p>
    <w:p>
      <w:pPr>
        <w:spacing w:after="0" w:line="2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There shall be Offering Periods and Special Offering Periods during which payroll deductions or permitted cash contributions will be accumulated under the Plan. Each Offering Period, including any Special Offering Period, includes only regular paydays falling within it, The Committee shall be expressly permitted to establish the Offering Periods and the Special Offering Periods, including the Offering Commencement Date and Offering Termination Date (as both defined below) of any Offering Period or Special Offering Period, under the Plan; provided, however, that in no event shall any Offering Period or Special Offering Period extend for more than twenty-four (24) months.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the foregoing, the Offering Periods shall generally commence and end as follows:</w:t>
      </w:r>
    </w:p>
    <w:p>
      <w:pPr>
        <w:spacing w:after="0" w:line="251" w:lineRule="exact"/>
        <w:rPr>
          <w:sz w:val="20"/>
          <w:szCs w:val="20"/>
          <w:color w:val="auto"/>
        </w:rPr>
      </w:pPr>
    </w:p>
    <w:tbl>
      <w:tblPr>
        <w:tblLayout w:type="fixed"/>
        <w:tblInd w:w="1240" w:type="dxa"/>
        <w:tblCellMar>
          <w:top w:w="0" w:type="dxa"/>
          <w:left w:w="0" w:type="dxa"/>
          <w:bottom w:w="0" w:type="dxa"/>
          <w:right w:w="0" w:type="dxa"/>
        </w:tblCellMar>
      </w:tblPr>
      <w:tr>
        <w:trPr>
          <w:trHeight w:val="230"/>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Offering Period Commencement Dates</w:t>
            </w:r>
          </w:p>
        </w:tc>
        <w:tc>
          <w:tcPr>
            <w:tcW w:w="360" w:type="dxa"/>
            <w:vAlign w:val="bottom"/>
          </w:tcPr>
          <w:p>
            <w:pPr>
              <w:spacing w:after="0"/>
              <w:rPr>
                <w:sz w:val="19"/>
                <w:szCs w:val="19"/>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Offering Period Termination Dates</w:t>
            </w:r>
          </w:p>
        </w:tc>
      </w:tr>
      <w:tr>
        <w:trPr>
          <w:trHeight w:val="539"/>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Each February 1</w:t>
            </w:r>
          </w:p>
        </w:tc>
        <w:tc>
          <w:tcPr>
            <w:tcW w:w="36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Each July 31</w:t>
            </w:r>
          </w:p>
        </w:tc>
      </w:tr>
      <w:tr>
        <w:trPr>
          <w:trHeight w:val="513"/>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Each August 1</w:t>
            </w:r>
          </w:p>
        </w:tc>
        <w:tc>
          <w:tcPr>
            <w:tcW w:w="36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Each January 31</w:t>
            </w:r>
          </w:p>
        </w:tc>
      </w:tr>
    </w:tbl>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Provided, however, that (i) the Offering Commencement Date and Offering Termination Date of the initial Offering Period under this Plan shall be October 1, 2002 and March 31, 2003, respectively, and (ii) the Offering Commencement Date and Offering Termination Date of the Offering Period immediately following the initial Offering Period under this Plan shall be April 1, 2003 and July 31, 2003, respectively.</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foregoing, in the event that the Committee adopts a sub-plan or establishes eligibility pursuant to Article 26 hereof for the employees of a particular organization or location, there will be a Special Offering Period (the “</w:t>
      </w:r>
      <w:r>
        <w:rPr>
          <w:rFonts w:ascii="Times New Roman" w:cs="Times New Roman" w:eastAsia="Times New Roman" w:hAnsi="Times New Roman"/>
          <w:sz w:val="20"/>
          <w:szCs w:val="20"/>
          <w:b w:val="1"/>
          <w:bCs w:val="1"/>
          <w:i w:val="1"/>
          <w:iCs w:val="1"/>
          <w:color w:val="auto"/>
        </w:rPr>
        <w:t>Special Offering Period</w:t>
      </w:r>
      <w:r>
        <w:rPr>
          <w:rFonts w:ascii="Times New Roman" w:cs="Times New Roman" w:eastAsia="Times New Roman" w:hAnsi="Times New Roman"/>
          <w:sz w:val="20"/>
          <w:szCs w:val="20"/>
          <w:color w:val="auto"/>
        </w:rPr>
        <w:t>”) that will begin ten (10) business days after the adoption of such a sub-plan or such establishment of eligibility for all employees that particular organization or location who are eligible as of the date of the Offering Commencement Date of the Special Offering Period.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Offering Commencement Date is the first day of each Offering Period, including any Special Offering Period. The Offering Termination Date is the applicable date on which an Offering Period ends under this Article 4. In the case of a Special Offering Period, the Offering Termination Date is the date which is the Offering Termination Date for the regular Offering Period in which the Offering Commencement Date for such Special Offering Period occurs unless otherwise decided by the Committee in its discretion.</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each Offering Commencement Date, the Company will grant to each eligible employee who is then a participant in the Plan a purchase right to purchase on the Offering Termination Date at the Purchase Right Exercise Price, as hereinafter provided, that number of full shares of Common Stock reserved for the purpose of the Plan, up to a maximum of 1,000 shares, subject to increase or decrease by reason of stock split-ups, reclassifications, stock dividends, changes in par value and the like; provided that such employee remains eligible to participate in the Plan throughout such Offering Period or Special Offering Period, as the case may be. If the eligible employee’s accumulated payroll deductions or permitted cash contributions on the Offering Termination Date would enable the eligible employee to purchase more than 1,000 shares except for the 1,000-share limitation, the excess of the amount of the accumulated payroll deductions or permitted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50" w:lineRule="auto"/>
        <w:rPr>
          <w:sz w:val="20"/>
          <w:szCs w:val="20"/>
          <w:color w:val="auto"/>
        </w:rPr>
      </w:pPr>
      <w:r>
        <w:rPr>
          <w:rFonts w:ascii="Times New Roman" w:cs="Times New Roman" w:eastAsia="Times New Roman" w:hAnsi="Times New Roman"/>
          <w:sz w:val="20"/>
          <w:szCs w:val="20"/>
          <w:color w:val="auto"/>
        </w:rPr>
        <w:t>contributions over the aggregate Purchase Right Exercise Price of the 1,000 shares shall be refunded to the eligible employee by the Company as soon as administratively practicable, without interest (except where required by local law as determined by the Committee). The Purchase Right Exercise Price for each Offering Period, including any Special Offering Period, shall be the lesser of (i) eighty-five percent (85%) of the fair market value of the Common Stock on the Offering Commencement Date, or (ii) eighty-five percent (85%) of the fair market value of the Common Stock on the Offering Termination Date, in either case rounded up to the next whole cent. In the event of an increase or decrease in the number of outstanding shares of Common Stock through stock splits, reclassifications, stock dividends, changes in par value and the like, an appropriate adjustment shall be made in the number of shares and Purchase Right Exercise Price per share provided for under the Plan, either by a proportionate increase in the number of shares and proportionate decrease in the Purchase Right Exercise Price per share, or by a proportionate decrease in the number of shares and a proportionate increase in the Purchase Right Exercise Price per share, as may be required to enable an eligible employee who is then a participant in the Plan to acquire on the Offering Termination Date that number of full shares of Common Stock as his or her accumulated payroll deductions or permitted cash contributions on such date will pay for at a price equal to the lesser of (i) eighty-five percent (85%) of the fair market value of the Common Stock on the Offering Commencement Date, or (ii) eighty-five percent (85%) of the fair market value of the Common Stock on the Offering Termination Date, in either case rounded up to the next whole cent, as so adjusted.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purposes of this Plan, the term “fair market value” means, if the Common Stock is listed on a national securities exchange or is on the (U.S.) National Association of Securities Dealers Automated Quotation (“</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xml:space="preserve">”) Global Select Market system, the closing sale price of the Common Stock on the relevant date on such exchange or as reported on Nasdaq or, if the Common Stock is traded in the over-the-counter securities market, but not on the Nasdaq Global Select Market, the closing bid quotation for the Common Stock, each as published in </w:t>
      </w:r>
      <w:r>
        <w:rPr>
          <w:rFonts w:ascii="Times New Roman" w:cs="Times New Roman" w:eastAsia="Times New Roman" w:hAnsi="Times New Roman"/>
          <w:sz w:val="20"/>
          <w:szCs w:val="20"/>
          <w:i w:val="1"/>
          <w:i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Wall Street Journal</w:t>
      </w:r>
      <w:r>
        <w:rPr>
          <w:rFonts w:ascii="Times New Roman" w:cs="Times New Roman" w:eastAsia="Times New Roman" w:hAnsi="Times New Roman"/>
          <w:sz w:val="20"/>
          <w:szCs w:val="20"/>
          <w:color w:val="auto"/>
        </w:rPr>
        <w:t>, if no shares of Common Stock are traded on the Offering Commencement Date or Offering Termination Date, the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value will be determined on the next regular business day on which shares of Common Stock are traded.</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purposes of this Plan the term “business day” as used herein means a day on which there is trading on the Nasdaq Global Select Market or such national securities exchange on which the Common Stock is listed.</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 employee shall be granted a purchase right which permits the employee to purchase Common Stock under the Plan and any similar plans of the Company or any parent or subsidiary corporations at a rate which exceeds $25,000 of fair market value of such stock (determined at the time such purchase right is granted) for each calendar year in which such purchase right is outstanding at any time. If the participant’s accumulated payroll deductions or permitted cash contributions on the Offering Termination Date would otherwise enable the participant to purchase Common Stock in excess of the $25,000 limitation described in this paragraph, the excess of the amount of the accumulated payroll deductions or permitted cash contributions over the aggregate Purchase Right Exercise Price of the shares actually purchased shall be refunded to the participant by the Company or its participating organization as soon as administratively practicable, without interest (except where required by local law as determined by the Committee).</w:t>
      </w:r>
    </w:p>
    <w:p>
      <w:pPr>
        <w:spacing w:after="0" w:line="200"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of Purchase Right</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eligible employee who continues to be a participant in the Plan on the Offering Termination Date shall be deemed to have exercised his or her purchase right on such date and shall be deemed to have purchased from the Company such number of full shares of Common Stock reserved for the purpose of the Plan as his or her accumulated payroll deductions or permitted cash contributions on such date will pay for at the Purchase Right Exercise Price subject to the 1000-share limit of the purchase right and the $25,000 limitation described in Article 4. If a participant is not an eligible employee on the Offering Termination Date and throughout an Offering Period or Special Offering Period, he or she shall not be entitled to exercise his or her purchase right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If a participant’s accumulated payroll deductions or permitted cash contributions in his or her account are based on a currency other than the U.S. dollar, then on the Offering Termination Date, the accumulated payroll deductions or permitted cash contributions in his or her account will be converted into an equivalent value of U.S. dollars based upon the U.S. dollar-foreign currency exchange rate in effect on that date,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provided that such conversion does not result in an Purchase Right Exercise Price which is, in fact, less than the lesser of an amount equal to </w:t>
      </w:r>
      <w:r>
        <w:rPr>
          <w:rFonts w:ascii="Times New Roman" w:cs="Times New Roman" w:eastAsia="Times New Roman" w:hAnsi="Times New Roman"/>
          <w:sz w:val="20"/>
          <w:szCs w:val="20"/>
          <w:i w:val="1"/>
          <w:iCs w:val="1"/>
          <w:color w:val="auto"/>
        </w:rPr>
        <w:t>85%</w:t>
      </w:r>
      <w:r>
        <w:rPr>
          <w:rFonts w:ascii="Times New Roman" w:cs="Times New Roman" w:eastAsia="Times New Roman" w:hAnsi="Times New Roman"/>
          <w:sz w:val="20"/>
          <w:szCs w:val="20"/>
          <w:color w:val="auto"/>
        </w:rPr>
        <w:t xml:space="preserve"> of the fair market value of the Common Stock on the Offering Commencement Date or 85% of the fair market value of the Common Stock on the Offering Termination Date. The Committee shall have the right to change such conversion date, as they deem appropriate to effectively purchase shares on any Offering Termination Date.</w:t>
      </w:r>
    </w:p>
    <w:p>
      <w:pPr>
        <w:spacing w:after="0" w:line="184"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Authorization for Entering Plan</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 eligible employee may enter the Plan by following a written, electronic or other enrollment process, including a payroll deduction authorization, as prescribed by the Committee. Except as may otherwise be established by the Committee, all enrollment authorizations shall be effective only if delivered to the designated Plan Administrator(s) (as defined in Article 18) in accordance with the prescribed procedures not later than the Eligibility Date or such other time as determined by the Committee. Participation may be conditioned on an eligible employee’s consent to transfer and process personal data and on acknowledgment and agreement to Plan terms and other specified conditions.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or its participating organization will accumulate and hold for the employee’s account the accumulated payroll deductions or cash contributions. No interest will be paid thereon (except where required by local law as determined by the Committee). In jurisdictions in which participating employees may contribute to the Plan through payroll deductions, they may not make any separate cash payments into their account.</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Unless an employee files a new enrollment authorization, or withdraws from the Plan, his or her payroll deductions or cash contribution and purchases under the enrollment authorization he or she has on file under the Plan shall continue as long as the Plan remains in effect. An employee may increase or decrease the amount of his or her payroll deductions or permitted cash contributions as of the next Offering Commencement Date by filing a revised payroll deduction authorization or cash contribution election in accordance with the procedures then applicable to such actions. Except as may otherwise be established by the Committee, all revised authorizations and elections shall be effective only if delivered to the designated Plan Administrator(s) in accordance with the prescribed procedures not later than ten (10) business days before the next Offering Commencement Date.</w:t>
      </w:r>
    </w:p>
    <w:p>
      <w:pPr>
        <w:spacing w:after="0" w:line="184"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Maximum Amount of Payroll Deductions and Permitted Cash Contributions</w:t>
      </w:r>
    </w:p>
    <w:p>
      <w:pPr>
        <w:spacing w:after="0" w:line="2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An employee may authorize payroll deductions or make cash contributions in an aggregate amount of not less than one percent (1%) and not more than fifteen percent (15%) (in whole number percentages only) of his or her eligible compensation. Such deductions or the amount of the cash contribution shall be determined based on the employee’s election in effect on the payday on which such eligible compensation is paid. An employee may not make any additional payments into such account. Except as otherwise required by local laws, eligible compensation means the wages as defined in Section 3401(a) of the internal Revenue Code, determined without regard to any rules that limit compensation included in wages based on the nature or location or employment or services performed, including without limitation base pay, shift premium, overtime, gain sharing (profit sharing), incentive compensation, bonuses and commissions and all other payments made to the employee for services as an employee during the applicable payroll period, and excluding the value of any qualified or non-qualified stock option, purchase right or other share-based award granted to the employee to the extent such value is includible in the taxable wages, reimbursements or other expense allowances, fringe benefits, moving expenses, deferred compensation, and welfare benefits, but determined prior to any exclusions for any amounts deferred under Sections 125, 401(k), 402(e)(3), 402(h)(1)(B), 403(b) or 457(b) of the Internal Revenue Code or for certain contributions described in Section 457(h)(2) of the Internal Revenue Code that are treated as Company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61" w:name="page62"/>
    <w:bookmarkEnd w:id="61"/>
    <w:p>
      <w:pPr>
        <w:spacing w:after="0" w:line="194"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Unused Payroll Deductions and Permitted Cash Contributions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Only full shares of Common Stock may be purchased. Any balance remaining in an employee’s account after a purchase will be reported to the employee and will be carried forward to the next Offering Period. However, in no event will the amount of the unused payroll deductions or permitted cash contributions carried forward from an Offering Period exceed the Purchase Right Exercise Price per share for that Offering Period or Special Offering Period, as the case may be. If for any Offering Period, including any Special Offering Period, the amount of unused payroll deductions or permitted cash contributions should exceed the Purchase Right Exercise Price per share, the amount of the excess for any participant shall be refunded to such participant as soon as administratively practicable, without interest (except where required by local law as determined by the Committee).</w:t>
      </w:r>
    </w:p>
    <w:p>
      <w:pPr>
        <w:spacing w:after="0" w:line="184"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Payroll Deductions or Permitted Cash Contributions</w:t>
      </w:r>
    </w:p>
    <w:p>
      <w:pPr>
        <w:spacing w:after="0" w:line="228"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Deductions or cash contributions may not be increased or decreased during an Offering Period or Special Offering Period, as the case may be.</w:t>
      </w:r>
    </w:p>
    <w:p>
      <w:pPr>
        <w:spacing w:after="0" w:line="178"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Withdrawal from the Plan</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 employee may withdraw from the Plan and withdraw all but not less than all of the payroll deductions or permitted cash contributions credited to his or her account under the Plan prior to the Offering Termination Date by completing and filing a withdrawal notification with the designated Plan Administrator(s) in accordance with the prescribed procedures, in which event the Company will refund as soon as administratively practicable without interest (except where required by local law as determined by the Committee) the entire balance of such employee’s deductions or cash contributions not previously used to purchase Common Stock under the Plan. Except as may otherwise be established by the Committee, all withdrawals shall be effective only if delivered to the designated Plan Administrator(s) in accordance with the prescribed procedures not later than ten (10) business days before the Offering Termination Date.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 employee who withdraws from the Plan is like an employee who has never entered the Plan; the employee’s rights under the Plan will be terminated and no further payroll deductions or cash contributions will be made. To reenter, such an employee must re-enroll pursuant to the provisions of Article 6 before the next Offering Commencement Date which cannot, however, become effective before the beginning of the next Offering Period or Special Offering Period following his or her withdrawal.</w:t>
      </w:r>
    </w:p>
    <w:p>
      <w:pPr>
        <w:spacing w:after="0" w:line="177" w:lineRule="exact"/>
        <w:rPr>
          <w:sz w:val="20"/>
          <w:szCs w:val="20"/>
          <w:color w:val="auto"/>
        </w:rPr>
      </w:pPr>
    </w:p>
    <w:p>
      <w:pPr>
        <w:ind w:left="640" w:hanging="632"/>
        <w:spacing w:after="0"/>
        <w:tabs>
          <w:tab w:leader="none" w:pos="64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Issuance of Stock</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soon as administratively practicable after each Offering Period, including any Special Offering Period, the Company shall deliver (by electronic or other means) to the participant the Common Stock purchased under the Plan, except as specified below. The Committee may permit or require that the Common Stock shares be deposited directly with a broker or agent designated by the Committee, and the Committee may authorize electronic or automated methods of share transfer. In addition, the Committee may establish other procedures to ensure that the Company’s and its subsidiaries’ applicable tax withholding obligations are satisfied.</w:t>
      </w:r>
    </w:p>
    <w:p>
      <w:pPr>
        <w:spacing w:after="0" w:line="197"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Transfer or Assignment of Employee’s Rights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 employee’s rights under the Plan are his or hers alone and may not be transferred or assigned to, or availed of by, any other person. Any purchase right granted to an employee may be exercised only by him or her, except as provided in Article 13 in the event of an employee’s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Employee’s Rights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Except as set forth in the last paragraph of this Article 13, an employee’s rights under the Plan will terminate when he or she ceases to be an employee because of retirement, resignation, lay-off, discharge, death, change of status, or fails to meet the applicable requirements for eligibility in the Plan, or for any other reason. Notwithstanding anything to the contrary contained in Article 10, a withdrawal notice will be considered as having been received from the employee on the day his or her employment ceases, and all payroll deductions or permitted cash contributions not used to purchase Common Stock will be refunded as soon as administratively feasible without interest (except where required by local law as determined by the Committee).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Notwithstanding anything to the contrary contained in Article 10, if an employee’s payroll deductions or permitted cash contributions are interrupted by any legal process, a withdrawal notice will be considered as having been received from him or her on the day the interruption occurs.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Upon termination of the participating employee’s employment because of death, the authorized legal representative of the employee’s estate shall have the right to elect, by written notice given to the Plan Administrators prior to the earlier of the expiration of the thirty (30) day period commencing with the date of the death of the employee or the first Offering Termination Date following the date of the death of the employee, either (i) to withdraw, without interest (except where required by local law as determined by the Committee), all of the payroll deductions or permitted cash contributions credited to the employee’s account under the Plan, or (ii) to exercise the employee’s purchase right for the purchase of shares of Common Stock on the next Offering Termination Date following the date of the employee’s death for the purchase of that number of full shares of Common Stock reserved for the purpose of the Plan which the accumulated payroll deductions or permitted cash contributions in the employee’s account at the date of the employee’s death will purchase at the applicable Purchase Right Exercise Price (subject to the limitations set forth in Article 4), and any excess in such account (in lieu of fractional shares) will be paid to the employee’s estate as soon as administratively practicable, without interest (except where required by local law as determined by the Committee). In the event that no such written notice of election shall be duly received by the Plan Administrators, the payroll deductions or permitted cash contributions credited to the employee’s account at the date of the employee’s death will be paid to the employee’s estate as soon as administratively practicable, without interest (except where required by local law as determined by the Committee).</w:t>
      </w:r>
    </w:p>
    <w:p>
      <w:pPr>
        <w:spacing w:after="0" w:line="185"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and Amendments to Plan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may be terminated at any time by the Company’s Board of Directors or, if sooner, when all of the shares of Common Stock reserved for the purposes of the Plan have been purchased. Upon such termination or any other termination of the Plan, all payroll deductions or permitted cash contributions not used to purchase Common Stock will be refunded without interest (except where required by local law as determined by the Committee).</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Committee or the Board of Directors may, in its sole discretion, insofar as permitted by law, adopt amendments to the Plan from time to time.</w:t>
      </w:r>
    </w:p>
    <w:p>
      <w:pPr>
        <w:spacing w:after="0" w:line="178"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Limitations of Sale of Stock Purchased under the Plan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is intended to provide shares of Common Stock for investment and not for resale. The Company does not, however, intend to restrict or influence any employee in the conduct of his or her own affairs. An employee may, therefore, sell stock purchased under the Plan at any time the employee chooses, subject to compliance with any applicable securities laws and subject to any restrictions imposed under Articles 11 and 25. The employee assumes the risk of any market fluctuations in the price of such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Company’s Offering of Expenses Related to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will bear all costs of administering and carrying out the Plan.</w:t>
      </w:r>
    </w:p>
    <w:p>
      <w:pPr>
        <w:spacing w:after="0" w:line="234"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Participating Organizations</w:t>
      </w:r>
    </w:p>
    <w:p>
      <w:pPr>
        <w:spacing w:after="0" w:line="2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term “participating organizations” shall mean any present or future subsidiary, organization or business unit of the Company which is designated by the Committee to participate in the Plan.</w:t>
      </w:r>
    </w:p>
    <w:p>
      <w:pPr>
        <w:spacing w:after="0" w:line="151"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the Plan</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Plan shall be administered by a committee of “disinterested” directors as that term is defined in Rule 16b-3 under the U.S. Securities Exchange Act of 1934, as amended, appointed by the Board of Directors of the Company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The Committee shall consist of not less than two members of the Company’s Board of Directors. The Board of Directors may from time to time remove members from, or add members to, the Committee. Vacancies on the Committee, howsoever caused, shall be filled by the Board of Directors. No member of the Committee shall be eligible to participate in the Plan while serving as a member of the Committee.</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Committee shall select one of its members as Chairman, and shall hold meetings at such times and places as it may determine. Acts by a majority of the Committee, or acts reduced to or approved in writing by a majority of the members of the Committee, shall be the valid acts of the Committee.</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Committee shall have the authority to construe and interpret the provisions of the Plan and of any purchase rights granted under the Plan, and to establish, amend and revoke rules and regulations for the administration of the Plan. The Committee, in the exercise of this power, may correct any defect, omission or inconsistency in the Plan, in a manner and to the extent it shall deem necessary or expedient to make the Plan fully effective. The interpretation and construction by the Committee of any provisions of the Plan or of any purchase rights granted under it shall be final. The Committee may from time to time adopt such rules and regulations for carrying out the Plan as it may deem best. Without limiting the foregoing, the Committee shall have the power, subject to, and within the limitations of, the express provisions of the Plan:</w:t>
      </w:r>
    </w:p>
    <w:p>
      <w:pPr>
        <w:spacing w:after="0" w:line="179" w:lineRule="exact"/>
        <w:rPr>
          <w:sz w:val="20"/>
          <w:szCs w:val="20"/>
          <w:color w:val="auto"/>
        </w:rPr>
      </w:pPr>
    </w:p>
    <w:p>
      <w:pPr>
        <w:ind w:left="840" w:hanging="643"/>
        <w:spacing w:after="0" w:line="283" w:lineRule="auto"/>
        <w:tabs>
          <w:tab w:leader="none" w:pos="83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when and how purchase rights to purchase shares of Common Stock shall be granted and the provisions of each Offering Period or Special Offering Period (which need not be identical);</w:t>
      </w:r>
    </w:p>
    <w:p>
      <w:pPr>
        <w:spacing w:after="0" w:line="173" w:lineRule="exact"/>
        <w:rPr>
          <w:rFonts w:ascii="Times New Roman" w:cs="Times New Roman" w:eastAsia="Times New Roman" w:hAnsi="Times New Roman"/>
          <w:sz w:val="20"/>
          <w:szCs w:val="20"/>
          <w:color w:val="auto"/>
        </w:rPr>
      </w:pPr>
    </w:p>
    <w:p>
      <w:pPr>
        <w:ind w:left="840" w:hanging="643"/>
        <w:spacing w:after="0"/>
        <w:tabs>
          <w:tab w:leader="none" w:pos="8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designate from time to time which participating organization of the Company shall be eligible to participate in the Plan;</w:t>
      </w:r>
    </w:p>
    <w:p>
      <w:pPr>
        <w:spacing w:after="0" w:line="242" w:lineRule="exact"/>
        <w:rPr>
          <w:rFonts w:ascii="Times New Roman" w:cs="Times New Roman" w:eastAsia="Times New Roman" w:hAnsi="Times New Roman"/>
          <w:sz w:val="20"/>
          <w:szCs w:val="20"/>
          <w:color w:val="auto"/>
        </w:rPr>
      </w:pPr>
    </w:p>
    <w:p>
      <w:pPr>
        <w:ind w:left="840" w:hanging="643"/>
        <w:spacing w:after="0"/>
        <w:tabs>
          <w:tab w:leader="none" w:pos="84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determine the Offering Commencement Date and Offering Termination Date of any Offering Period or Special Offering Period;</w:t>
      </w:r>
    </w:p>
    <w:p>
      <w:pPr>
        <w:spacing w:after="0" w:line="267" w:lineRule="exact"/>
        <w:rPr>
          <w:rFonts w:ascii="Times New Roman" w:cs="Times New Roman" w:eastAsia="Times New Roman" w:hAnsi="Times New Roman"/>
          <w:sz w:val="19"/>
          <w:szCs w:val="19"/>
          <w:color w:val="auto"/>
        </w:rPr>
      </w:pPr>
    </w:p>
    <w:p>
      <w:pPr>
        <w:ind w:left="840" w:right="20" w:hanging="643"/>
        <w:spacing w:after="0" w:line="269" w:lineRule="auto"/>
        <w:tabs>
          <w:tab w:leader="none" w:pos="82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increase or decrease the maximum number of shares which may be purchased by an eligible employee in any Offering Period or Special Offering Period;</w:t>
      </w:r>
    </w:p>
    <w:p>
      <w:pPr>
        <w:spacing w:after="0" w:line="186" w:lineRule="exact"/>
        <w:rPr>
          <w:rFonts w:ascii="Times New Roman" w:cs="Times New Roman" w:eastAsia="Times New Roman" w:hAnsi="Times New Roman"/>
          <w:sz w:val="20"/>
          <w:szCs w:val="20"/>
          <w:color w:val="auto"/>
        </w:rPr>
      </w:pPr>
    </w:p>
    <w:p>
      <w:pPr>
        <w:ind w:left="840" w:hanging="643"/>
        <w:spacing w:after="0"/>
        <w:tabs>
          <w:tab w:leader="none" w:pos="8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the Plan as provided in Article 14; and</w:t>
      </w:r>
    </w:p>
    <w:p>
      <w:pPr>
        <w:spacing w:after="0" w:line="256" w:lineRule="exact"/>
        <w:rPr>
          <w:rFonts w:ascii="Times New Roman" w:cs="Times New Roman" w:eastAsia="Times New Roman" w:hAnsi="Times New Roman"/>
          <w:sz w:val="20"/>
          <w:szCs w:val="20"/>
          <w:color w:val="auto"/>
        </w:rPr>
      </w:pPr>
    </w:p>
    <w:p>
      <w:pPr>
        <w:ind w:left="840" w:hanging="643"/>
        <w:spacing w:after="0" w:line="269" w:lineRule="auto"/>
        <w:tabs>
          <w:tab w:leader="none" w:pos="82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to exercise such powers and to perform such acts as it deems necessary or expedient to promote the best interest of the Company and the participating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64" w:name="page65"/>
    <w:bookmarkEnd w:id="64"/>
    <w:p>
      <w:pPr>
        <w:jc w:val="both"/>
        <w:spacing w:after="0" w:line="310" w:lineRule="auto"/>
        <w:rPr>
          <w:sz w:val="20"/>
          <w:szCs w:val="20"/>
          <w:color w:val="auto"/>
        </w:rPr>
      </w:pPr>
      <w:r>
        <w:rPr>
          <w:rFonts w:ascii="Times New Roman" w:cs="Times New Roman" w:eastAsia="Times New Roman" w:hAnsi="Times New Roman"/>
          <w:sz w:val="19"/>
          <w:szCs w:val="19"/>
          <w:color w:val="auto"/>
        </w:rPr>
        <w:t>The Committee may, insofar as permitted by applicable laws and regulations, limit participation in the Plan, for participating organizations, to employees whose customary employment is greater than twenty (20) hours per week and is more than five (5) months in any calendar year.</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With respect to persons subject to Section 16 of the Securities and Exchange Act of 1934, as amended, transactions under the Plan are intended to comply with all applicable conditions of Rule 1 6b-3 or its successors under said Act. To the extent any provision of the Plan or action by the Committee fails to so comply, it shall be deemed null and void, to the extent permitted by law and deemed advisable by the Committee.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 member of the Board of Directors or the Committee shall be liable for any action or determination made in good faith with respect to the Plan or any purchase right granted under it. The Company shall indemnify each member of the Board of Directors and the Committee to the fullest extent permitted by law with respect to any claim, loss, damage or expense (including counsel fees) arising in connection with their responsibilities under this Plan.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Committee may delegate to one or more individuals the day-to-day administration of the Plan. Without limitation, subject to the terms and conditions of this Plan, the President, the Chief Financial Officer of the Company, and any other officer of the Company or committee of officers or employees designated by the Committee (collectively, the “</w:t>
      </w:r>
      <w:r>
        <w:rPr>
          <w:rFonts w:ascii="Times New Roman" w:cs="Times New Roman" w:eastAsia="Times New Roman" w:hAnsi="Times New Roman"/>
          <w:sz w:val="20"/>
          <w:szCs w:val="20"/>
          <w:b w:val="1"/>
          <w:bCs w:val="1"/>
          <w:i w:val="1"/>
          <w:iCs w:val="1"/>
          <w:color w:val="auto"/>
        </w:rPr>
        <w:t>Plan Administrators</w:t>
      </w:r>
      <w:r>
        <w:rPr>
          <w:rFonts w:ascii="Times New Roman" w:cs="Times New Roman" w:eastAsia="Times New Roman" w:hAnsi="Times New Roman"/>
          <w:sz w:val="20"/>
          <w:szCs w:val="20"/>
          <w:color w:val="auto"/>
        </w:rPr>
        <w:t>”), shall each be authorized to determine the methods through which eligible employees may elect to participate, amend their participation, or withdraw from participation in the Plan, and establish methods of enrollment by means of a manual or electronic form of authorization or an integrated voice response system. The Plan Administrators are further authorized to determine the matters described in Articles 11 and 25 concerning the means of issuance of Common Stock and the procedures established to ensure that the Company’s applicable tax withholding obligations are satisfied.</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soon as administratively practicable after the end of each Offering Period and the Special Offering Period, the Plan Administrators shall prepare and distribute or make otherwise readily available by electronic means or otherwise to each participating employee in the Plan information concerning the amount of the participating employee’s accumulated payroll deductions or permitted cash contributions as of the Offering Termination Date, the Purchase Right Exercise Price for such Offering Period or Special Offering Period, the number of shares of Common Stock purchased by the participating employee with the participating employee’s accumulated payroll deductions or permitted cash contributions, and the amount of any unused payroll deductions or permitted cash contributions either to be carried forward to the next Offering Period or returned to the participating employee without interest or otherwise distributed or retained as required by local law as determined by the Committee.</w:t>
      </w:r>
    </w:p>
    <w:p>
      <w:pPr>
        <w:spacing w:after="0" w:line="200"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Participants Not Stockholders</w:t>
      </w:r>
    </w:p>
    <w:p>
      <w:pPr>
        <w:spacing w:after="0" w:line="21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Neither the granting of a purchase right to an employee nor the deductions from his or her pay shall make such employee a stockholder of the Company with respect to the shares covered by such purchase right until such shares have been purchased by and issued to him or her.</w:t>
      </w:r>
    </w:p>
    <w:p>
      <w:pPr>
        <w:spacing w:after="0" w:line="151"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of Funds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proceeds received by the Company and the participating organization for the purchase Common Stock pursuant to purchase rights granted under the Plan may be used for any corporate purposes, and the Company shall not be obligated to segregate participating employees’ payroll deductions or permitted cash contributions, unless required by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65" w:name="page66"/>
    <w:bookmarkEnd w:id="65"/>
    <w:p>
      <w:pPr>
        <w:spacing w:after="0" w:line="194"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Governmental Regulation</w:t>
      </w:r>
    </w:p>
    <w:p>
      <w:pPr>
        <w:spacing w:after="0" w:line="21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Company’s obligation to sell and deliver shares of the Company’s Common Stock under this Plan is subject to the approval of any governmental authority required in connection with the authorization, issuance or sale of such stock.</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this regard, the Board of Directors may, in its discretion, require as a condition to the exercise of any purchase right that a Registration Statement under the U.S. Securities Act of 1933, as amended, with respect to the shares of Common Stock reserved for issuance upon exercise of the purchase right shall be effective, and that all other applicable provisions of U.S. state and federal and applicable foreign law have been satisfied.</w:t>
      </w:r>
    </w:p>
    <w:p>
      <w:pPr>
        <w:spacing w:after="0" w:line="190"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Transferability</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Neither payroll deductions or permitted cash contributions credited to an employee’s account nor any rights with regard to the exercise of a purchase right or to receive stock under the Plan may be assigned, transferred, pledged, or otherwise disposed of in any way by the employee. Any such attempted assignment, transfer, pledge, or other disposition shall be without effect, except that the Company may treat such act as an election to withdraw funds in accordance with Article 10.</w:t>
      </w:r>
    </w:p>
    <w:p>
      <w:pPr>
        <w:spacing w:after="0" w:line="150"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Changes on Common Stock</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the Company should subdivide or reclassify the Common Stock which has been or may be subject to purchase rights under the Plan, or should declare thereon any dividend payable in shares of such Common Stock, or should take any other action of a similar nature affecting such Common Stock, then the number and class of shares of Common Stock which may thereafter be subject to purchase rights (in the aggregate and to any individual participating employee) shall be adjusted accordingly.</w:t>
      </w:r>
    </w:p>
    <w:p>
      <w:pPr>
        <w:spacing w:after="0" w:line="190"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Merger or Consolidation</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the Company should at any time merge into or consolidate with another corporation, the Board of Directors may, at its election, either (i) terminate the Plan and refund without interest (except where required by local law as determined by the Committee) the entire balance of each participating employee’s payroll deductions or permitted cash contributions, or (ii) entitle each participating employee to receive on the Offering Termination Date upon the exercise of such purchase right for each share of Common Stock as to which such purchase right shall be exercised the securities or property to which a holder of one share of the Common Stock was entitled upon and at the time of such merger or consolidation, and the Board of Directors shall take such steps in connection with such merger or consolidation as the Board of Directors shall deem necessary to assure that the provisions of this Article 24 shall thereafter be applicable, as nearly as reasonably possible. A sale of all or substantially all of the assets of the Company shall be deemed a merger or consolidation for the foregoing purposes.</w:t>
      </w:r>
    </w:p>
    <w:p>
      <w:pPr>
        <w:spacing w:after="0" w:line="200"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of Additional Tax</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By electing to participate in the Plan, each participant acknowledges that the Company and the participating organizations may be required to withhold taxes with respect to the amounts deducted from the participant’s compensation and accumulated for the benefit of the participant under the Plan, and each participant agrees that the Company and the participating organizations may deduct additional amounts from the participant’s compensation, when amounts are added to the participant’s account, used to purchase Common Stock or refunded, in order to satisfy such withholding obligations. Each participant further acknowledges that when Common Stock is purchased under the Plan the Company and the participating organizations may be required to withhold taxes with respect to the Common Stock purchased, and each participant agrees that such taxes may be withheld from compensation otherwise payable to such participant. It is intended that tax withholding will be accomplished in such a manner that the full amount of payroll deductions or permitted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66" w:name="page67"/>
    <w:bookmarkEnd w:id="66"/>
    <w:p>
      <w:pPr>
        <w:jc w:val="both"/>
        <w:spacing w:after="0" w:line="250" w:lineRule="auto"/>
        <w:rPr>
          <w:sz w:val="20"/>
          <w:szCs w:val="20"/>
          <w:color w:val="auto"/>
        </w:rPr>
      </w:pPr>
      <w:r>
        <w:rPr>
          <w:rFonts w:ascii="Times New Roman" w:cs="Times New Roman" w:eastAsia="Times New Roman" w:hAnsi="Times New Roman"/>
          <w:sz w:val="20"/>
          <w:szCs w:val="20"/>
          <w:color w:val="auto"/>
        </w:rPr>
        <w:t>contributions elected by the participant under Article 7 will be used to purchase Common Stock. However, if amounts sufficient to satisfy applicable tax withholding obligations have not been withheld from compensation otherwise payable to any participant then, notwithstanding any other provision of the Plan, the Company and the participating organizations may withhold such taxes from the participant’s accumulated payroll deductions or permitted cash contributions and apply the net amount to the purchase of Common Stock, unless the participant pays to the Company or the participating organizations, prior to the Offer Termination Date, an amount sufficient to satisfy such withholding obligations. Each participant further acknowledges that the Company and the participating organizations may be required to withhold taxes in connection with the disposition of stock acquired under the Plan and agrees that the Company and the participating organizations may take whatever actions they consider appropriate to satisfy such withholding requirements, including deducting from compensation otherwise payable to such participant an amount sufficient to satisfy such withholding requirements or conditioning any disposition of Common Stock by the participant upon the payment to the Company or the participating organizations of an amount sufficient to satisfy such withholding requirements.</w:t>
      </w:r>
    </w:p>
    <w:p>
      <w:pPr>
        <w:spacing w:after="0" w:line="205"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Committee Rules for Foreign Jurisdictions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Committee may adopt rules or procedures relating to the operation and administration of the Plan to accommodate the specific requirements of local laws and procedures. Without limiting the generality of the foregoing, the Committee is specifically authorized to (and to delegate to the Plan Administrators the authority to) adopt rules and procedures regarding handling of payroll deductions, cash contributions, payment of interest, conversion of local currency, tax, withholding procedures and handling of stock certificates which vary with local requirements.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Committee may also adopt sub-plans and establish or discontinue eligibility to participate in the Plan applicable to particular organizations or locations. The rules of such sub-plans may take precedence over other provisions of this Plan, but unless otherwise superseded by the terms of such sub-plan, the provisions of this Plan shall govern the operation of such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67" w:name="page68"/>
    <w:bookmarkEnd w:id="6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68"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CERTIFICATION OF THE CEO PURSUANT TO SECURITIES EXCHANGE ACT RULES 13a-14(a) OR 15d-14(a) 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Liam K. Griffin, certify that:</w:t>
      </w:r>
    </w:p>
    <w:p>
      <w:pPr>
        <w:spacing w:after="0" w:line="117"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Skyworks Solutions,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1"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8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8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July 30, 2024</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2885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Liam K. Griffin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ectPr>
          <w:pgSz w:w="11900" w:h="16838" w:orient="portrait"/>
          <w:cols w:equalWidth="0" w:num="1">
            <w:col w:w="11240"/>
          </w:cols>
          <w:pgMar w:left="320" w:top="887" w:right="339" w:bottom="1440" w:gutter="0" w:footer="0" w:header="0"/>
        </w:sectPr>
      </w:pPr>
    </w:p>
    <w:bookmarkStart w:id="68" w:name="page69"/>
    <w:bookmarkEnd w:id="6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68"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CERTIFICATION OF THE CFO PURSUANT TO SECURITIES EXCHANGE ACT RULES 13a-14(a) OR 15d-14(a) 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17"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Skyworks Solutions,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28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8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July 30, 2024</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425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69" w:name="page70"/>
    <w:bookmarkEnd w:id="69"/>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Skyworks Solutions, Inc. (the “Company”) on Form 10-Q for the period ended June 28, 2024 as filed with the Securities and Exchange Commission on the date hereof (the “Report”), I, Liam K. Griffin, Chairman, Chief Executive Officer and President of the Company, certify, pursuant to 18 U.S.C. Section 1350, as adopted pursuant to Section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Liam K. Griffin</w:t>
      </w:r>
    </w:p>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887" w:right="339" w:bottom="1440" w:gutter="0" w:footer="0" w:header="0"/>
        </w:sectPr>
      </w:pPr>
    </w:p>
    <w:bookmarkStart w:id="70" w:name="page71"/>
    <w:bookmarkEnd w:id="70"/>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6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Skyworks Solutions, Inc. (the “Company”) on Form 10-Q for the period ended June 28, 2024 as filed with the Securities and Exchange Commission on the date hereof (the “Report”), I, Kris Sennesael, Chief Financial Officer of the Company, certify, pursuant to 18 U.S.C. Section 1350, as adopted pursuant to Section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Kris Sennesael</w:t>
      </w: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30,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decimal"/>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1)"/>
      <w:numFmt w:val="decimal"/>
      <w:start w:val="1"/>
    </w:lvl>
  </w:abstractNum>
  <w:abstractNum w:abstractNumId="5">
    <w:nsid w:val="61574095"/>
    <w:multiLevelType w:val="hybridMultilevel"/>
    <w:lvl w:ilvl="0">
      <w:lvlJc w:val="left"/>
      <w:lvlText w:val="%1."/>
      <w:numFmt w:val="decimal"/>
      <w:start w:val="8"/>
    </w:lvl>
  </w:abstractNum>
  <w:abstractNum w:abstractNumId="6">
    <w:nsid w:val="7E0C57B1"/>
    <w:multiLevelType w:val="hybridMultilevel"/>
    <w:lvl w:ilvl="0">
      <w:lvlJc w:val="left"/>
      <w:lvlText w:val="%1."/>
      <w:numFmt w:val="decimal"/>
      <w:start w:val="10"/>
    </w:lvl>
  </w:abstractNum>
  <w:abstractNum w:abstractNumId="7">
    <w:nsid w:val="77AE35EB"/>
    <w:multiLevelType w:val="hybridMultilevel"/>
    <w:lvl w:ilvl="0">
      <w:lvlJc w:val="left"/>
      <w:lvlText w:val="%1."/>
      <w:numFmt w:val="decimal"/>
      <w:start w:val="1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decimal"/>
      <w:start w:val="1"/>
    </w:lvl>
  </w:abstractNum>
  <w:abstractNum w:abstractNumId="10">
    <w:nsid w:val="5FF87E05"/>
    <w:multiLevelType w:val="hybridMultilevel"/>
    <w:lvl w:ilvl="0">
      <w:lvlJc w:val="left"/>
      <w:lvlText w:val="*"/>
      <w:numFmt w:val="bullet"/>
      <w:start w:val="1"/>
    </w:lvl>
    <w:lvl w:ilvl="1">
      <w:lvlJc w:val="left"/>
      <w:lvlText w:val="%2"/>
      <w:numFmt w:val="decimal"/>
      <w:start w:val="104"/>
    </w:lvl>
  </w:abstractNum>
  <w:abstractNum w:abstractNumId="11">
    <w:nsid w:val="2F305DEF"/>
    <w:multiLevelType w:val="hybridMultilevel"/>
    <w:lvl w:ilvl="0">
      <w:lvlJc w:val="left"/>
      <w:lvlText w:val="%1."/>
      <w:numFmt w:val="decimal"/>
      <w:start w:val="1"/>
    </w:lvl>
  </w:abstractNum>
  <w:abstractNum w:abstractNumId="12">
    <w:nsid w:val="25A70BF7"/>
    <w:multiLevelType w:val="hybridMultilevel"/>
    <w:lvl w:ilvl="0">
      <w:lvlJc w:val="left"/>
      <w:lvlText w:val="%1."/>
      <w:numFmt w:val="decimal"/>
      <w:start w:val="2"/>
    </w:lvl>
  </w:abstractNum>
  <w:abstractNum w:abstractNumId="13">
    <w:nsid w:val="1DBABF00"/>
    <w:multiLevelType w:val="hybridMultilevel"/>
    <w:lvl w:ilvl="0">
      <w:lvlJc w:val="left"/>
      <w:lvlText w:val="%1."/>
      <w:numFmt w:val="lowerLetter"/>
      <w:start w:val="1"/>
    </w:lvl>
  </w:abstractNum>
  <w:abstractNum w:abstractNumId="14">
    <w:nsid w:val="4AD084E9"/>
    <w:multiLevelType w:val="hybridMultilevel"/>
    <w:lvl w:ilvl="0">
      <w:lvlJc w:val="left"/>
      <w:lvlText w:val="%1."/>
      <w:numFmt w:val="lowerLetter"/>
      <w:start w:val="6"/>
    </w:lvl>
    <w:lvl w:ilvl="1">
      <w:lvlJc w:val="left"/>
      <w:lvlText w:val="%2."/>
      <w:numFmt w:val="lowerRoman"/>
      <w:start w:val="3"/>
    </w:lvl>
    <w:lvl w:ilvl="2">
      <w:lvlJc w:val="left"/>
      <w:lvlText w:val="%3."/>
      <w:numFmt w:val="lowerRoman"/>
      <w:start w:val="1"/>
    </w:lvl>
    <w:lvl w:ilvl="3">
      <w:lvlJc w:val="left"/>
      <w:lvlText w:val="(%4)"/>
      <w:numFmt w:val="lowerRoman"/>
      <w:start w:val="10"/>
    </w:lvl>
  </w:abstractNum>
  <w:abstractNum w:abstractNumId="15">
    <w:nsid w:val="1F48EAA1"/>
    <w:multiLevelType w:val="hybridMultilevel"/>
    <w:lvl w:ilvl="0">
      <w:lvlJc w:val="left"/>
      <w:lvlText w:val="%1."/>
      <w:numFmt w:val="lowerRoman"/>
      <w:start w:val="3"/>
    </w:lvl>
  </w:abstractNum>
  <w:abstractNum w:abstractNumId="16">
    <w:nsid w:val="1381823A"/>
    <w:multiLevelType w:val="hybridMultilevel"/>
    <w:lvl w:ilvl="0">
      <w:lvlJc w:val="left"/>
      <w:lvlText w:val="%1."/>
      <w:numFmt w:val="lowerRoman"/>
      <w:start w:val="4"/>
    </w:lvl>
  </w:abstractNum>
  <w:abstractNum w:abstractNumId="17">
    <w:nsid w:val="5DB70AE5"/>
    <w:multiLevelType w:val="hybridMultilevel"/>
    <w:lvl w:ilvl="0">
      <w:lvlJc w:val="left"/>
      <w:lvlText w:val="%1."/>
      <w:numFmt w:val="lowerLetter"/>
      <w:start w:val="8"/>
    </w:lvl>
  </w:abstractNum>
  <w:abstractNum w:abstractNumId="18">
    <w:nsid w:val="100F8FCA"/>
    <w:multiLevelType w:val="hybridMultilevel"/>
    <w:lvl w:ilvl="0">
      <w:lvlJc w:val="left"/>
      <w:lvlText w:val="%1."/>
      <w:numFmt w:val="lowerLetter"/>
      <w:start w:val="12"/>
    </w:lvl>
    <w:lvl w:ilvl="1">
      <w:lvlJc w:val="left"/>
      <w:lvlText w:val="%2."/>
      <w:numFmt w:val="lowerRoman"/>
      <w:start w:val="1"/>
    </w:lvl>
  </w:abstractNum>
  <w:abstractNum w:abstractNumId="19">
    <w:nsid w:val="6590700B"/>
    <w:multiLevelType w:val="hybridMultilevel"/>
    <w:lvl w:ilvl="0">
      <w:lvlJc w:val="left"/>
      <w:lvlText w:val="%1"/>
      <w:numFmt w:val="lowerLetter"/>
      <w:start w:val="1"/>
    </w:lvl>
    <w:lvl w:ilvl="1">
      <w:lvlJc w:val="left"/>
      <w:lvlText w:val="%2."/>
      <w:numFmt w:val="lowerRoman"/>
      <w:start w:val="2"/>
    </w:lvl>
  </w:abstractNum>
  <w:abstractNum w:abstractNumId="20">
    <w:nsid w:val="15014ACB"/>
    <w:multiLevelType w:val="hybridMultilevel"/>
    <w:lvl w:ilvl="0">
      <w:lvlJc w:val="left"/>
      <w:lvlText w:val="%1."/>
      <w:numFmt w:val="lowerLetter"/>
      <w:start w:val="23"/>
    </w:lvl>
    <w:lvl w:ilvl="1">
      <w:lvlJc w:val="left"/>
      <w:lvlText w:val="%2."/>
      <w:numFmt w:val="lowerRoman"/>
      <w:start w:val="1"/>
    </w:lvl>
  </w:abstractNum>
  <w:abstractNum w:abstractNumId="21">
    <w:nsid w:val="5F5E7FD0"/>
    <w:multiLevelType w:val="hybridMultilevel"/>
    <w:lvl w:ilvl="0">
      <w:lvlJc w:val="left"/>
      <w:lvlText w:val="%1."/>
      <w:numFmt w:val="lowerLetter"/>
      <w:start w:val="25"/>
    </w:lvl>
  </w:abstractNum>
  <w:abstractNum w:abstractNumId="22">
    <w:nsid w:val="98A3148"/>
    <w:multiLevelType w:val="hybridMultilevel"/>
    <w:lvl w:ilvl="0">
      <w:lvlJc w:val="left"/>
      <w:lvlText w:val="%1."/>
      <w:numFmt w:val="lowerLetter"/>
      <w:start w:val="27"/>
    </w:lvl>
  </w:abstractNum>
  <w:abstractNum w:abstractNumId="23">
    <w:nsid w:val="799D0247"/>
    <w:multiLevelType w:val="hybridMultilevel"/>
    <w:lvl w:ilvl="0">
      <w:lvlJc w:val="left"/>
      <w:lvlText w:val="%1."/>
      <w:numFmt w:val="lowerRoman"/>
      <w:start w:val="1"/>
    </w:lvl>
  </w:abstractNum>
  <w:abstractNum w:abstractNumId="24">
    <w:nsid w:val="6B94764"/>
    <w:multiLevelType w:val="hybridMultilevel"/>
    <w:lvl w:ilvl="0">
      <w:lvlJc w:val="left"/>
      <w:lvlText w:val="(%1)"/>
      <w:numFmt w:val="upperLetter"/>
      <w:start w:val="9"/>
    </w:lvl>
  </w:abstractNum>
  <w:abstractNum w:abstractNumId="25">
    <w:nsid w:val="42C296BD"/>
    <w:multiLevelType w:val="hybridMultilevel"/>
    <w:lvl w:ilvl="0">
      <w:lvlJc w:val="left"/>
      <w:lvlText w:val="(%1)"/>
      <w:numFmt w:val="upperLetter"/>
      <w:start w:val="12"/>
    </w:lvl>
  </w:abstractNum>
  <w:abstractNum w:abstractNumId="26">
    <w:nsid w:val="168E121F"/>
    <w:multiLevelType w:val="hybridMultilevel"/>
    <w:lvl w:ilvl="0">
      <w:lvlJc w:val="left"/>
      <w:lvlText w:val="(%1)"/>
      <w:numFmt w:val="upperLetter"/>
      <w:start w:val="15"/>
    </w:lvl>
  </w:abstractNum>
  <w:abstractNum w:abstractNumId="27">
    <w:nsid w:val="1EBA5D23"/>
    <w:multiLevelType w:val="hybridMultilevel"/>
    <w:lvl w:ilvl="0">
      <w:lvlJc w:val="left"/>
      <w:lvlText w:val="%1."/>
      <w:numFmt w:val="lowerRoman"/>
      <w:start w:val="1"/>
    </w:lvl>
  </w:abstractNum>
  <w:abstractNum w:abstractNumId="28">
    <w:nsid w:val="661E3F1E"/>
    <w:multiLevelType w:val="hybridMultilevel"/>
    <w:lvl w:ilvl="0">
      <w:lvlJc w:val="left"/>
      <w:lvlText w:val="%1."/>
      <w:numFmt w:val="lowerRoman"/>
      <w:start w:val="1"/>
    </w:lvl>
  </w:abstractNum>
  <w:abstractNum w:abstractNumId="29">
    <w:nsid w:val="5DC79EA8"/>
    <w:multiLevelType w:val="hybridMultilevel"/>
    <w:lvl w:ilvl="0">
      <w:lvlJc w:val="left"/>
      <w:lvlText w:val="%1."/>
      <w:numFmt w:val="decimal"/>
      <w:start w:val="3"/>
    </w:lvl>
    <w:lvl w:ilvl="1">
      <w:lvlJc w:val="left"/>
      <w:lvlText w:val="%2."/>
      <w:numFmt w:val="lowerLetter"/>
      <w:start w:val="1"/>
    </w:lvl>
  </w:abstractNum>
  <w:abstractNum w:abstractNumId="30">
    <w:nsid w:val="540A471C"/>
    <w:multiLevelType w:val="hybridMultilevel"/>
    <w:lvl w:ilvl="0">
      <w:lvlJc w:val="left"/>
      <w:lvlText w:val="%1"/>
      <w:numFmt w:val="decimal"/>
      <w:start w:val="1"/>
    </w:lvl>
    <w:lvl w:ilvl="1">
      <w:lvlJc w:val="left"/>
      <w:lvlText w:val="%2."/>
      <w:numFmt w:val="lowerLetter"/>
      <w:start w:val="2"/>
    </w:lvl>
  </w:abstractNum>
  <w:abstractNum w:abstractNumId="31">
    <w:nsid w:val="7BD3EE7B"/>
    <w:multiLevelType w:val="hybridMultilevel"/>
    <w:lvl w:ilvl="0">
      <w:lvlJc w:val="left"/>
      <w:lvlText w:val="%1."/>
      <w:numFmt w:val="decimal"/>
      <w:start w:val="4"/>
    </w:lvl>
    <w:lvl w:ilvl="1">
      <w:lvlJc w:val="left"/>
      <w:lvlText w:val="%2."/>
      <w:numFmt w:val="lowerLetter"/>
      <w:start w:val="1"/>
    </w:lvl>
  </w:abstractNum>
  <w:abstractNum w:abstractNumId="32">
    <w:nsid w:val="51D9C564"/>
    <w:multiLevelType w:val="hybridMultilevel"/>
    <w:lvl w:ilvl="0">
      <w:lvlJc w:val="left"/>
      <w:lvlText w:val="%1"/>
      <w:numFmt w:val="decimal"/>
      <w:start w:val="1"/>
    </w:lvl>
    <w:lvl w:ilvl="1">
      <w:lvlJc w:val="left"/>
      <w:lvlText w:val="%2."/>
      <w:numFmt w:val="lowerLetter"/>
      <w:start w:val="3"/>
    </w:lvl>
  </w:abstractNum>
  <w:abstractNum w:abstractNumId="33">
    <w:nsid w:val="613EFDC5"/>
    <w:multiLevelType w:val="hybridMultilevel"/>
    <w:lvl w:ilvl="0">
      <w:lvlJc w:val="left"/>
      <w:lvlText w:val="%1."/>
      <w:numFmt w:val="decimal"/>
      <w:start w:val="5"/>
    </w:lvl>
    <w:lvl w:ilvl="1">
      <w:lvlJc w:val="left"/>
      <w:lvlText w:val="%2."/>
      <w:numFmt w:val="lowerLetter"/>
      <w:start w:val="1"/>
    </w:lvl>
  </w:abstractNum>
  <w:abstractNum w:abstractNumId="34">
    <w:nsid w:val="BF72B14"/>
    <w:multiLevelType w:val="hybridMultilevel"/>
    <w:lvl w:ilvl="0">
      <w:lvlJc w:val="left"/>
      <w:lvlText w:val="%1."/>
      <w:numFmt w:val="lowerLetter"/>
      <w:start w:val="3"/>
    </w:lvl>
  </w:abstractNum>
  <w:abstractNum w:abstractNumId="35">
    <w:nsid w:val="11447B7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6">
    <w:nsid w:val="42963E5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7">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8">
    <w:nsid w:val="8F2B15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9">
    <w:nsid w:val="1A32234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0">
    <w:nsid w:val="3B0FD37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1">
    <w:nsid w:val="68EB2F63"/>
    <w:multiLevelType w:val="hybridMultilevel"/>
    <w:lvl w:ilvl="0">
      <w:lvlJc w:val="left"/>
      <w:lvlText w:val="%1"/>
      <w:numFmt w:val="lowerLetter"/>
      <w:start w:val="1"/>
    </w:lvl>
    <w:lvl w:ilvl="1">
      <w:lvlJc w:val="left"/>
      <w:lvlText w:val="%2."/>
      <w:numFmt w:val="lowerLetter"/>
      <w:start w:val="61"/>
    </w:lvl>
  </w:abstractNum>
  <w:abstractNum w:abstractNumId="42">
    <w:nsid w:val="4962813B"/>
    <w:multiLevelType w:val="hybridMultilevel"/>
    <w:lvl w:ilvl="0">
      <w:lvlJc w:val="left"/>
      <w:lvlText w:val="%1."/>
      <w:numFmt w:val="lowerLetter"/>
      <w:start w:val="2"/>
    </w:lvl>
    <w:lvl w:ilvl="1">
      <w:lvlJc w:val="left"/>
      <w:lvlText w:val="%2."/>
      <w:numFmt w:val="lowerLetter"/>
      <w:start w:val="9"/>
    </w:lvl>
  </w:abstractNum>
  <w:abstractNum w:abstractNumId="43">
    <w:nsid w:val="60B6DF70"/>
    <w:multiLevelType w:val="hybridMultilevel"/>
    <w:lvl w:ilvl="0">
      <w:lvlJc w:val="left"/>
      <w:lvlText w:val="%1."/>
      <w:numFmt w:val="lowerRoman"/>
      <w:start w:val="2"/>
    </w:lvl>
  </w:abstractNum>
  <w:abstractNum w:abstractNumId="44">
    <w:nsid w:val="6A5EE64"/>
    <w:multiLevelType w:val="hybridMultilevel"/>
    <w:lvl w:ilvl="0">
      <w:lvlJc w:val="left"/>
      <w:lvlText w:val="%1"/>
      <w:numFmt w:val="decimal"/>
      <w:start w:val="1"/>
    </w:lvl>
    <w:lvl w:ilvl="1">
      <w:lvlJc w:val="left"/>
      <w:lvlText w:val="%2."/>
      <w:numFmt w:val="lowerLetter"/>
      <w:start w:val="3"/>
    </w:lvl>
  </w:abstractNum>
  <w:abstractNum w:abstractNumId="45">
    <w:nsid w:val="14330624"/>
    <w:multiLevelType w:val="hybridMultilevel"/>
    <w:lvl w:ilvl="0">
      <w:lvlJc w:val="left"/>
      <w:lvlText w:val="%1."/>
      <w:numFmt w:val="decimal"/>
      <w:start w:val="10"/>
    </w:lvl>
    <w:lvl w:ilvl="1">
      <w:lvlJc w:val="left"/>
      <w:lvlText w:val="%2."/>
      <w:numFmt w:val="lowerLetter"/>
      <w:start w:val="1"/>
    </w:lvl>
  </w:abstractNum>
  <w:abstractNum w:abstractNumId="46">
    <w:nsid w:val="7FFFCA11"/>
    <w:multiLevelType w:val="hybridMultilevel"/>
    <w:lvl w:ilvl="0">
      <w:lvlJc w:val="left"/>
      <w:lvlText w:val="(%1)"/>
      <w:numFmt w:val="lowerRoman"/>
      <w:start w:val="4"/>
    </w:lvl>
  </w:abstractNum>
  <w:abstractNum w:abstractNumId="47">
    <w:nsid w:val="1A27709E"/>
    <w:multiLevelType w:val="hybridMultilevel"/>
    <w:lvl w:ilvl="0">
      <w:lvlJc w:val="left"/>
      <w:lvlText w:val="(%1)"/>
      <w:numFmt w:val="lowerLetter"/>
      <w:start w:val="25"/>
    </w:lvl>
    <w:lvl w:ilvl="1">
      <w:lvlJc w:val="left"/>
      <w:lvlText w:val="%2"/>
      <w:numFmt w:val="lowerLetter"/>
      <w:start w:val="1"/>
    </w:lvl>
  </w:abstractNum>
  <w:abstractNum w:abstractNumId="48">
    <w:nsid w:val="71EA1109"/>
    <w:multiLevelType w:val="hybridMultilevel"/>
    <w:lvl w:ilvl="0">
      <w:lvlJc w:val="left"/>
      <w:lvlText w:val="%1."/>
      <w:numFmt w:val="decimal"/>
      <w:start w:val="11"/>
    </w:lvl>
    <w:lvl w:ilvl="1">
      <w:lvlJc w:val="left"/>
      <w:lvlText w:val="%2."/>
      <w:numFmt w:val="lowerLetter"/>
      <w:start w:val="1"/>
    </w:lvl>
  </w:abstractNum>
  <w:abstractNum w:abstractNumId="49">
    <w:nsid w:val="100F59DC"/>
    <w:multiLevelType w:val="hybridMultilevel"/>
    <w:lvl w:ilvl="0">
      <w:lvlJc w:val="left"/>
      <w:lvlText w:val="%1."/>
      <w:numFmt w:val="lowerLetter"/>
      <w:start w:val="2"/>
    </w:lvl>
  </w:abstractNum>
  <w:abstractNum w:abstractNumId="50">
    <w:nsid w:val="7FB7E0AA"/>
    <w:multiLevelType w:val="hybridMultilevel"/>
    <w:lvl w:ilvl="0">
      <w:lvlJc w:val="left"/>
      <w:lvlText w:val="%1"/>
      <w:numFmt w:val="decimal"/>
      <w:start w:val="1"/>
    </w:lvl>
    <w:lvl w:ilvl="1">
      <w:lvlJc w:val="left"/>
      <w:lvlText w:val="%2."/>
      <w:numFmt w:val="lowerLetter"/>
      <w:start w:val="4"/>
    </w:lvl>
  </w:abstractNum>
  <w:abstractNum w:abstractNumId="51">
    <w:nsid w:val="6EB5BD4"/>
    <w:multiLevelType w:val="hybridMultilevel"/>
    <w:lvl w:ilvl="0">
      <w:lvlJc w:val="left"/>
      <w:lvlText w:val="%1."/>
      <w:numFmt w:val="decimal"/>
      <w:start w:val="12"/>
    </w:lvl>
    <w:lvl w:ilvl="1">
      <w:lvlJc w:val="left"/>
      <w:lvlText w:val="%2."/>
      <w:numFmt w:val="lowerLetter"/>
      <w:start w:val="1"/>
    </w:lvl>
  </w:abstractNum>
  <w:abstractNum w:abstractNumId="52">
    <w:nsid w:val="6F6DD9AC"/>
    <w:multiLevelType w:val="hybridMultilevel"/>
    <w:lvl w:ilvl="0">
      <w:lvlJc w:val="left"/>
      <w:lvlText w:val="%1."/>
      <w:numFmt w:val="lowerLetter"/>
      <w:start w:val="2"/>
    </w:lvl>
    <w:lvl w:ilvl="1">
      <w:lvlJc w:val="left"/>
      <w:lvlText w:val="%2."/>
      <w:numFmt w:val="lowerLetter"/>
      <w:start w:val="9"/>
    </w:lvl>
  </w:abstractNum>
  <w:abstractNum w:abstractNumId="53">
    <w:nsid w:val="94211F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54">
    <w:nsid w:val="885E1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55">
    <w:nsid w:val="76272110"/>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abstractNum>
  <w:abstractNum w:abstractNumId="56">
    <w:nsid w:val="4C04A8AF"/>
    <w:multiLevelType w:val="hybridMultilevel"/>
    <w:lvl w:ilvl="0">
      <w:lvlJc w:val="left"/>
      <w:lvlText w:val="%1"/>
      <w:numFmt w:val="decimal"/>
      <w:start w:val="1"/>
    </w:lvl>
    <w:lvl w:ilvl="1">
      <w:lvlJc w:val="left"/>
      <w:lvlText w:val="%2."/>
      <w:numFmt w:val="lowerLetter"/>
      <w:start w:val="12"/>
    </w:lvl>
  </w:abstractNum>
  <w:abstractNum w:abstractNumId="57">
    <w:nsid w:val="1716703B"/>
    <w:multiLevelType w:val="hybridMultilevel"/>
    <w:lvl w:ilvl="0">
      <w:lvlJc w:val="left"/>
      <w:lvlText w:val="%1."/>
      <w:numFmt w:val="decimal"/>
      <w:start w:val="13"/>
    </w:lvl>
    <w:lvl w:ilvl="1">
      <w:lvlJc w:val="left"/>
      <w:lvlText w:val="%2."/>
      <w:numFmt w:val="lowerLetter"/>
      <w:start w:val="1"/>
    </w:lvl>
  </w:abstractNum>
  <w:abstractNum w:abstractNumId="58">
    <w:nsid w:val="14E17E33"/>
    <w:multiLevelType w:val="hybridMultilevel"/>
    <w:lvl w:ilvl="0">
      <w:lvlJc w:val="left"/>
      <w:lvlText w:val="(%1)"/>
      <w:numFmt w:val="lowerRoman"/>
      <w:start w:val="3"/>
    </w:lvl>
  </w:abstractNum>
  <w:abstractNum w:abstractNumId="59">
    <w:nsid w:val="3222E7CD"/>
    <w:multiLevelType w:val="hybridMultilevel"/>
    <w:lvl w:ilvl="0">
      <w:lvlJc w:val="left"/>
      <w:lvlText w:val="%1."/>
      <w:numFmt w:val="lowerLetter"/>
      <w:start w:val="5"/>
    </w:lvl>
  </w:abstractNum>
  <w:abstractNum w:abstractNumId="60">
    <w:nsid w:val="74DE0EE3"/>
    <w:multiLevelType w:val="hybridMultilevel"/>
    <w:lvl w:ilvl="0">
      <w:lvlJc w:val="left"/>
      <w:lvlText w:val="%1."/>
      <w:numFmt w:val="decimal"/>
      <w:start w:val="1"/>
    </w:lvl>
  </w:abstractNum>
  <w:abstractNum w:abstractNumId="61">
    <w:nsid w:val="68EBC550"/>
    <w:multiLevelType w:val="hybridMultilevel"/>
    <w:lvl w:ilvl="0">
      <w:lvlJc w:val="left"/>
      <w:lvlText w:val="%1."/>
      <w:numFmt w:val="decimal"/>
      <w:start w:val="2"/>
    </w:lvl>
  </w:abstractNum>
  <w:abstractNum w:abstractNumId="62">
    <w:nsid w:val="2DF6D648"/>
    <w:multiLevelType w:val="hybridMultilevel"/>
    <w:lvl w:ilvl="0">
      <w:lvlJc w:val="left"/>
      <w:lvlText w:val="%1."/>
      <w:numFmt w:val="decimal"/>
      <w:start w:val="3"/>
    </w:lvl>
  </w:abstractNum>
  <w:abstractNum w:abstractNumId="63">
    <w:nsid w:val="46B7D447"/>
    <w:multiLevelType w:val="hybridMultilevel"/>
    <w:lvl w:ilvl="0">
      <w:lvlJc w:val="left"/>
      <w:lvlText w:val="%1."/>
      <w:numFmt w:val="decimal"/>
      <w:start w:val="4"/>
    </w:lvl>
  </w:abstractNum>
  <w:abstractNum w:abstractNumId="64">
    <w:nsid w:val="4A2AC315"/>
    <w:multiLevelType w:val="hybridMultilevel"/>
    <w:lvl w:ilvl="0">
      <w:lvlJc w:val="left"/>
      <w:lvlText w:val="%1."/>
      <w:numFmt w:val="decimal"/>
      <w:start w:val="5"/>
    </w:lvl>
  </w:abstractNum>
  <w:abstractNum w:abstractNumId="65">
    <w:nsid w:val="39EE015C"/>
    <w:multiLevelType w:val="hybridMultilevel"/>
    <w:lvl w:ilvl="0">
      <w:lvlJc w:val="left"/>
      <w:lvlText w:val="%1."/>
      <w:numFmt w:val="decimal"/>
      <w:start w:val="6"/>
    </w:lvl>
  </w:abstractNum>
  <w:abstractNum w:abstractNumId="66">
    <w:nsid w:val="57FC4FBB"/>
    <w:multiLevelType w:val="hybridMultilevel"/>
    <w:lvl w:ilvl="0">
      <w:lvlJc w:val="left"/>
      <w:lvlText w:val="%1."/>
      <w:numFmt w:val="decimal"/>
      <w:start w:val="7"/>
    </w:lvl>
  </w:abstractNum>
  <w:abstractNum w:abstractNumId="67">
    <w:nsid w:val="CC1016F"/>
    <w:multiLevelType w:val="hybridMultilevel"/>
    <w:lvl w:ilvl="0">
      <w:lvlJc w:val="left"/>
      <w:lvlText w:val="%1."/>
      <w:numFmt w:val="decimal"/>
      <w:start w:val="8"/>
    </w:lvl>
  </w:abstractNum>
  <w:abstractNum w:abstractNumId="68">
    <w:nsid w:val="43F18422"/>
    <w:multiLevelType w:val="hybridMultilevel"/>
    <w:lvl w:ilvl="0">
      <w:lvlJc w:val="left"/>
      <w:lvlText w:val="%1."/>
      <w:numFmt w:val="decimal"/>
      <w:start w:val="9"/>
    </w:lvl>
  </w:abstractNum>
  <w:abstractNum w:abstractNumId="69">
    <w:nsid w:val="60EF0119"/>
    <w:multiLevelType w:val="hybridMultilevel"/>
    <w:lvl w:ilvl="0">
      <w:lvlJc w:val="left"/>
      <w:lvlText w:val="%1."/>
      <w:numFmt w:val="decimal"/>
      <w:start w:val="10"/>
    </w:lvl>
  </w:abstractNum>
  <w:abstractNum w:abstractNumId="70">
    <w:nsid w:val="26F324BA"/>
    <w:multiLevelType w:val="hybridMultilevel"/>
    <w:lvl w:ilvl="0">
      <w:lvlJc w:val="left"/>
      <w:lvlText w:val="%1."/>
      <w:numFmt w:val="decimal"/>
      <w:start w:val="11"/>
    </w:lvl>
  </w:abstractNum>
  <w:abstractNum w:abstractNumId="71">
    <w:nsid w:val="7F01579B"/>
    <w:multiLevelType w:val="hybridMultilevel"/>
    <w:lvl w:ilvl="0">
      <w:lvlJc w:val="left"/>
      <w:lvlText w:val="%1."/>
      <w:numFmt w:val="decimal"/>
      <w:start w:val="12"/>
    </w:lvl>
  </w:abstractNum>
  <w:abstractNum w:abstractNumId="72">
    <w:nsid w:val="49DA307D"/>
    <w:multiLevelType w:val="hybridMultilevel"/>
    <w:lvl w:ilvl="0">
      <w:lvlJc w:val="left"/>
      <w:lvlText w:val="%1."/>
      <w:numFmt w:val="decimal"/>
      <w:start w:val="13"/>
    </w:lvl>
  </w:abstractNum>
  <w:abstractNum w:abstractNumId="73">
    <w:nsid w:val="7055A5F5"/>
    <w:multiLevelType w:val="hybridMultilevel"/>
    <w:lvl w:ilvl="0">
      <w:lvlJc w:val="left"/>
      <w:lvlText w:val="%1."/>
      <w:numFmt w:val="decimal"/>
      <w:start w:val="14"/>
    </w:lvl>
  </w:abstractNum>
  <w:abstractNum w:abstractNumId="74">
    <w:nsid w:val="5FB8370B"/>
    <w:multiLevelType w:val="hybridMultilevel"/>
    <w:lvl w:ilvl="0">
      <w:lvlJc w:val="left"/>
      <w:lvlText w:val="%1."/>
      <w:numFmt w:val="decimal"/>
      <w:start w:val="15"/>
    </w:lvl>
  </w:abstractNum>
  <w:abstractNum w:abstractNumId="75">
    <w:nsid w:val="50801EE1"/>
    <w:multiLevelType w:val="hybridMultilevel"/>
    <w:lvl w:ilvl="0">
      <w:lvlJc w:val="left"/>
      <w:lvlText w:val="%1."/>
      <w:numFmt w:val="decimal"/>
      <w:start w:val="16"/>
    </w:lvl>
  </w:abstractNum>
  <w:abstractNum w:abstractNumId="76">
    <w:nsid w:val="488AC1A"/>
    <w:multiLevelType w:val="hybridMultilevel"/>
    <w:lvl w:ilvl="0">
      <w:lvlJc w:val="left"/>
      <w:lvlText w:val="%1."/>
      <w:numFmt w:val="decimal"/>
      <w:start w:val="17"/>
    </w:lvl>
  </w:abstractNum>
  <w:abstractNum w:abstractNumId="77">
    <w:nsid w:val="5FB8011C"/>
    <w:multiLevelType w:val="hybridMultilevel"/>
    <w:lvl w:ilvl="0">
      <w:lvlJc w:val="left"/>
      <w:lvlText w:val="%1."/>
      <w:numFmt w:val="decimal"/>
      <w:start w:val="18"/>
    </w:lvl>
  </w:abstractNum>
  <w:abstractNum w:abstractNumId="78">
    <w:nsid w:val="6AA78F7F"/>
    <w:multiLevelType w:val="hybridMultilevel"/>
    <w:lvl w:ilvl="0">
      <w:lvlJc w:val="left"/>
      <w:lvlText w:val="%1."/>
      <w:numFmt w:val="decimal"/>
      <w:start w:val="19"/>
    </w:lvl>
  </w:abstractNum>
  <w:abstractNum w:abstractNumId="79">
    <w:nsid w:val="7672BD23"/>
    <w:multiLevelType w:val="hybridMultilevel"/>
    <w:lvl w:ilvl="0">
      <w:lvlJc w:val="left"/>
      <w:lvlText w:val="%1."/>
      <w:numFmt w:val="decimal"/>
      <w:start w:val="20"/>
    </w:lvl>
  </w:abstractNum>
  <w:abstractNum w:abstractNumId="80">
    <w:nsid w:val="6FC75AF8"/>
    <w:multiLevelType w:val="hybridMultilevel"/>
    <w:lvl w:ilvl="0">
      <w:lvlJc w:val="left"/>
      <w:lvlText w:val="%1."/>
      <w:numFmt w:val="decimal"/>
      <w:start w:val="21"/>
    </w:lvl>
  </w:abstractNum>
  <w:abstractNum w:abstractNumId="81">
    <w:nsid w:val="6A5F7029"/>
    <w:multiLevelType w:val="hybridMultilevel"/>
    <w:lvl w:ilvl="0">
      <w:lvlJc w:val="left"/>
      <w:lvlText w:val="%1."/>
      <w:numFmt w:val="decimal"/>
      <w:start w:val="22"/>
    </w:lvl>
  </w:abstractNum>
  <w:abstractNum w:abstractNumId="82">
    <w:nsid w:val="7D5E18F8"/>
    <w:multiLevelType w:val="hybridMultilevel"/>
    <w:lvl w:ilvl="0">
      <w:lvlJc w:val="left"/>
      <w:lvlText w:val="%1."/>
      <w:numFmt w:val="decimal"/>
      <w:start w:val="23"/>
    </w:lvl>
  </w:abstractNum>
  <w:abstractNum w:abstractNumId="83">
    <w:nsid w:val="5F3534A4"/>
    <w:multiLevelType w:val="hybridMultilevel"/>
    <w:lvl w:ilvl="0">
      <w:lvlJc w:val="left"/>
      <w:lvlText w:val="%1."/>
      <w:numFmt w:val="decimal"/>
      <w:start w:val="24"/>
    </w:lvl>
  </w:abstractNum>
  <w:abstractNum w:abstractNumId="84">
    <w:nsid w:val="73A1821B"/>
    <w:multiLevelType w:val="hybridMultilevel"/>
    <w:lvl w:ilvl="0">
      <w:lvlJc w:val="left"/>
      <w:lvlText w:val="%1."/>
      <w:numFmt w:val="decimal"/>
      <w:start w:val="25"/>
    </w:lvl>
  </w:abstractNum>
  <w:abstractNum w:abstractNumId="85">
    <w:nsid w:val="7DE67713"/>
    <w:multiLevelType w:val="hybridMultilevel"/>
    <w:lvl w:ilvl="0">
      <w:lvlJc w:val="left"/>
      <w:lvlText w:val="%1."/>
      <w:numFmt w:val="decimal"/>
      <w:start w:val="26"/>
    </w:lvl>
  </w:abstractNum>
  <w:abstractNum w:abstractNumId="86">
    <w:nsid w:val="555C55B5"/>
    <w:multiLevelType w:val="hybridMultilevel"/>
    <w:lvl w:ilvl="0">
      <w:lvlJc w:val="left"/>
      <w:lvlText w:val="%1."/>
      <w:numFmt w:val="decimal"/>
      <w:start w:val="27"/>
    </w:lvl>
  </w:abstractNum>
  <w:abstractNum w:abstractNumId="87">
    <w:nsid w:val="3FA62ACA"/>
    <w:multiLevelType w:val="hybridMultilevel"/>
    <w:lvl w:ilvl="0">
      <w:lvlJc w:val="left"/>
      <w:lvlText w:val="%1."/>
      <w:numFmt w:val="decimal"/>
      <w:start w:val="1"/>
    </w:lvl>
  </w:abstractNum>
  <w:abstractNum w:abstractNumId="88">
    <w:nsid w:val="14FCE74E"/>
    <w:multiLevelType w:val="hybridMultilevel"/>
    <w:lvl w:ilvl="0">
      <w:lvlJc w:val="left"/>
      <w:lvlText w:val="%1."/>
      <w:numFmt w:val="decimal"/>
      <w:start w:val="2"/>
    </w:lvl>
  </w:abstractNum>
  <w:abstractNum w:abstractNumId="89">
    <w:nsid w:val="6A3DD3E8"/>
    <w:multiLevelType w:val="hybridMultilevel"/>
    <w:lvl w:ilvl="0">
      <w:lvlJc w:val="left"/>
      <w:lvlText w:val="%1."/>
      <w:numFmt w:val="decimal"/>
      <w:start w:val="3"/>
    </w:lvl>
  </w:abstractNum>
  <w:abstractNum w:abstractNumId="90">
    <w:nsid w:val="71C91298"/>
    <w:multiLevelType w:val="hybridMultilevel"/>
    <w:lvl w:ilvl="0">
      <w:lvlJc w:val="left"/>
      <w:lvlText w:val="%1."/>
      <w:numFmt w:val="decimal"/>
      <w:start w:val="4"/>
    </w:lvl>
  </w:abstractNum>
  <w:abstractNum w:abstractNumId="91">
    <w:nsid w:val="9DAF632"/>
    <w:multiLevelType w:val="hybridMultilevel"/>
    <w:lvl w:ilvl="0">
      <w:lvlJc w:val="left"/>
      <w:lvlText w:val="%1."/>
      <w:numFmt w:val="decimal"/>
      <w:start w:val="5"/>
    </w:lvl>
  </w:abstractNum>
  <w:abstractNum w:abstractNumId="92">
    <w:nsid w:val="53299938"/>
    <w:multiLevelType w:val="hybridMultilevel"/>
    <w:lvl w:ilvl="0">
      <w:lvlJc w:val="left"/>
      <w:lvlText w:val="%1."/>
      <w:numFmt w:val="decimal"/>
      <w:start w:val="6"/>
    </w:lvl>
  </w:abstractNum>
  <w:abstractNum w:abstractNumId="93">
    <w:nsid w:val="1FBFE8E0"/>
    <w:multiLevelType w:val="hybridMultilevel"/>
    <w:lvl w:ilvl="0">
      <w:lvlJc w:val="left"/>
      <w:lvlText w:val="%1."/>
      <w:numFmt w:val="decimal"/>
      <w:start w:val="7"/>
    </w:lvl>
  </w:abstractNum>
  <w:abstractNum w:abstractNumId="94">
    <w:nsid w:val="5092CA79"/>
    <w:multiLevelType w:val="hybridMultilevel"/>
    <w:lvl w:ilvl="0">
      <w:lvlJc w:val="left"/>
      <w:lvlText w:val="%1."/>
      <w:numFmt w:val="decimal"/>
      <w:start w:val="8"/>
    </w:lvl>
  </w:abstractNum>
  <w:abstractNum w:abstractNumId="95">
    <w:nsid w:val="1D545C4D"/>
    <w:multiLevelType w:val="hybridMultilevel"/>
    <w:lvl w:ilvl="0">
      <w:lvlJc w:val="left"/>
      <w:lvlText w:val="%1."/>
      <w:numFmt w:val="decimal"/>
      <w:start w:val="9"/>
    </w:lvl>
  </w:abstractNum>
  <w:abstractNum w:abstractNumId="96">
    <w:nsid w:val="59ADEA3D"/>
    <w:multiLevelType w:val="hybridMultilevel"/>
    <w:lvl w:ilvl="0">
      <w:lvlJc w:val="left"/>
      <w:lvlText w:val="%1."/>
      <w:numFmt w:val="decimal"/>
      <w:start w:val="10"/>
    </w:lvl>
  </w:abstractNum>
  <w:abstractNum w:abstractNumId="97">
    <w:nsid w:val="288F1A34"/>
    <w:multiLevelType w:val="hybridMultilevel"/>
    <w:lvl w:ilvl="0">
      <w:lvlJc w:val="left"/>
      <w:lvlText w:val="%1."/>
      <w:numFmt w:val="decimal"/>
      <w:start w:val="11"/>
    </w:lvl>
  </w:abstractNum>
  <w:abstractNum w:abstractNumId="98">
    <w:nsid w:val="2A155DBC"/>
    <w:multiLevelType w:val="hybridMultilevel"/>
    <w:lvl w:ilvl="0">
      <w:lvlJc w:val="left"/>
      <w:lvlText w:val="%1."/>
      <w:numFmt w:val="decimal"/>
      <w:start w:val="12"/>
    </w:lvl>
  </w:abstractNum>
  <w:abstractNum w:abstractNumId="99">
    <w:nsid w:val="1D9F6E5F"/>
    <w:multiLevelType w:val="hybridMultilevel"/>
    <w:lvl w:ilvl="0">
      <w:lvlJc w:val="left"/>
      <w:lvlText w:val="%1."/>
      <w:numFmt w:val="decimal"/>
      <w:start w:val="13"/>
    </w:lvl>
  </w:abstractNum>
  <w:abstractNum w:abstractNumId="100">
    <w:nsid w:val="97E1B4E"/>
    <w:multiLevelType w:val="hybridMultilevel"/>
    <w:lvl w:ilvl="0">
      <w:lvlJc w:val="left"/>
      <w:lvlText w:val="%1."/>
      <w:numFmt w:val="decimal"/>
      <w:start w:val="14"/>
    </w:lvl>
  </w:abstractNum>
  <w:abstractNum w:abstractNumId="101">
    <w:nsid w:val="51088277"/>
    <w:multiLevelType w:val="hybridMultilevel"/>
    <w:lvl w:ilvl="0">
      <w:lvlJc w:val="left"/>
      <w:lvlText w:val="%1."/>
      <w:numFmt w:val="decimal"/>
      <w:start w:val="15"/>
    </w:lvl>
  </w:abstractNum>
  <w:abstractNum w:abstractNumId="102">
    <w:nsid w:val="1CA0C5FA"/>
    <w:multiLevelType w:val="hybridMultilevel"/>
    <w:lvl w:ilvl="0">
      <w:lvlJc w:val="left"/>
      <w:lvlText w:val="%1."/>
      <w:numFmt w:val="decimal"/>
      <w:start w:val="16"/>
    </w:lvl>
  </w:abstractNum>
  <w:abstractNum w:abstractNumId="103">
    <w:nsid w:val="53584BCB"/>
    <w:multiLevelType w:val="hybridMultilevel"/>
    <w:lvl w:ilvl="0">
      <w:lvlJc w:val="left"/>
      <w:lvlText w:val="%1."/>
      <w:numFmt w:val="decimal"/>
      <w:start w:val="17"/>
    </w:lvl>
  </w:abstractNum>
  <w:abstractNum w:abstractNumId="104">
    <w:nsid w:val="415E286C"/>
    <w:multiLevelType w:val="hybridMultilevel"/>
    <w:lvl w:ilvl="0">
      <w:lvlJc w:val="left"/>
      <w:lvlText w:val="%1."/>
      <w:numFmt w:val="decimal"/>
      <w:start w:val="18"/>
    </w:lvl>
  </w:abstractNum>
  <w:abstractNum w:abstractNumId="105">
    <w:nsid w:val="7C58FD05"/>
    <w:multiLevelType w:val="hybridMultilevel"/>
    <w:lvl w:ilvl="0">
      <w:lvlJc w:val="left"/>
      <w:lvlText w:val="(%1)"/>
      <w:numFmt w:val="lowerRoman"/>
      <w:start w:val="1"/>
    </w:lvl>
  </w:abstractNum>
  <w:abstractNum w:abstractNumId="106">
    <w:nsid w:val="23D86AAC"/>
    <w:multiLevelType w:val="hybridMultilevel"/>
    <w:lvl w:ilvl="0">
      <w:lvlJc w:val="left"/>
      <w:lvlText w:val="%1."/>
      <w:numFmt w:val="decimal"/>
      <w:start w:val="19"/>
    </w:lvl>
  </w:abstractNum>
  <w:abstractNum w:abstractNumId="107">
    <w:nsid w:val="45E6D486"/>
    <w:multiLevelType w:val="hybridMultilevel"/>
    <w:lvl w:ilvl="0">
      <w:lvlJc w:val="left"/>
      <w:lvlText w:val="%1."/>
      <w:numFmt w:val="decimal"/>
      <w:start w:val="20"/>
    </w:lvl>
  </w:abstractNum>
  <w:abstractNum w:abstractNumId="108">
    <w:nsid w:val="5C10FE21"/>
    <w:multiLevelType w:val="hybridMultilevel"/>
    <w:lvl w:ilvl="0">
      <w:lvlJc w:val="left"/>
      <w:lvlText w:val="%1."/>
      <w:numFmt w:val="decimal"/>
      <w:start w:val="21"/>
    </w:lvl>
  </w:abstractNum>
  <w:abstractNum w:abstractNumId="109">
    <w:nsid w:val="E7FFA2B"/>
    <w:multiLevelType w:val="hybridMultilevel"/>
    <w:lvl w:ilvl="0">
      <w:lvlJc w:val="left"/>
      <w:lvlText w:val="%1."/>
      <w:numFmt w:val="decimal"/>
      <w:start w:val="22"/>
    </w:lvl>
  </w:abstractNum>
  <w:abstractNum w:abstractNumId="110">
    <w:nsid w:val="3C5991AA"/>
    <w:multiLevelType w:val="hybridMultilevel"/>
    <w:lvl w:ilvl="0">
      <w:lvlJc w:val="left"/>
      <w:lvlText w:val="%1."/>
      <w:numFmt w:val="decimal"/>
      <w:start w:val="23"/>
    </w:lvl>
  </w:abstractNum>
  <w:abstractNum w:abstractNumId="111">
    <w:nsid w:val="4BD8591A"/>
    <w:multiLevelType w:val="hybridMultilevel"/>
    <w:lvl w:ilvl="0">
      <w:lvlJc w:val="left"/>
      <w:lvlText w:val="%1."/>
      <w:numFmt w:val="decimal"/>
      <w:start w:val="24"/>
    </w:lvl>
  </w:abstractNum>
  <w:abstractNum w:abstractNumId="112">
    <w:nsid w:val="78DF6A55"/>
    <w:multiLevelType w:val="hybridMultilevel"/>
    <w:lvl w:ilvl="0">
      <w:lvlJc w:val="left"/>
      <w:lvlText w:val="%1."/>
      <w:numFmt w:val="decimal"/>
      <w:start w:val="25"/>
    </w:lvl>
  </w:abstractNum>
  <w:abstractNum w:abstractNumId="113">
    <w:nsid w:val="39B7AAA2"/>
    <w:multiLevelType w:val="hybridMultilevel"/>
    <w:lvl w:ilvl="0">
      <w:lvlJc w:val="left"/>
      <w:lvlText w:val="%1."/>
      <w:numFmt w:val="decimal"/>
      <w:start w:val="26"/>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2024-07-31T05:48:06Z</dcterms:created>
  <dcterms:modified xsi:type="dcterms:W3CDTF">2024-07-31T05:48:06Z</dcterms:modified>
</cp:coreProperties>
</file>