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 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6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20"/>
        </w:rPr>
        <w:t>QUARTERLY REPORT PURSUANT TO SECTION 13 OR 15(d) OF THE SECURITIES EXCHANGE ACT OF 1934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April 3, 2026</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p>
      <w:pPr>
        <w:pStyle w:val="TextBody"/>
        <w:bidi w:val="0"/>
        <w:spacing w:lineRule="auto" w:line="288" w:before="0" w:after="0"/>
        <w:ind w:left="0" w:right="0" w:firstLine="360"/>
        <w:jc w:val="left"/>
        <w:rPr/>
      </w:pPr>
      <w:r>
        <w:rPr>
          <w:color w:val="000000"/>
        </w:rPr>
        <w:t xml:space="preserve">☐ </w:t>
      </w:r>
      <w:r>
        <w:rPr>
          <w:rFonts w:ascii="Times New Roman;serif" w:hAnsi="Times New Roman;serif"/>
          <w:b w:val="false"/>
          <w:color w:val="000000"/>
          <w:sz w:val="20"/>
        </w:rPr>
        <w:t>TRANSITION REPORT 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For the transition period from __________to__________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001-05560 </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Skyworks Solutions, Inc. </w:t>
      </w:r>
    </w:p>
    <w:p>
      <w:pPr>
        <w:pStyle w:val="TextBody"/>
        <w:bidi w:val="0"/>
        <w:spacing w:lineRule="auto" w:line="288" w:before="0" w:after="16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44" w:type="dxa"/>
        <w:jc w:val="center"/>
        <w:tblInd w:w="0" w:type="dxa"/>
        <w:tblLayout w:type="fixed"/>
        <w:tblCellMar>
          <w:top w:w="28" w:type="dxa"/>
          <w:left w:w="28" w:type="dxa"/>
          <w:bottom w:w="28" w:type="dxa"/>
          <w:right w:w="28" w:type="dxa"/>
        </w:tblCellMar>
      </w:tblPr>
      <w:tblGrid>
        <w:gridCol w:w="1562"/>
        <w:gridCol w:w="1371"/>
        <w:gridCol w:w="1387"/>
        <w:gridCol w:w="766"/>
        <w:gridCol w:w="766"/>
        <w:gridCol w:w="1092"/>
      </w:tblGrid>
      <w:tr>
        <w:trPr/>
        <w:tc>
          <w:tcPr>
            <w:tcW w:w="15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04-2302115</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No.)</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5260 California Avenue</w:t>
            </w:r>
          </w:p>
        </w:tc>
        <w:tc>
          <w:tcPr>
            <w:tcW w:w="26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92617</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Irvine, California</w:t>
            </w:r>
          </w:p>
        </w:tc>
        <w:tc>
          <w:tcPr>
            <w:tcW w:w="26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(Zip Code)</w:t>
            </w:r>
          </w:p>
        </w:tc>
      </w:tr>
    </w:tbl>
    <w:tbl>
      <w:tblPr>
        <w:tblW w:w="3878" w:type="dxa"/>
        <w:jc w:val="center"/>
        <w:tblInd w:w="0" w:type="dxa"/>
        <w:tblLayout w:type="fixed"/>
        <w:tblCellMar>
          <w:top w:w="28" w:type="dxa"/>
          <w:left w:w="28" w:type="dxa"/>
          <w:bottom w:w="28" w:type="dxa"/>
          <w:right w:w="28" w:type="dxa"/>
        </w:tblCellMar>
      </w:tblPr>
      <w:tblGrid>
        <w:gridCol w:w="223"/>
        <w:gridCol w:w="196"/>
        <w:gridCol w:w="196"/>
        <w:gridCol w:w="323"/>
        <w:gridCol w:w="323"/>
        <w:gridCol w:w="326"/>
        <w:gridCol w:w="539"/>
        <w:gridCol w:w="539"/>
        <w:gridCol w:w="543"/>
        <w:gridCol w:w="196"/>
        <w:gridCol w:w="196"/>
        <w:gridCol w:w="278"/>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(949)</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231-3000</w:t>
            </w:r>
          </w:p>
        </w:tc>
        <w:tc>
          <w:tcPr>
            <w:tcW w:w="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8" w:type="dxa"/>
            <w:gridSpan w:val="12"/>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824" w:type="dxa"/>
        <w:jc w:val="center"/>
        <w:tblInd w:w="0" w:type="dxa"/>
        <w:tblLayout w:type="fixed"/>
        <w:tblCellMar>
          <w:top w:w="28" w:type="dxa"/>
          <w:left w:w="28" w:type="dxa"/>
          <w:bottom w:w="28" w:type="dxa"/>
          <w:right w:w="28" w:type="dxa"/>
        </w:tblCellMar>
      </w:tblPr>
      <w:tblGrid>
        <w:gridCol w:w="566"/>
        <w:gridCol w:w="498"/>
        <w:gridCol w:w="498"/>
        <w:gridCol w:w="498"/>
        <w:gridCol w:w="498"/>
        <w:gridCol w:w="498"/>
        <w:gridCol w:w="484"/>
        <w:gridCol w:w="484"/>
        <w:gridCol w:w="486"/>
        <w:gridCol w:w="970"/>
        <w:gridCol w:w="970"/>
        <w:gridCol w:w="1374"/>
      </w:tblGrid>
      <w:tr>
        <w:trPr/>
        <w:tc>
          <w:tcPr>
            <w:tcW w:w="56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$0.25 per share</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SWKS</w:t>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lineRule="auto" w:line="288" w:before="0" w:after="0"/>
        <w:jc w:val="both"/>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 xml:space="preserve">No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xml:space="preserve">☑ </w:t>
      </w:r>
      <w:r>
        <w:rPr>
          <w:rFonts w:ascii="Times New Roman;serif" w:hAnsi="Times New Roman;serif"/>
          <w:b w:val="false"/>
          <w:color w:val="000000"/>
          <w:sz w:val="16"/>
        </w:rPr>
        <w:t>Yes</w:t>
      </w:r>
      <w:r>
        <w:rPr>
          <w:color w:val="000000"/>
        </w:rPr>
        <w:t xml:space="preserve"> ☐ </w:t>
      </w:r>
      <w:r>
        <w:rPr>
          <w:rFonts w:ascii="Times New Roman;serif" w:hAnsi="Times New Roman;serif"/>
          <w:b w:val="false"/>
          <w:color w:val="000000"/>
          <w:sz w:val="16"/>
        </w:rPr>
        <w:t>No</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10144"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499"/>
        <w:gridCol w:w="499"/>
        <w:gridCol w:w="501"/>
        <w:gridCol w:w="604"/>
        <w:gridCol w:w="604"/>
        <w:gridCol w:w="606"/>
        <w:gridCol w:w="704"/>
        <w:gridCol w:w="704"/>
        <w:gridCol w:w="707"/>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Accelerated filer </w:t>
            </w:r>
            <w:r>
              <w:rPr>
                <w:color w:val="000000"/>
              </w:rPr>
              <w:t>☐</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Non-accelerated filer </w:t>
            </w:r>
            <w:r>
              <w:rPr>
                <w:color w:val="000000"/>
              </w:rPr>
              <w:t>☐</w:t>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 xml:space="preserve">Indicate by check mark whether the registrant is a shell company (as defined in Rule 12b-2 of the Exchange Act). </w:t>
      </w:r>
      <w:r>
        <w:rPr>
          <w:color w:val="000000"/>
        </w:rPr>
        <w:t xml:space="preserve">☐ </w:t>
      </w:r>
      <w:r>
        <w:rPr>
          <w:rFonts w:ascii="Times New Roman;serif" w:hAnsi="Times New Roman;serif"/>
          <w:b w:val="false"/>
          <w:color w:val="000000"/>
          <w:sz w:val="16"/>
        </w:rPr>
        <w:t xml:space="preserve">Yes </w:t>
      </w:r>
      <w:r>
        <w:rPr>
          <w:color w:val="000000"/>
        </w:rPr>
        <w:t xml:space="preserve">☑ </w:t>
      </w:r>
      <w:r>
        <w:rPr>
          <w:rFonts w:ascii="Times New Roman;serif" w:hAnsi="Times New Roman;serif"/>
          <w:b w:val="false"/>
          <w:color w:val="000000"/>
          <w:sz w:val="16"/>
        </w:rPr>
        <w:t>No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As of April 30, 2026, the registrant had 150,405,963 shares of common stock, par value $0.25 per share,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SKYWORKS SOLUTIONS,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QUARTERLY REPORT ON FORM 10-Q</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 ENDED APRIL 3,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TABLE OF CONTENTS</w:t>
      </w:r>
    </w:p>
    <w:tbl>
      <w:tblPr>
        <w:tblW w:w="10094" w:type="dxa"/>
        <w:jc w:val="left"/>
        <w:tblInd w:w="0" w:type="dxa"/>
        <w:tblLayout w:type="fixed"/>
        <w:tblCellMar>
          <w:top w:w="28" w:type="dxa"/>
          <w:left w:w="28" w:type="dxa"/>
          <w:bottom w:w="28" w:type="dxa"/>
          <w:right w:w="28" w:type="dxa"/>
        </w:tblCellMar>
      </w:tblPr>
      <w:tblGrid>
        <w:gridCol w:w="3302"/>
        <w:gridCol w:w="2899"/>
        <w:gridCol w:w="2904"/>
        <w:gridCol w:w="288"/>
        <w:gridCol w:w="288"/>
        <w:gridCol w:w="413"/>
      </w:tblGrid>
      <w:tr>
        <w:trPr/>
        <w:tc>
          <w:tcPr>
            <w:tcW w:w="3302" w:type="dxa"/>
            <w:tcBorders/>
            <w:vAlign w:val="center"/>
          </w:tcPr>
          <w:p>
            <w:pPr>
              <w:pStyle w:val="TableContents"/>
              <w:bidi w:val="0"/>
              <w:spacing w:before="0" w:after="283"/>
              <w:jc w:val="left"/>
              <w:rPr>
                <w:sz w:val="4"/>
                <w:szCs w:val="4"/>
              </w:rPr>
            </w:pPr>
            <w:r>
              <w:rPr>
                <w:sz w:val="4"/>
                <w:szCs w:val="4"/>
              </w:rPr>
            </w:r>
          </w:p>
        </w:tc>
        <w:tc>
          <w:tcPr>
            <w:tcW w:w="2899"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 NO.</w:t>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0">
              <w:r>
                <w:rPr>
                  <w:rStyle w:val="InternetLink"/>
                  <w:rFonts w:ascii="Times New Roman;serif" w:hAnsi="Times New Roman;serif"/>
                  <w:b w:val="false"/>
                  <w:color w:val="0000FF"/>
                  <w:sz w:val="16"/>
                  <w:u w:val="single"/>
                </w:rPr>
                <w:t>PART I. FINANCIAL INFORMATION</w:t>
              </w:r>
            </w:hyperlink>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3">
              <w:r>
                <w:rPr>
                  <w:rStyle w:val="InternetLink"/>
                  <w:rFonts w:ascii="Times New Roman;serif" w:hAnsi="Times New Roman;serif"/>
                  <w:b w:val="false"/>
                  <w:color w:val="0000FF"/>
                  <w:sz w:val="16"/>
                  <w:u w:val="single"/>
                </w:rPr>
                <w:t>ITEM 1: FINANCIAL STATEMENTS (UNAUDITED)</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0">
              <w:r>
                <w:rPr>
                  <w:rStyle w:val="InternetLink"/>
                  <w:rFonts w:ascii="Times New Roman;serif" w:hAnsi="Times New Roman;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6">
              <w:r>
                <w:rPr>
                  <w:rStyle w:val="InternetLink"/>
                  <w:rFonts w:ascii="Times New Roman;serif" w:hAnsi="Times New Roman;serif"/>
                  <w:b w:val="false"/>
                  <w:color w:val="0000FF"/>
                  <w:sz w:val="16"/>
                  <w:u w:val="single"/>
                </w:rPr>
                <w:t>CONSOLIDATED STATEMENTS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6">
              <w:r>
                <w:rPr>
                  <w:rStyle w:val="InternetLink"/>
                  <w:rFonts w:ascii="Times New Roman;serif" w:hAnsi="Times New Roman;serif"/>
                  <w:b w:val="false"/>
                  <w:color w:val="0000FF"/>
                  <w:sz w:val="18"/>
                  <w:u w:val="single"/>
                </w:rPr>
                <w:t>2</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9">
              <w:r>
                <w:rPr>
                  <w:rStyle w:val="InternetLink"/>
                  <w:rFonts w:ascii="Times New Roman;serif" w:hAnsi="Times New Roman;serif"/>
                  <w:b w:val="false"/>
                  <w:color w:val="0000FF"/>
                  <w:sz w:val="16"/>
                  <w:u w:val="single"/>
                </w:rPr>
                <w:t>CONSOLIDATED STATEMENTS OF COMPREHENSIVE INCOME</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9">
              <w:r>
                <w:rPr>
                  <w:rStyle w:val="InternetLink"/>
                  <w:rFonts w:ascii="Times New Roman;serif" w:hAnsi="Times New Roman;serif"/>
                  <w:b w:val="false"/>
                  <w:color w:val="0000FF"/>
                  <w:sz w:val="18"/>
                  <w:u w:val="single"/>
                </w:rPr>
                <w:t>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22">
              <w:r>
                <w:rPr>
                  <w:rStyle w:val="InternetLink"/>
                  <w:rFonts w:ascii="Times New Roman;serif" w:hAnsi="Times New Roman;serif"/>
                  <w:b w:val="false"/>
                  <w:color w:val="0000FF"/>
                  <w:sz w:val="16"/>
                  <w:u w:val="single"/>
                </w:rPr>
                <w:t>CONSOLIDATED BALANCE SHEETS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22">
              <w:r>
                <w:rPr>
                  <w:rStyle w:val="InternetLink"/>
                  <w:rFonts w:ascii="Times New Roman;serif" w:hAnsi="Times New Roman;serif"/>
                  <w:b w:val="false"/>
                  <w:color w:val="0000FF"/>
                  <w:sz w:val="18"/>
                  <w:u w:val="single"/>
                </w:rPr>
                <w:t>4</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25">
              <w:r>
                <w:rPr>
                  <w:rStyle w:val="InternetLink"/>
                  <w:rFonts w:ascii="Times New Roman;serif" w:hAnsi="Times New Roman;serif"/>
                  <w:b w:val="false"/>
                  <w:color w:val="0000FF"/>
                  <w:sz w:val="16"/>
                  <w:u w:val="single"/>
                </w:rPr>
                <w:t>CONSOLIDATED STATEMENTS OF CASH FLOWS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25">
              <w:r>
                <w:rPr>
                  <w:rStyle w:val="InternetLink"/>
                  <w:rFonts w:ascii="Times New Roman;serif" w:hAnsi="Times New Roman;serif"/>
                  <w:b w:val="false"/>
                  <w:color w:val="0000FF"/>
                  <w:sz w:val="18"/>
                  <w:u w:val="single"/>
                </w:rPr>
                <w:t>5</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28">
              <w:r>
                <w:rPr>
                  <w:rStyle w:val="InternetLink"/>
                  <w:rFonts w:ascii="Times New Roman;serif" w:hAnsi="Times New Roman;serif"/>
                  <w:b w:val="false"/>
                  <w:color w:val="0000FF"/>
                  <w:sz w:val="16"/>
                  <w:u w:val="single"/>
                </w:rPr>
                <w:t>CONSOLIDATED STATEMENTS OF STOCKHOLDERS' EQUITY</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28">
              <w:r>
                <w:rPr>
                  <w:rStyle w:val="InternetLink"/>
                  <w:rFonts w:ascii="Times New Roman;serif" w:hAnsi="Times New Roman;serif"/>
                  <w:b w:val="false"/>
                  <w:color w:val="0000FF"/>
                  <w:sz w:val="18"/>
                  <w:u w:val="single"/>
                </w:rPr>
                <w:t>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31">
              <w:r>
                <w:rPr>
                  <w:rStyle w:val="InternetLink"/>
                  <w:rFonts w:ascii="Times New Roman;serif" w:hAnsi="Times New Roman;serif"/>
                  <w:b w:val="false"/>
                  <w:color w:val="0000FF"/>
                  <w:sz w:val="16"/>
                  <w:u w:val="single"/>
                </w:rPr>
                <w:t>NOTES TO CONSOLIDATED FINANCIAL STATEMENTS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31">
              <w:r>
                <w:rPr>
                  <w:rStyle w:val="InternetLink"/>
                  <w:rFonts w:ascii="Times New Roman;serif" w:hAnsi="Times New Roman;serif"/>
                  <w:b w:val="false"/>
                  <w:color w:val="0000FF"/>
                  <w:sz w:val="18"/>
                  <w:u w:val="single"/>
                </w:rPr>
                <w:t>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79">
              <w:r>
                <w:rPr>
                  <w:rStyle w:val="InternetLink"/>
                  <w:rFonts w:ascii="Times New Roman;serif" w:hAnsi="Times New Roman;serif"/>
                  <w:b w:val="false"/>
                  <w:color w:val="0000FF"/>
                  <w:sz w:val="16"/>
                  <w:u w:val="single"/>
                </w:rPr>
                <w:t>ITEM 2: MANAGEMENT’S DISCUSSION AND ANALYSIS OF FINANCIAL CONDITION AND RESULTS OF OPERATIONS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79">
              <w:r>
                <w:rPr>
                  <w:rStyle w:val="InternetLink"/>
                  <w:rFonts w:ascii="Times New Roman;serif" w:hAnsi="Times New Roman;serif"/>
                  <w:b w:val="false"/>
                  <w:color w:val="0000FF"/>
                  <w:sz w:val="18"/>
                  <w:u w:val="single"/>
                </w:rPr>
                <w:t>17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91">
              <w:r>
                <w:rPr>
                  <w:rStyle w:val="InternetLink"/>
                  <w:rFonts w:ascii="Times New Roman;serif" w:hAnsi="Times New Roman;serif"/>
                  <w:b w:val="false"/>
                  <w:color w:val="0000FF"/>
                  <w:sz w:val="16"/>
                  <w:u w:val="single"/>
                </w:rPr>
                <w:t>ITEM 3: QUANTITATIVE AND QUALITATIVE DISCLOSURES ABOUT MARKET RISK</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91">
              <w:r>
                <w:rPr>
                  <w:rStyle w:val="InternetLink"/>
                  <w:rFonts w:ascii="Times New Roman;serif" w:hAnsi="Times New Roman;serif"/>
                  <w:b w:val="false"/>
                  <w:color w:val="0000FF"/>
                  <w:sz w:val="18"/>
                  <w:u w:val="single"/>
                </w:rPr>
                <w:t>23</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94">
              <w:r>
                <w:rPr>
                  <w:rStyle w:val="InternetLink"/>
                  <w:rFonts w:ascii="Times New Roman;serif" w:hAnsi="Times New Roman;serif"/>
                  <w:b w:val="false"/>
                  <w:color w:val="0000FF"/>
                  <w:sz w:val="16"/>
                  <w:u w:val="single"/>
                </w:rPr>
                <w:t>ITEM 4: CONTROLS AND PROCEDURES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94">
              <w:r>
                <w:rPr>
                  <w:rStyle w:val="InternetLink"/>
                  <w:rFonts w:ascii="Times New Roman;serif" w:hAnsi="Times New Roman;serif"/>
                  <w:b w:val="false"/>
                  <w:color w:val="0000FF"/>
                  <w:sz w:val="18"/>
                  <w:u w:val="single"/>
                </w:rPr>
                <w:t>24</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97">
              <w:r>
                <w:rPr>
                  <w:rStyle w:val="InternetLink"/>
                  <w:rFonts w:ascii="Times New Roman;serif" w:hAnsi="Times New Roman;serif"/>
                  <w:b w:val="false"/>
                  <w:color w:val="0000FF"/>
                  <w:sz w:val="16"/>
                  <w:u w:val="single"/>
                </w:rPr>
                <w:t>PART II. OTHER INFORMATION</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00">
              <w:r>
                <w:rPr>
                  <w:rStyle w:val="InternetLink"/>
                  <w:rFonts w:ascii="Times New Roman;serif" w:hAnsi="Times New Roman;serif"/>
                  <w:b w:val="false"/>
                  <w:color w:val="0000FF"/>
                  <w:sz w:val="18"/>
                  <w:u w:val="single"/>
                </w:rPr>
                <w:t>26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00">
              <w:r>
                <w:rPr>
                  <w:rStyle w:val="InternetLink"/>
                  <w:rFonts w:ascii="Times New Roman;serif" w:hAnsi="Times New Roman;serif"/>
                  <w:b w:val="false"/>
                  <w:color w:val="0000FF"/>
                  <w:sz w:val="16"/>
                  <w:u w:val="single"/>
                </w:rPr>
                <w:t>ITEM 1: LEGAL PROCEEDINGS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00">
              <w:r>
                <w:rPr>
                  <w:rStyle w:val="InternetLink"/>
                  <w:rFonts w:ascii="Times New Roman;serif" w:hAnsi="Times New Roman;serif"/>
                  <w:b w:val="false"/>
                  <w:color w:val="0000FF"/>
                  <w:sz w:val="18"/>
                  <w:u w:val="single"/>
                </w:rPr>
                <w:t>26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03">
              <w:r>
                <w:rPr>
                  <w:rStyle w:val="InternetLink"/>
                  <w:rFonts w:ascii="Times New Roman;serif" w:hAnsi="Times New Roman;serif"/>
                  <w:b w:val="false"/>
                  <w:color w:val="0000FF"/>
                  <w:sz w:val="16"/>
                  <w:u w:val="single"/>
                </w:rPr>
                <w:t>ITEM 1A: RISK FACTORS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03">
              <w:r>
                <w:rPr>
                  <w:rStyle w:val="InternetLink"/>
                  <w:rFonts w:ascii="Times New Roman;serif" w:hAnsi="Times New Roman;serif"/>
                  <w:b w:val="false"/>
                  <w:color w:val="0000FF"/>
                  <w:sz w:val="18"/>
                  <w:u w:val="single"/>
                </w:rPr>
                <w:t>26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06">
              <w:r>
                <w:rPr>
                  <w:rStyle w:val="InternetLink"/>
                  <w:rFonts w:ascii="Times New Roman;serif" w:hAnsi="Times New Roman;serif"/>
                  <w:b w:val="false"/>
                  <w:color w:val="0000FF"/>
                  <w:sz w:val="16"/>
                  <w:u w:val="single"/>
                </w:rPr>
                <w:t>ITEM 2: UNREGISTERED SALES OF EQUITY SECURITIES AND USE OF PROCEEDS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06">
              <w:r>
                <w:rPr>
                  <w:rStyle w:val="InternetLink"/>
                  <w:rFonts w:ascii="Times New Roman;serif" w:hAnsi="Times New Roman;serif"/>
                  <w:b w:val="false"/>
                  <w:color w:val="0000FF"/>
                  <w:sz w:val="18"/>
                  <w:u w:val="single"/>
                </w:rPr>
                <w:t>26</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12">
              <w:r>
                <w:rPr>
                  <w:rStyle w:val="InternetLink"/>
                  <w:rFonts w:ascii="Times New Roman;serif" w:hAnsi="Times New Roman;serif"/>
                  <w:b w:val="false"/>
                  <w:color w:val="0000FF"/>
                  <w:sz w:val="16"/>
                  <w:u w:val="single"/>
                </w:rPr>
                <w:t>ITEM 6: EXHIBITS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12">
              <w:r>
                <w:rPr>
                  <w:rStyle w:val="InternetLink"/>
                  <w:rFonts w:ascii="Times New Roman;serif" w:hAnsi="Times New Roman;serif"/>
                  <w:b w:val="false"/>
                  <w:color w:val="0000FF"/>
                  <w:sz w:val="18"/>
                  <w:u w:val="single"/>
                </w:rPr>
                <w:t>27</w:t>
              </w:r>
            </w:hyperlink>
          </w:p>
        </w:tc>
      </w:tr>
      <w:tr>
        <w:trPr/>
        <w:tc>
          <w:tcPr>
            <w:tcW w:w="9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a052afe179d42cea713aab863de21bc_115">
              <w:r>
                <w:rPr>
                  <w:rStyle w:val="InternetLink"/>
                  <w:rFonts w:ascii="Times New Roman;serif" w:hAnsi="Times New Roman;serif"/>
                  <w:b w:val="false"/>
                  <w:color w:val="0000FF"/>
                  <w:sz w:val="16"/>
                  <w:u w:val="single"/>
                </w:rPr>
                <w:t>SIGNATURES</w:t>
              </w:r>
            </w:hyperlink>
          </w:p>
        </w:tc>
        <w:tc>
          <w:tcPr>
            <w:tcW w:w="989"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a052afe179d42cea713aab863de21bc_115">
              <w:r>
                <w:rPr>
                  <w:rStyle w:val="InternetLink"/>
                  <w:rFonts w:ascii="Times New Roman;serif" w:hAnsi="Times New Roman;serif"/>
                  <w:b w:val="false"/>
                  <w:color w:val="0000FF"/>
                  <w:sz w:val="18"/>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1. FINANCIAL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except per share amounts) </w:t>
      </w:r>
    </w:p>
    <w:tbl>
      <w:tblPr>
        <w:tblW w:w="9560" w:type="dxa"/>
        <w:jc w:val="left"/>
        <w:tblInd w:w="0" w:type="dxa"/>
        <w:tblLayout w:type="fixed"/>
        <w:tblCellMar>
          <w:top w:w="28" w:type="dxa"/>
          <w:left w:w="28" w:type="dxa"/>
          <w:bottom w:w="28" w:type="dxa"/>
          <w:right w:w="28" w:type="dxa"/>
        </w:tblCellMar>
      </w:tblPr>
      <w:tblGrid>
        <w:gridCol w:w="1363"/>
        <w:gridCol w:w="1200"/>
        <w:gridCol w:w="1202"/>
        <w:gridCol w:w="247"/>
        <w:gridCol w:w="721"/>
        <w:gridCol w:w="127"/>
        <w:gridCol w:w="109"/>
        <w:gridCol w:w="109"/>
        <w:gridCol w:w="109"/>
        <w:gridCol w:w="291"/>
        <w:gridCol w:w="849"/>
        <w:gridCol w:w="150"/>
        <w:gridCol w:w="109"/>
        <w:gridCol w:w="109"/>
        <w:gridCol w:w="109"/>
        <w:gridCol w:w="212"/>
        <w:gridCol w:w="773"/>
        <w:gridCol w:w="110"/>
        <w:gridCol w:w="109"/>
        <w:gridCol w:w="109"/>
        <w:gridCol w:w="109"/>
        <w:gridCol w:w="249"/>
        <w:gridCol w:w="904"/>
        <w:gridCol w:w="181"/>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292.8 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5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1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8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millions) </w:t>
      </w:r>
    </w:p>
    <w:tbl>
      <w:tblPr>
        <w:tblW w:w="8913" w:type="dxa"/>
        <w:jc w:val="left"/>
        <w:tblInd w:w="0" w:type="dxa"/>
        <w:tblLayout w:type="fixed"/>
        <w:tblCellMar>
          <w:top w:w="28" w:type="dxa"/>
          <w:left w:w="28" w:type="dxa"/>
          <w:bottom w:w="28" w:type="dxa"/>
          <w:right w:w="28" w:type="dxa"/>
        </w:tblCellMar>
      </w:tblPr>
      <w:tblGrid>
        <w:gridCol w:w="1129"/>
        <w:gridCol w:w="991"/>
        <w:gridCol w:w="1000"/>
        <w:gridCol w:w="278"/>
        <w:gridCol w:w="673"/>
        <w:gridCol w:w="143"/>
        <w:gridCol w:w="109"/>
        <w:gridCol w:w="109"/>
        <w:gridCol w:w="109"/>
        <w:gridCol w:w="327"/>
        <w:gridCol w:w="793"/>
        <w:gridCol w:w="169"/>
        <w:gridCol w:w="109"/>
        <w:gridCol w:w="109"/>
        <w:gridCol w:w="109"/>
        <w:gridCol w:w="247"/>
        <w:gridCol w:w="721"/>
        <w:gridCol w:w="127"/>
        <w:gridCol w:w="109"/>
        <w:gridCol w:w="109"/>
        <w:gridCol w:w="109"/>
        <w:gridCol w:w="287"/>
        <w:gridCol w:w="838"/>
        <w:gridCol w:w="209"/>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investments</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adjustments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bl>
      <w:tblPr>
        <w:tblW w:w="10205" w:type="dxa"/>
        <w:jc w:val="left"/>
        <w:tblInd w:w="0" w:type="dxa"/>
        <w:tblLayout w:type="fixed"/>
        <w:tblCellMar>
          <w:top w:w="28" w:type="dxa"/>
          <w:left w:w="28" w:type="dxa"/>
          <w:bottom w:w="28" w:type="dxa"/>
          <w:right w:w="28" w:type="dxa"/>
        </w:tblCellMar>
      </w:tblPr>
      <w:tblGrid>
        <w:gridCol w:w="3024"/>
        <w:gridCol w:w="2275"/>
        <w:gridCol w:w="2253"/>
        <w:gridCol w:w="211"/>
        <w:gridCol w:w="769"/>
        <w:gridCol w:w="109"/>
        <w:gridCol w:w="109"/>
        <w:gridCol w:w="109"/>
        <w:gridCol w:w="109"/>
        <w:gridCol w:w="230"/>
        <w:gridCol w:w="836"/>
        <w:gridCol w:w="171"/>
      </w:tblGrid>
      <w:tr>
        <w:trPr/>
        <w:tc>
          <w:tcPr>
            <w:tcW w:w="302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Marketable securities </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Receivables, net of allowances of $0.9 and $0.9, respectively</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2,176.7 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tax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2,159.9 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9)</w:t>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25.0 shares authorized, no shares issued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$0.25 par value: 525.0 shares authorized; 150.4 shares issued and outstanding at April 3, 2026, and 148.7 shares issued and outstanding at October 3, 2025</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5,757.1 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7,917.0 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9475" w:type="dxa"/>
        <w:jc w:val="left"/>
        <w:tblInd w:w="0" w:type="dxa"/>
        <w:tblLayout w:type="fixed"/>
        <w:tblCellMar>
          <w:top w:w="28" w:type="dxa"/>
          <w:left w:w="28" w:type="dxa"/>
          <w:bottom w:w="28" w:type="dxa"/>
          <w:right w:w="28" w:type="dxa"/>
        </w:tblCellMar>
      </w:tblPr>
      <w:tblGrid>
        <w:gridCol w:w="2429"/>
        <w:gridCol w:w="2138"/>
        <w:gridCol w:w="2152"/>
        <w:gridCol w:w="212"/>
        <w:gridCol w:w="773"/>
        <w:gridCol w:w="110"/>
        <w:gridCol w:w="109"/>
        <w:gridCol w:w="109"/>
        <w:gridCol w:w="109"/>
        <w:gridCol w:w="249"/>
        <w:gridCol w:w="904"/>
        <w:gridCol w:w="181"/>
      </w:tblGrid>
      <w:tr>
        <w:trPr/>
        <w:tc>
          <w:tcPr>
            <w:tcW w:w="2429"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long-term assets and liabilities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intangibles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maturities of marketable securities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provided by (used in) investing activities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 payroll tax withholdings on equity awards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 stock repurchase program</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financing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cash flow disclosures:</w:t>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Incentives paid in common stock</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in purchased intangibles, accrued but not paid</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in capital expenditures, accrued but not paid</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obtained in exchange for new lease liabilities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0" w:after="0"/>
        <w:jc w:val="center"/>
        <w:rPr/>
      </w:pPr>
      <w:r>
        <w:rPr>
          <w:rFonts w:ascii="Times New Roman;serif" w:hAnsi="Times New Roman;serif"/>
          <w:b/>
          <w:color w:val="000000"/>
          <w:sz w:val="20"/>
        </w:rPr>
        <w:t>CONSOLIDATED STATEMENTS OF STOCKHOLDERS’ EQUITY</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806"/>
        <w:gridCol w:w="466"/>
        <w:gridCol w:w="469"/>
        <w:gridCol w:w="345"/>
        <w:gridCol w:w="304"/>
        <w:gridCol w:w="305"/>
        <w:gridCol w:w="109"/>
        <w:gridCol w:w="109"/>
        <w:gridCol w:w="109"/>
        <w:gridCol w:w="239"/>
        <w:gridCol w:w="570"/>
        <w:gridCol w:w="133"/>
        <w:gridCol w:w="109"/>
        <w:gridCol w:w="109"/>
        <w:gridCol w:w="109"/>
        <w:gridCol w:w="243"/>
        <w:gridCol w:w="692"/>
        <w:gridCol w:w="137"/>
        <w:gridCol w:w="109"/>
        <w:gridCol w:w="109"/>
        <w:gridCol w:w="109"/>
        <w:gridCol w:w="208"/>
        <w:gridCol w:w="734"/>
        <w:gridCol w:w="115"/>
        <w:gridCol w:w="109"/>
        <w:gridCol w:w="109"/>
        <w:gridCol w:w="109"/>
        <w:gridCol w:w="405"/>
        <w:gridCol w:w="840"/>
        <w:gridCol w:w="226"/>
        <w:gridCol w:w="109"/>
        <w:gridCol w:w="109"/>
        <w:gridCol w:w="109"/>
        <w:gridCol w:w="248"/>
        <w:gridCol w:w="877"/>
        <w:gridCol w:w="208"/>
      </w:tblGrid>
      <w:tr>
        <w:trPr/>
        <w:tc>
          <w:tcPr>
            <w:tcW w:w="80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 of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stockholders</w:t>
            </w:r>
            <w:r>
              <w:rPr>
                <w:color w:val="000000"/>
              </w:rPr>
              <w:t xml:space="preserve">’ </w:t>
            </w:r>
            <w:r>
              <w:rPr>
                <w:rFonts w:ascii="Times New Roman;serif" w:hAnsi="Times New Roman;serif"/>
                <w:b/>
                <w:color w:val="000000"/>
                <w:sz w:val="18"/>
              </w:rPr>
              <w:t>equity</w:t>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October 3, 2025</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5,757.1 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2, 2026</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5,758.9 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April 3, 2026</w:t>
            </w:r>
          </w:p>
        </w:tc>
        <w:tc>
          <w:tcPr>
            <w:tcW w:w="6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5,558.5 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5,765.7 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27, 2024</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27, 2024</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6,082.4 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6,400.7 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68.7 </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and settlement of share-based awards, net of shares withheld for taxes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common stock</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(504.3)</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w:t>
            </w:r>
          </w:p>
        </w:tc>
        <w:tc>
          <w:tcPr>
            <w:tcW w:w="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March 28, 2025</w:t>
            </w:r>
          </w:p>
        </w:tc>
        <w:tc>
          <w:tcPr>
            <w:tcW w:w="6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DESCRIPTION OF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October 3, 2025, filed with the SEC on November 7, 2025, as amended by Amendment No. 1 to such Annual Report on Form 10-K, filed with the SEC on January 30, 2026 (“2025 10-K”).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liabilities, and expenses, particularly those classified as Level 2 or Level 3 in the fair value hierarchy, including: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the Friday closest to September 30. The fiscal year ending on October 2, 2026 consists of 52 weeks (“fiscal 2026”). The fiscal year ended on October 3, 2025 consisted of 53 weeks (“fiscal 2025”). The three and six months ended April 3, 2026, and March 28, 2025, each consisted of 13 weeks and 26 weeks, respectively.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will provide the required disclosures of ASU 2023-09 in its fiscal 2026 annual report.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disaggregated disclosure of certain expense captions into specified categories in the notes to financial statements on an annual and interim basis. ASU 2024-03 is effective for annual periods beginning after December 15, 2026, and interim periods within annual periods beginning after December 15, 2027, on either a prospective or retrospective basis. Early adoption is permitted. The Company is currently evaluating the impact of ASU 2024-03 on its consolidated financial statements and related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(“ASU 2025-06”). ASU 2025-06 makes targeted improvements that clarify and modernize the accounting for costs related to internal-use software. ASU 2025-06 is effective for annual periods beginning after December 15, 2027, and interim periods within those annual periods, on either a prospective, retrospective, or modified basis. Early adoption is permitted. The Company is currently evaluating the impact of ASU 2025-06 on its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2.    REVENUE RECOGNITION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Net revenue by geographic area is as follows (in millions):</w:t>
      </w:r>
    </w:p>
    <w:tbl>
      <w:tblPr>
        <w:tblW w:w="8510" w:type="dxa"/>
        <w:jc w:val="left"/>
        <w:tblInd w:w="0" w:type="dxa"/>
        <w:tblLayout w:type="fixed"/>
        <w:tblCellMar>
          <w:top w:w="28" w:type="dxa"/>
          <w:left w:w="28" w:type="dxa"/>
          <w:bottom w:w="28" w:type="dxa"/>
          <w:right w:w="28" w:type="dxa"/>
        </w:tblCellMar>
      </w:tblPr>
      <w:tblGrid>
        <w:gridCol w:w="985"/>
        <w:gridCol w:w="863"/>
        <w:gridCol w:w="867"/>
        <w:gridCol w:w="247"/>
        <w:gridCol w:w="721"/>
        <w:gridCol w:w="127"/>
        <w:gridCol w:w="109"/>
        <w:gridCol w:w="109"/>
        <w:gridCol w:w="109"/>
        <w:gridCol w:w="291"/>
        <w:gridCol w:w="849"/>
        <w:gridCol w:w="150"/>
        <w:gridCol w:w="109"/>
        <w:gridCol w:w="109"/>
        <w:gridCol w:w="109"/>
        <w:gridCol w:w="212"/>
        <w:gridCol w:w="773"/>
        <w:gridCol w:w="110"/>
        <w:gridCol w:w="109"/>
        <w:gridCol w:w="109"/>
        <w:gridCol w:w="109"/>
        <w:gridCol w:w="249"/>
        <w:gridCol w:w="904"/>
        <w:gridCol w:w="181"/>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Korea</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 Middle East, and Africa</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Asia-Pacific</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revenue by sales channel is as follows (in millions):</w:t>
      </w:r>
    </w:p>
    <w:tbl>
      <w:tblPr>
        <w:tblW w:w="7340" w:type="dxa"/>
        <w:jc w:val="left"/>
        <w:tblInd w:w="0" w:type="dxa"/>
        <w:tblLayout w:type="fixed"/>
        <w:tblCellMar>
          <w:top w:w="28" w:type="dxa"/>
          <w:left w:w="28" w:type="dxa"/>
          <w:bottom w:w="28" w:type="dxa"/>
          <w:right w:w="28" w:type="dxa"/>
        </w:tblCellMar>
      </w:tblPr>
      <w:tblGrid>
        <w:gridCol w:w="559"/>
        <w:gridCol w:w="492"/>
        <w:gridCol w:w="494"/>
        <w:gridCol w:w="247"/>
        <w:gridCol w:w="721"/>
        <w:gridCol w:w="127"/>
        <w:gridCol w:w="109"/>
        <w:gridCol w:w="109"/>
        <w:gridCol w:w="109"/>
        <w:gridCol w:w="291"/>
        <w:gridCol w:w="849"/>
        <w:gridCol w:w="150"/>
        <w:gridCol w:w="109"/>
        <w:gridCol w:w="109"/>
        <w:gridCol w:w="109"/>
        <w:gridCol w:w="212"/>
        <w:gridCol w:w="773"/>
        <w:gridCol w:w="110"/>
        <w:gridCol w:w="109"/>
        <w:gridCol w:w="109"/>
        <w:gridCol w:w="109"/>
        <w:gridCol w:w="249"/>
        <w:gridCol w:w="904"/>
        <w:gridCol w:w="181"/>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Distributors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customers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revenue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2,021.7 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revenue from external customers is generated principally from the sale of semiconductor products. Accordingly, the Company considers its product offerings to be similar in nature and therefore not segregated for reporting purposes.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3.    MARKETABLE SECURITIES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Company’s portfolio of available-for-sale marketable securities consists of the following (in millions):    </w:t>
      </w:r>
    </w:p>
    <w:tbl>
      <w:tblPr>
        <w:tblW w:w="9199" w:type="dxa"/>
        <w:jc w:val="left"/>
        <w:tblInd w:w="0" w:type="dxa"/>
        <w:tblLayout w:type="fixed"/>
        <w:tblCellMar>
          <w:top w:w="28" w:type="dxa"/>
          <w:left w:w="28" w:type="dxa"/>
          <w:bottom w:w="28" w:type="dxa"/>
          <w:right w:w="28" w:type="dxa"/>
        </w:tblCellMar>
      </w:tblPr>
      <w:tblGrid>
        <w:gridCol w:w="1222"/>
        <w:gridCol w:w="1075"/>
        <w:gridCol w:w="1078"/>
        <w:gridCol w:w="318"/>
        <w:gridCol w:w="612"/>
        <w:gridCol w:w="164"/>
        <w:gridCol w:w="109"/>
        <w:gridCol w:w="109"/>
        <w:gridCol w:w="109"/>
        <w:gridCol w:w="294"/>
        <w:gridCol w:w="859"/>
        <w:gridCol w:w="152"/>
        <w:gridCol w:w="109"/>
        <w:gridCol w:w="109"/>
        <w:gridCol w:w="109"/>
        <w:gridCol w:w="278"/>
        <w:gridCol w:w="673"/>
        <w:gridCol w:w="143"/>
        <w:gridCol w:w="109"/>
        <w:gridCol w:w="109"/>
        <w:gridCol w:w="109"/>
        <w:gridCol w:w="325"/>
        <w:gridCol w:w="788"/>
        <w:gridCol w:w="237"/>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Noncurrent</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securities</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bonds and notes</w:t>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bonds</w:t>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contractual maturities of noncurrent available-for-sale marketable securities were within two years or less of issuance of the applicable securities. Neither gross unrealized gains and losses nor realized gains and losses were material as of April 3, 2026, or October 3,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FAIR VALUE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Assets and Liabilities Measured and Recorded at Fair Value on a Recurring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Level 3 - Fair value is derived from valuation techniques in which one or more significant inputs are unobservable, including assumptions and judgments made by the Company.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consisted of the following (in millions):         </w:t>
      </w:r>
    </w:p>
    <w:tbl>
      <w:tblPr>
        <w:tblW w:w="10333" w:type="dxa"/>
        <w:jc w:val="left"/>
        <w:tblInd w:w="0" w:type="dxa"/>
        <w:tblLayout w:type="fixed"/>
        <w:tblCellMar>
          <w:top w:w="28" w:type="dxa"/>
          <w:left w:w="28" w:type="dxa"/>
          <w:bottom w:w="28" w:type="dxa"/>
          <w:right w:w="28" w:type="dxa"/>
        </w:tblCellMar>
      </w:tblPr>
      <w:tblGrid>
        <w:gridCol w:w="375"/>
        <w:gridCol w:w="291"/>
        <w:gridCol w:w="295"/>
        <w:gridCol w:w="196"/>
        <w:gridCol w:w="691"/>
        <w:gridCol w:w="109"/>
        <w:gridCol w:w="109"/>
        <w:gridCol w:w="109"/>
        <w:gridCol w:w="109"/>
        <w:gridCol w:w="196"/>
        <w:gridCol w:w="691"/>
        <w:gridCol w:w="109"/>
        <w:gridCol w:w="109"/>
        <w:gridCol w:w="109"/>
        <w:gridCol w:w="109"/>
        <w:gridCol w:w="196"/>
        <w:gridCol w:w="466"/>
        <w:gridCol w:w="109"/>
        <w:gridCol w:w="109"/>
        <w:gridCol w:w="109"/>
        <w:gridCol w:w="109"/>
        <w:gridCol w:w="196"/>
        <w:gridCol w:w="406"/>
        <w:gridCol w:w="109"/>
        <w:gridCol w:w="109"/>
        <w:gridCol w:w="109"/>
        <w:gridCol w:w="109"/>
        <w:gridCol w:w="196"/>
        <w:gridCol w:w="691"/>
        <w:gridCol w:w="109"/>
        <w:gridCol w:w="109"/>
        <w:gridCol w:w="109"/>
        <w:gridCol w:w="109"/>
        <w:gridCol w:w="196"/>
        <w:gridCol w:w="691"/>
        <w:gridCol w:w="109"/>
        <w:gridCol w:w="109"/>
        <w:gridCol w:w="109"/>
        <w:gridCol w:w="109"/>
        <w:gridCol w:w="196"/>
        <w:gridCol w:w="556"/>
        <w:gridCol w:w="109"/>
        <w:gridCol w:w="109"/>
        <w:gridCol w:w="109"/>
        <w:gridCol w:w="109"/>
        <w:gridCol w:w="196"/>
        <w:gridCol w:w="406"/>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and government securities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bonds and notes </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bonds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 Cash equivalents included in Levels 1 and 2 consist of money market funds, municipal bonds, corporate bonds and notes, and U.S. Treasury and government securities purchased with ninety days or less until maturity.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Assets Measured and Recorded at Fair Value on a Nonrecurring Basis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There were no indicators of impairment identified during the three and six months ended April 3, 2026 and March 28, 2025, respectively.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carrying amount and estimated fair value of debt consists of the following (in millions):</w:t>
      </w:r>
    </w:p>
    <w:tbl>
      <w:tblPr>
        <w:tblW w:w="10053" w:type="dxa"/>
        <w:jc w:val="left"/>
        <w:tblInd w:w="0" w:type="dxa"/>
        <w:tblLayout w:type="fixed"/>
        <w:tblCellMar>
          <w:top w:w="28" w:type="dxa"/>
          <w:left w:w="28" w:type="dxa"/>
          <w:bottom w:w="28" w:type="dxa"/>
          <w:right w:w="28" w:type="dxa"/>
        </w:tblCellMar>
      </w:tblPr>
      <w:tblGrid>
        <w:gridCol w:w="924"/>
        <w:gridCol w:w="809"/>
        <w:gridCol w:w="817"/>
        <w:gridCol w:w="338"/>
        <w:gridCol w:w="987"/>
        <w:gridCol w:w="174"/>
        <w:gridCol w:w="109"/>
        <w:gridCol w:w="109"/>
        <w:gridCol w:w="109"/>
        <w:gridCol w:w="392"/>
        <w:gridCol w:w="1145"/>
        <w:gridCol w:w="202"/>
        <w:gridCol w:w="109"/>
        <w:gridCol w:w="109"/>
        <w:gridCol w:w="109"/>
        <w:gridCol w:w="338"/>
        <w:gridCol w:w="987"/>
        <w:gridCol w:w="174"/>
        <w:gridCol w:w="109"/>
        <w:gridCol w:w="109"/>
        <w:gridCol w:w="109"/>
        <w:gridCol w:w="384"/>
        <w:gridCol w:w="1121"/>
        <w:gridCol w:w="280"/>
      </w:tblGrid>
      <w:tr>
        <w:trPr/>
        <w:tc>
          <w:tcPr>
            <w:tcW w:w="924"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1.80% Senior Notes due 2026</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497.6 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3.00% Senior Notes due 2031</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447.3 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under Senior Notes</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944.9 </w:t>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944.5 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5.    INVENTORY</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consists of the following (in millions): </w:t>
      </w:r>
    </w:p>
    <w:tbl>
      <w:tblPr>
        <w:tblW w:w="4228" w:type="dxa"/>
        <w:jc w:val="left"/>
        <w:tblInd w:w="0" w:type="dxa"/>
        <w:tblLayout w:type="fixed"/>
        <w:tblCellMar>
          <w:top w:w="28" w:type="dxa"/>
          <w:left w:w="28" w:type="dxa"/>
          <w:bottom w:w="28" w:type="dxa"/>
          <w:right w:w="28" w:type="dxa"/>
        </w:tblCellMar>
      </w:tblPr>
      <w:tblGrid>
        <w:gridCol w:w="527"/>
        <w:gridCol w:w="462"/>
        <w:gridCol w:w="467"/>
        <w:gridCol w:w="247"/>
        <w:gridCol w:w="721"/>
        <w:gridCol w:w="127"/>
        <w:gridCol w:w="109"/>
        <w:gridCol w:w="109"/>
        <w:gridCol w:w="109"/>
        <w:gridCol w:w="290"/>
        <w:gridCol w:w="848"/>
        <w:gridCol w:w="212"/>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PROPERTY, PLANT, AND EQUIPMENT, NET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consists of the following (in millions): </w:t>
      </w:r>
    </w:p>
    <w:tbl>
      <w:tblPr>
        <w:tblW w:w="6386" w:type="dxa"/>
        <w:jc w:val="left"/>
        <w:tblInd w:w="0" w:type="dxa"/>
        <w:tblLayout w:type="fixed"/>
        <w:tblCellMar>
          <w:top w:w="28" w:type="dxa"/>
          <w:left w:w="28" w:type="dxa"/>
          <w:bottom w:w="28" w:type="dxa"/>
          <w:right w:w="28" w:type="dxa"/>
        </w:tblCellMar>
      </w:tblPr>
      <w:tblGrid>
        <w:gridCol w:w="1310"/>
        <w:gridCol w:w="1149"/>
        <w:gridCol w:w="1155"/>
        <w:gridCol w:w="212"/>
        <w:gridCol w:w="773"/>
        <w:gridCol w:w="110"/>
        <w:gridCol w:w="109"/>
        <w:gridCol w:w="109"/>
        <w:gridCol w:w="109"/>
        <w:gridCol w:w="252"/>
        <w:gridCol w:w="915"/>
        <w:gridCol w:w="183"/>
      </w:tblGrid>
      <w:tr>
        <w:trPr/>
        <w:tc>
          <w:tcPr>
            <w:tcW w:w="1310"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improvements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 and improvements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gross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7.    GOODWILL AND INTANGIBLE ASSETS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changes to the carrying amount of goodwill during the three and six months ended April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tests its goodwill and its indefinite-lived intangible assets for impairment annually as of the first day of its fourth fiscal quarter and in interim periods if certain events occur indicating the carrying value may be impaired. There were no indicators of goodwill and in-process research and development (“IPR&amp;D”) impairment noted during the three and six months ended April 3, 2026 and March 28, 2025, respectively.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 (in millions):</w:t>
      </w:r>
    </w:p>
    <w:tbl>
      <w:tblPr>
        <w:tblW w:w="10205" w:type="dxa"/>
        <w:jc w:val="left"/>
        <w:tblInd w:w="0" w:type="dxa"/>
        <w:tblLayout w:type="fixed"/>
        <w:tblCellMar>
          <w:top w:w="28" w:type="dxa"/>
          <w:left w:w="28" w:type="dxa"/>
          <w:bottom w:w="28" w:type="dxa"/>
          <w:right w:w="28" w:type="dxa"/>
        </w:tblCellMar>
      </w:tblPr>
      <w:tblGrid>
        <w:gridCol w:w="531"/>
        <w:gridCol w:w="350"/>
        <w:gridCol w:w="353"/>
        <w:gridCol w:w="360"/>
        <w:gridCol w:w="360"/>
        <w:gridCol w:w="361"/>
        <w:gridCol w:w="211"/>
        <w:gridCol w:w="766"/>
        <w:gridCol w:w="109"/>
        <w:gridCol w:w="109"/>
        <w:gridCol w:w="109"/>
        <w:gridCol w:w="109"/>
        <w:gridCol w:w="239"/>
        <w:gridCol w:w="717"/>
        <w:gridCol w:w="125"/>
        <w:gridCol w:w="109"/>
        <w:gridCol w:w="109"/>
        <w:gridCol w:w="109"/>
        <w:gridCol w:w="211"/>
        <w:gridCol w:w="616"/>
        <w:gridCol w:w="109"/>
        <w:gridCol w:w="109"/>
        <w:gridCol w:w="109"/>
        <w:gridCol w:w="109"/>
        <w:gridCol w:w="211"/>
        <w:gridCol w:w="766"/>
        <w:gridCol w:w="109"/>
        <w:gridCol w:w="109"/>
        <w:gridCol w:w="109"/>
        <w:gridCol w:w="109"/>
        <w:gridCol w:w="239"/>
        <w:gridCol w:w="717"/>
        <w:gridCol w:w="125"/>
        <w:gridCol w:w="109"/>
        <w:gridCol w:w="109"/>
        <w:gridCol w:w="109"/>
        <w:gridCol w:w="211"/>
        <w:gridCol w:w="616"/>
        <w:gridCol w:w="158"/>
      </w:tblGrid>
      <w:tr>
        <w:trPr/>
        <w:tc>
          <w:tcPr>
            <w:tcW w:w="5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cMar>
              <w:top w:w="0" w:type="dxa"/>
              <w:left w:w="0" w:type="dxa"/>
              <w:bottom w:w="0" w:type="dxa"/>
              <w:right w:w="0" w:type="dxa"/>
            </w:tcMar>
            <w:vAlign w:val="center"/>
          </w:tcPr>
          <w:p>
            <w:pPr>
              <w:pStyle w:val="TableContents"/>
              <w:bidi w:val="0"/>
              <w:spacing w:lineRule="auto" w:line="225"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Amortization</w:t>
              <w:br/>
              <w:t>Period (Years)</w:t>
            </w:r>
          </w:p>
        </w:tc>
        <w:tc>
          <w:tcPr>
            <w:tcW w:w="37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234" w:type="dxa"/>
            <w:gridSpan w:val="3"/>
            <w:tcBorders/>
            <w:tcMar>
              <w:top w:w="0" w:type="dxa"/>
              <w:left w:w="0" w:type="dxa"/>
              <w:bottom w:w="0" w:type="dxa"/>
              <w:right w:w="0" w:type="dxa"/>
            </w:tcMar>
            <w:vAlign w:val="center"/>
          </w:tcPr>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p>
            <w:pPr>
              <w:pStyle w:val="TableContents"/>
              <w:bidi w:val="0"/>
              <w:spacing w:lineRule="auto" w:line="225" w:before="0" w:after="0"/>
              <w:jc w:val="left"/>
              <w:rPr>
                <w:color w:val="000000"/>
              </w:rPr>
            </w:pPr>
            <w:r>
              <w:rPr>
                <w:color w:val="000000"/>
              </w:rPr>
              <w:t> </w:t>
            </w:r>
          </w:p>
        </w:tc>
        <w:tc>
          <w:tcPr>
            <w:tcW w:w="1081" w:type="dxa"/>
            <w:gridSpan w:val="3"/>
            <w:vMerge w:val="continue"/>
            <w:tcBorders/>
            <w:tcMar>
              <w:top w:w="0" w:type="dxa"/>
              <w:left w:w="0" w:type="dxa"/>
              <w:bottom w:w="0" w:type="dxa"/>
              <w:right w:w="0" w:type="dxa"/>
            </w:tcMar>
            <w:vAlign w:val="center"/>
          </w:tcPr>
          <w:p>
            <w:pPr>
              <w:pStyle w:val="Normal"/>
              <w:bidi w:val="0"/>
              <w:jc w:val="left"/>
              <w:rPr/>
            </w:pPr>
            <w:r>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Gross</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 xml:space="preserve">Carrying </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Accumulated</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Net</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Carrying</w:t>
            </w:r>
          </w:p>
          <w:p>
            <w:pPr>
              <w:pStyle w:val="TableContents"/>
              <w:bidi w:val="0"/>
              <w:spacing w:lineRule="auto" w:line="225" w:before="0" w:after="0"/>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 and other</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licenses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Fully amortized intangible assets are eliminated from both the gross and accumulated amortization amounts in the first quarter of each fiscal year. There were no transfers of IPR&amp;D assets to definite-lived intangible assets during the three and six months ended April 3, 2026. During each of the three and six months ended March 28, 2025, $24.7 million of IPR&amp;D assets were transferred to definite-lived intangible assets, and are being amortized over their useful lives of eight years. Amortization expense related to definite-lived intangible assets was $42.9 million and $87.5 million for the three and six months ended April 3,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respectively, primarily recorded within cost of goods sold. Amortization expense related to definite-lived intangible assets was $45.6 million and $94.0 million for the three and six months ended March 28, 2025, respectively, primarily recorded within cost of goods sold.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Annual amortization expense for the next five fiscal years related to definite-lived intangible assets, excluding IPR&amp;D, is expected to be as follows (in millions):</w:t>
      </w:r>
    </w:p>
    <w:tbl>
      <w:tblPr>
        <w:tblW w:w="9404" w:type="dxa"/>
        <w:jc w:val="left"/>
        <w:tblInd w:w="0" w:type="dxa"/>
        <w:tblLayout w:type="fixed"/>
        <w:tblCellMar>
          <w:top w:w="28" w:type="dxa"/>
          <w:left w:w="28" w:type="dxa"/>
          <w:bottom w:w="28" w:type="dxa"/>
          <w:right w:w="28" w:type="dxa"/>
        </w:tblCellMar>
      </w:tblPr>
      <w:tblGrid>
        <w:gridCol w:w="690"/>
        <w:gridCol w:w="606"/>
        <w:gridCol w:w="609"/>
        <w:gridCol w:w="342"/>
        <w:gridCol w:w="829"/>
        <w:gridCol w:w="178"/>
        <w:gridCol w:w="109"/>
        <w:gridCol w:w="109"/>
        <w:gridCol w:w="109"/>
        <w:gridCol w:w="211"/>
        <w:gridCol w:w="616"/>
        <w:gridCol w:w="109"/>
        <w:gridCol w:w="109"/>
        <w:gridCol w:w="109"/>
        <w:gridCol w:w="109"/>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Remaining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Thereafter</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INCOME TAXES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of the following components (in millions):</w:t>
      </w:r>
    </w:p>
    <w:tbl>
      <w:tblPr>
        <w:tblW w:w="8075" w:type="dxa"/>
        <w:jc w:val="left"/>
        <w:tblInd w:w="0" w:type="dxa"/>
        <w:tblLayout w:type="fixed"/>
        <w:tblCellMar>
          <w:top w:w="28" w:type="dxa"/>
          <w:left w:w="28" w:type="dxa"/>
          <w:bottom w:w="28" w:type="dxa"/>
          <w:right w:w="28" w:type="dxa"/>
        </w:tblCellMar>
      </w:tblPr>
      <w:tblGrid>
        <w:gridCol w:w="825"/>
        <w:gridCol w:w="726"/>
        <w:gridCol w:w="729"/>
        <w:gridCol w:w="260"/>
        <w:gridCol w:w="501"/>
        <w:gridCol w:w="334"/>
        <w:gridCol w:w="109"/>
        <w:gridCol w:w="109"/>
        <w:gridCol w:w="109"/>
        <w:gridCol w:w="274"/>
        <w:gridCol w:w="664"/>
        <w:gridCol w:w="352"/>
        <w:gridCol w:w="109"/>
        <w:gridCol w:w="109"/>
        <w:gridCol w:w="109"/>
        <w:gridCol w:w="232"/>
        <w:gridCol w:w="564"/>
        <w:gridCol w:w="299"/>
        <w:gridCol w:w="109"/>
        <w:gridCol w:w="109"/>
        <w:gridCol w:w="109"/>
        <w:gridCol w:w="271"/>
        <w:gridCol w:w="657"/>
        <w:gridCol w:w="406"/>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Company’s effective tax rate and the 21.0% United States federal statutory rate for the three and six months ended April 3, 2026 resulted primarily from tax on global intangible low-taxed income (“GILTI”), net of foreign tax credits, tax expense related to share-based compensation shortfalls and uncertain tax positions, and transaction costs related to the pending transaction with Qorvo (see Note 13), partially offset by foreign earnings taxed at rates lower than the federal statutory rate and tax benefits from foreign-derived intangible income deduction (“FDII”), and research and experimentation tax credits.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Company’s effective tax rate and the 21.0% United States federal statutory rate for the three and six months ended March 28, 2025 resulted primarily from foreign earnings taxed at rates lower than the federal statutory rate, a benefit from FDII, and research and experimentation and foreign tax credits earned, partially offset by a tax on GILTI, and tax expense related to share-based compensation shortfalls. In addition to the aforementioned factors, the Company’s effective tax rate was higher than the 21.0% United States federal statutory rate due to the remeasurement of existing net deferred tax liabilities in Singapore.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August 2022, the U.S. government enacted the Inflation Reduction Act, which imposes a corporate alternative minimum tax (“CAMT”) of 15% on corporations with three-year average annual adjusted financial statement income exceeding $1.0 billion. The Company was subject to the provisions of CAMT beginning in fiscal 2024. CAMT did not have a material impact on the Company’s consolidated financial statements during the three and six months ended April 3, 2026 and had no impact on the Company’s consolidated financial statements during the three and six months ended March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2021, the Organization for Economic Co-operation and Development’s (“OECD”) Inclusive Framework on Base Erosion and Profit Shifting (“BEPS”) released Global Anti-Base Erosion (“GloBE”) rules under Pillar Two. Many countries have implemented laws based on Pillar Two, which was effective for the Company beginning in fiscal 2025. Pillar Two did not have a material impact on the Company’s consolidated financial statements during the three and six months ended April 3, 2026 and March 28,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the One Big Beautiful Bill Act (“OBBBA”). The OBBBA contains numerous provisions, including the permanent extension or restoration of certain expiring corporate income tax provisions, originally introduced by the Tax Cuts and Jobs Act of 2017, and incremental modifications to the international tax framework. The OBBBA did not have a material impact on the Company’s consolidated estimated annualized effective tax rate during the three and six months ended April 3, 2026. The Company continues to evaluate the impact of the OBBBA on its business for future periods.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pPr>
      <w:r>
        <w:rPr>
          <w:rFonts w:ascii="Times New Roman;serif" w:hAnsi="Times New Roman;serif"/>
          <w:b/>
          <w:color w:val="000000"/>
          <w:sz w:val="20"/>
        </w:rPr>
        <w:t>9.    COMMITMENTS AND CONTINGENCIES</w:t>
      </w:r>
      <w:r>
        <w:rPr>
          <w:color w:val="000000"/>
        </w:rPr>
        <w:t xml:space="preserve">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From time to time, various lawsuits, claims, and proceedings have been, and may in the future be, instituted or asserted against the Company, including those pertaining to patent infringement, intellectual property, securities litigation, environmental hazards, product liability and warranty, safety and health, employment, and contractual matters.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monitors the status of legal proceedings and other contingencies on an ongoing basis to assess whether loss contingencies should be recognized and disclosed in its financial statements and footnotes. Other than as described below, the Company does not believe there are any pending legal proceedings that are at least reasonably possible to result in a material loss. On June 20, 2025, Denso Corporation filed patent infringement litigation against the Company in the U.S. (United States District Court for the Central District of California) and on June 20, 2025 and October 31, 2025, Denso Corporation filed patent infringement litigation against the Company in Japan (Civil Division of the Osaka District Court). Denso alleged that the Company had and was willfully infringing Denso’s U.S. patent (7,758,979) and Japanese patents (JP5190841 and JP5966199), each relating to piezoelectric thin film. During the three and six months ended April 3, 2026, the Company settled the Denso Corporation litigation and recorded an immaterial charge to the Company’s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above matter, the Company is engaged in various legal actions in the normal course of business and, while there can be no assurances, the Company believes the outcome of such pending legal actions will not have, individually or in the aggregate, a material adverse effect on its business or financial statements. The Company’s aggregate accrual for legal contingencies was not material as of April 3, 2026 and October 3, 2025. </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Guarantees and Indemnities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Purchase Commitments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purchases materials primarily pursuant to individual purchase orders, some of which have underlying master purchase agreements. Some of these purchase commitments are cancelable,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such exposure. As such, the Company believes that purchase commitments as of any particular date may not be a reliable indicator of future liabilities.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Company maintains certain minimum purchase commitments under long-term capacity reservation agreements primarily with foundries for the purchase of wafers. Under these agreements, </w:t>
      </w:r>
      <w:r>
        <w:rPr>
          <w:rFonts w:ascii="Times New Roman;serif" w:hAnsi="Times New Roman;serif"/>
          <w:b w:val="false"/>
          <w:color w:val="000000"/>
          <w:sz w:val="20"/>
          <w:shd w:fill="FFFFFF" w:val="clear"/>
        </w:rPr>
        <w:t>the Company has agreed to pay a combination of refundable deposits and prepayments to the suppliers in exchange for reserved manufacturing production capacity over the term of the agreemen</w:t>
      </w:r>
      <w:r>
        <w:rPr>
          <w:rFonts w:ascii="Times New Roman;serif" w:hAnsi="Times New Roman;serif"/>
          <w:b w:val="false"/>
          <w:color w:val="000000"/>
          <w:sz w:val="20"/>
        </w:rPr>
        <w:t xml:space="preserve">ts. As of April 3, 2026, deposits and prepayments under the long-term capacity reservation agreements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$57.0 million, with $16.2 million recorded within other current assets and $40.8 million recorded within other long-term assets. As of October 3, 2025, deposits and prepayments under the long-term capacity reservation agreements were $26.4 million, with $7.7 million recorded within other current assets and $18.7 million recorded within other long-term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STOCKHOLDERS’ EQUITY</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Stock Repurchase and Retirement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4, 2025, the Board of Directors approved a stock repurchase program, pursuant to which the Company is authorized to repurchase up to $2.0 billion of its common stock from time to time through February 3, 2027, on the open market or in privately negotiated transactions, in compliance with applicable securities laws and other legal requirements. The timing and amount of any shares of the Company’s common stock that are repurchased under the stock repurchase program will be determined by the Company’s management based on its evaluation of market conditions and other factors. The stock repurchase program may be suspended or discontinued at any time. The Company currently expects to fund the stock repurchase program using the Company’s working capital.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April 3, 2026, the Company did not repurchase any shares of its common stock. As of April 3, 2026, approximately $1.2 billion remained available under the stock repurchase program.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March 28, 2025, the Company repurchased 7.4 million shares of its common stock for $504.3 million (including commissions and excise tax, as applicable), all of which shares were repurchased pursuant to the stock repurchase program.</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Dividends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2026, the Company announced that the Board of Directors had declared a cash dividend on the Company’s common stock of $0.71 per share. This dividend is payable on June 16, 2026, to the Company’s stockholders of record as of the close of business on May 26, 2026. Future dividends are subject to declaration by the Board of Directors.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Dividends charged to retained earnings were as follows (in millions, except per share data):</w:t>
      </w:r>
    </w:p>
    <w:tbl>
      <w:tblPr>
        <w:tblW w:w="6543" w:type="dxa"/>
        <w:jc w:val="center"/>
        <w:tblInd w:w="0" w:type="dxa"/>
        <w:tblLayout w:type="fixed"/>
        <w:tblCellMar>
          <w:top w:w="28" w:type="dxa"/>
          <w:left w:w="28" w:type="dxa"/>
          <w:bottom w:w="28" w:type="dxa"/>
          <w:right w:w="28" w:type="dxa"/>
        </w:tblCellMar>
      </w:tblPr>
      <w:tblGrid>
        <w:gridCol w:w="510"/>
        <w:gridCol w:w="448"/>
        <w:gridCol w:w="451"/>
        <w:gridCol w:w="217"/>
        <w:gridCol w:w="526"/>
        <w:gridCol w:w="112"/>
        <w:gridCol w:w="109"/>
        <w:gridCol w:w="109"/>
        <w:gridCol w:w="109"/>
        <w:gridCol w:w="270"/>
        <w:gridCol w:w="790"/>
        <w:gridCol w:w="139"/>
        <w:gridCol w:w="109"/>
        <w:gridCol w:w="109"/>
        <w:gridCol w:w="109"/>
        <w:gridCol w:w="217"/>
        <w:gridCol w:w="526"/>
        <w:gridCol w:w="112"/>
        <w:gridCol w:w="109"/>
        <w:gridCol w:w="109"/>
        <w:gridCol w:w="109"/>
        <w:gridCol w:w="267"/>
        <w:gridCol w:w="782"/>
        <w:gridCol w:w="195"/>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2,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dividends</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share-based compensation expense by line item in the Consolidated Statements of Operations (in millions):</w:t>
      </w:r>
    </w:p>
    <w:tbl>
      <w:tblPr>
        <w:tblW w:w="9557" w:type="dxa"/>
        <w:jc w:val="left"/>
        <w:tblInd w:w="0" w:type="dxa"/>
        <w:tblLayout w:type="fixed"/>
        <w:tblCellMar>
          <w:top w:w="28" w:type="dxa"/>
          <w:left w:w="28" w:type="dxa"/>
          <w:bottom w:w="28" w:type="dxa"/>
          <w:right w:w="28" w:type="dxa"/>
        </w:tblCellMar>
      </w:tblPr>
      <w:tblGrid>
        <w:gridCol w:w="1363"/>
        <w:gridCol w:w="1196"/>
        <w:gridCol w:w="1205"/>
        <w:gridCol w:w="278"/>
        <w:gridCol w:w="673"/>
        <w:gridCol w:w="143"/>
        <w:gridCol w:w="109"/>
        <w:gridCol w:w="109"/>
        <w:gridCol w:w="109"/>
        <w:gridCol w:w="327"/>
        <w:gridCol w:w="793"/>
        <w:gridCol w:w="169"/>
        <w:gridCol w:w="109"/>
        <w:gridCol w:w="109"/>
        <w:gridCol w:w="109"/>
        <w:gridCol w:w="247"/>
        <w:gridCol w:w="721"/>
        <w:gridCol w:w="127"/>
        <w:gridCol w:w="109"/>
        <w:gridCol w:w="109"/>
        <w:gridCol w:w="109"/>
        <w:gridCol w:w="287"/>
        <w:gridCol w:w="838"/>
        <w:gridCol w:w="209"/>
      </w:tblGrid>
      <w:tr>
        <w:trPr/>
        <w:tc>
          <w:tcPr>
            <w:tcW w:w="136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w:t>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millions, except per share amounts):</w:t>
      </w:r>
    </w:p>
    <w:tbl>
      <w:tblPr>
        <w:tblW w:w="9723" w:type="dxa"/>
        <w:jc w:val="left"/>
        <w:tblInd w:w="0" w:type="dxa"/>
        <w:tblLayout w:type="fixed"/>
        <w:tblCellMar>
          <w:top w:w="28" w:type="dxa"/>
          <w:left w:w="28" w:type="dxa"/>
          <w:bottom w:w="28" w:type="dxa"/>
          <w:right w:w="28" w:type="dxa"/>
        </w:tblCellMar>
      </w:tblPr>
      <w:tblGrid>
        <w:gridCol w:w="1420"/>
        <w:gridCol w:w="1248"/>
        <w:gridCol w:w="1262"/>
        <w:gridCol w:w="278"/>
        <w:gridCol w:w="673"/>
        <w:gridCol w:w="143"/>
        <w:gridCol w:w="109"/>
        <w:gridCol w:w="109"/>
        <w:gridCol w:w="109"/>
        <w:gridCol w:w="327"/>
        <w:gridCol w:w="793"/>
        <w:gridCol w:w="169"/>
        <w:gridCol w:w="109"/>
        <w:gridCol w:w="109"/>
        <w:gridCol w:w="109"/>
        <w:gridCol w:w="247"/>
        <w:gridCol w:w="721"/>
        <w:gridCol w:w="127"/>
        <w:gridCol w:w="109"/>
        <w:gridCol w:w="109"/>
        <w:gridCol w:w="109"/>
        <w:gridCol w:w="287"/>
        <w:gridCol w:w="838"/>
        <w:gridCol w:w="209"/>
      </w:tblGrid>
      <w:tr>
        <w:trPr/>
        <w:tc>
          <w:tcPr>
            <w:tcW w:w="1420"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159.4 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equity-based awards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9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2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4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0.43 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12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common stock equivalents</w:t>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and six months ended April 3, 2026, and March 28, 2025,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SUPPLEMENTAL FINANCIAL INFORMATION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assets consist of the following (in millions):</w:t>
      </w:r>
    </w:p>
    <w:tbl>
      <w:tblPr>
        <w:tblW w:w="4917" w:type="dxa"/>
        <w:jc w:val="left"/>
        <w:tblInd w:w="0" w:type="dxa"/>
        <w:tblLayout w:type="fixed"/>
        <w:tblCellMar>
          <w:top w:w="28" w:type="dxa"/>
          <w:left w:w="28" w:type="dxa"/>
          <w:bottom w:w="28" w:type="dxa"/>
          <w:right w:w="28" w:type="dxa"/>
        </w:tblCellMar>
      </w:tblPr>
      <w:tblGrid>
        <w:gridCol w:w="777"/>
        <w:gridCol w:w="681"/>
        <w:gridCol w:w="687"/>
        <w:gridCol w:w="247"/>
        <w:gridCol w:w="721"/>
        <w:gridCol w:w="127"/>
        <w:gridCol w:w="109"/>
        <w:gridCol w:w="109"/>
        <w:gridCol w:w="109"/>
        <w:gridCol w:w="290"/>
        <w:gridCol w:w="848"/>
        <w:gridCol w:w="212"/>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assets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 current liabilities consist of the following (in millions):</w:t>
      </w:r>
    </w:p>
    <w:tbl>
      <w:tblPr>
        <w:tblW w:w="5846" w:type="dxa"/>
        <w:jc w:val="left"/>
        <w:tblInd w:w="0" w:type="dxa"/>
        <w:tblLayout w:type="fixed"/>
        <w:tblCellMar>
          <w:top w:w="28" w:type="dxa"/>
          <w:left w:w="28" w:type="dxa"/>
          <w:bottom w:w="28" w:type="dxa"/>
          <w:right w:w="28" w:type="dxa"/>
        </w:tblCellMar>
      </w:tblPr>
      <w:tblGrid>
        <w:gridCol w:w="1112"/>
        <w:gridCol w:w="979"/>
        <w:gridCol w:w="983"/>
        <w:gridCol w:w="247"/>
        <w:gridCol w:w="721"/>
        <w:gridCol w:w="127"/>
        <w:gridCol w:w="109"/>
        <w:gridCol w:w="109"/>
        <w:gridCol w:w="109"/>
        <w:gridCol w:w="290"/>
        <w:gridCol w:w="848"/>
        <w:gridCol w:w="212"/>
      </w:tblGrid>
      <w:tr>
        <w:trPr/>
        <w:tc>
          <w:tcPr>
            <w:tcW w:w="111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October 3, 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customer liabilities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taxes</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operating lease liabilities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current liabilities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PENDING TRANSACTION WITH QORVO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27, 2025, the Company entered into an Agreement and Plan of Merger (“Merger Agreement”) with Qorvo, Inc. (“Qorvo”), Comet Acquisition Corp. (“Merger Sub I”), and Comet Acquisition II, LLC (“Merger Sub II”) in a cash-and-stock transaction, pursuant to which Merger Sub I will be merged with and into Qorvo (the “First Merger”), with Qorvo as the surviving entity in the First Merger (the “Surviving Corporation”) and the Surviving Corporation continuing as a wholly owned subsidiary of the Company, and immediately following the First Merger, and as the second step in a single integrated transaction with the First Merger, the Surviving Corporation will be merged with and into Merger Sub II (the “Second Merger,” and together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First Merger, the “Mergers”), with Merger Sub II as the surviving entity in the Second Merger and a wholly owned subsidiary of the Company. Under the terms of the Merger Agreement, Qorvo stockholders will receive 0.960 of a share of Skyworks common stock and $32.50 per share in cash upon the completion of the transaction, representing a combined company enterprise value of approximately $22.0 billion based on market close on October 27, 2025. The transaction will close after receipt of regulatory approvals, certain approvals of Qorvo and Skyworks stockholders, and satisfaction of other customary closing conditions. The transaction is currently expected to close early in calendar year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Merger Agreement contains certain termination rights for each of Skyworks and Qorvo. Under specified circumstances, including termination by a party to accept a superior proposal or termination by the other party upon a change in such party’s board of directors’ recommendation to its stockholders, each of Qorvo and Skyworks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Skyworks will be required to pay Qorvo a termination fee of $100.0 million, as more fully described in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Skyworks’ special meeting of stockholders and Qorvo’s special meeting of stockholders were held virtually on February 11, 2026 at 11:30 AM, Pacific Time, and the stockholders of each respective company approved the ballot measures at each of their respective special meetings.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5, 2026, Skyworks and Qorvo each received a Request for Additional Information and Documentary Material (the “Second Request”) from the U.S. Federal Trade Commission (“FTC”) in connection with the transaction. The Second Request was issued under notification requirements of the Hart-Scott-Rodino Antitrust Improvement Act of 1976, as amended (“HSR Act”). The effect of the Second Request is to extend the waiting period imposed by the HSR Act until 30 days after Skyworks and Qorvo have substantially complied with the Second Request, unless that period is voluntarily extended by the parties or terminated sooner by the FTC.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the Company entered into a commitment letter (“Bridge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Depending on market conditions, the Company may choose to opportunistically put in place the financing for the transactions contemplated by the Merger Agreement well in advance of any expected closing, including to partially pay the cash portion of the consideration to be paid to Qorvo stockholders and to pay fees and expenses, as well as potential transactions to refinance and/or exchange Qorvo’s senior notes. The receipt of financing by the Company is not a condition to the Company’s obligation to consummate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Bridge Commitment Letter, $1,550.0 million of the senior unsecured bridge term loans had been specifically designated to represent the principal amount of Qorvo’s outstanding senior notes (the “Qorvo Notes Tranche”), and if a ratings decline (as defined in the applicable Qorvo indenture as in effect on the date of the commitment letter) did not occur on or prior to December 27, 2025 (which date would be extended so long as the rating of any series of Qorvo’s outstanding senior notes was under publicly announced consideration for possible downgrade), then the aggregate commitments in respect of the Qorvo Notes Tranche under the Bridge Commitment Letter would be automatically permanently reduced dollar-for-dollar by the aggregate principal amount of Qorvo’s senior notes. On December 28, 2025, Goldman Sachs Bank USA notified the Company that there was no such ratings decline, no rating as to any series of Qorvo’s outstanding senior notes was under publicly announced consideration for possible downgrade, and therefore the Qorvo Notes Tranche had been permanently reduced to $0.00. As a result, as of April 3, 2026, Goldman Sachs Bank USA has committed to provide up to $1,500.0 million of senior unsecured bridge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Transaction costs were $19.7 million and $53.4 million recorded within selling, general, and administrative expense during the three and six months ended April 3, 2026, respectively. These costs mainly consisted of professional fees and administrative costs for the pending transaction and were expensed as incurred in the Company’s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DEBT</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Revolving Credit Agreement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21, 2021, the Company entered into a revolving credit agreement (as amended, the “Revolving Credit Agreement”) providing for a $750.0 million revolving credit facility (the “Revolver”). The proceeds of the Revolver are available to be used for general corporate purposes and working capital needs of the Company and its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Revolver provides for revolving credit borrowings and letters of credit, with sublimits for letters of credit. The Revolver may be increased in specified circumstances by up to $250.0 million at the discretion of the lenders.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6, 2023, the Company entered into a First Amendment to the Revolving Credit Agreement to replace the LIBOR-based interest rate and related LIBOR-based mechanics applicable to borrowings under the Revolving Credit Agreement with a SOFR-based interest rate and related SOFR-based mechanics. On November 18, 2025, the Company entered into a Second Amendment to the Revolving Credit Agreement (the “Second Revolver Amendment”). Pursuant to the terms of the Second Revolver Amendment, the parties thereto agreed to extend the maturity date of the Revolving Credit Agreement to November 18,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Revolving Credit Agreement contains customary representations and warranties and covenants, including restrictions on the incurrence of indebtedness by non-guarantor subsidiaries and the creation of liens, and a financial covenant consisting of a limitation on leverage, defined as consolidated total indebtedness divided by consolidated earnings before interest, taxes, depreciation, and amortization for the period of four consecutive quarters not to exceed a ratio of 3.0 to 1.0. As of April 3, 2026 and October 3, 2025, there were no borrowings outstanding and the Company was in compliance with all debt covenants under the Revolver.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pPr>
      <w:r>
        <w:rPr>
          <w:rFonts w:ascii="Times New Roman;serif" w:hAnsi="Times New Roman;serif"/>
          <w:b/>
          <w:color w:val="000000"/>
          <w:sz w:val="20"/>
        </w:rPr>
        <w:t>ITEM 2. MANAGEMENT</w:t>
      </w:r>
      <w:r>
        <w:rPr>
          <w:color w:val="000000"/>
        </w:rPr>
        <w:t>’</w:t>
      </w:r>
      <w:r>
        <w:rPr>
          <w:rFonts w:ascii="Times New Roman;serif" w:hAnsi="Times New Roman;serif"/>
          <w:b/>
          <w:color w:val="000000"/>
          <w:sz w:val="20"/>
        </w:rPr>
        <w:t>S DISCUSSION AND ANALYSIS OF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and other documents we have filed with the SEC contain forward-looking statements within the meaning of Section 27A of the Securities Act of 1933, as amended,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our expectations and statements regarding the transaction with Qorvo, the possible impacts of geopolitical conflicts, tariffs, export controls,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2025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this document, the words “we”, “our”, “ours”, “us”, “Skyworks”, and “the Company” refer only to Skyworks Solutions, Inc., and its consolidated subsidiaries and not any other person or entity.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Three and Six Months Ended April 3, 2026, and March 28, 2025</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results of our operations expressed as a percentage of net revenue:</w:t>
      </w:r>
    </w:p>
    <w:tbl>
      <w:tblPr>
        <w:tblW w:w="10104" w:type="dxa"/>
        <w:jc w:val="left"/>
        <w:tblInd w:w="0" w:type="dxa"/>
        <w:tblLayout w:type="fixed"/>
        <w:tblCellMar>
          <w:top w:w="28" w:type="dxa"/>
          <w:left w:w="28" w:type="dxa"/>
          <w:bottom w:w="28" w:type="dxa"/>
          <w:right w:w="28" w:type="dxa"/>
        </w:tblCellMar>
      </w:tblPr>
      <w:tblGrid>
        <w:gridCol w:w="1363"/>
        <w:gridCol w:w="1200"/>
        <w:gridCol w:w="1202"/>
        <w:gridCol w:w="336"/>
        <w:gridCol w:w="280"/>
        <w:gridCol w:w="608"/>
        <w:gridCol w:w="146"/>
        <w:gridCol w:w="146"/>
        <w:gridCol w:w="146"/>
        <w:gridCol w:w="308"/>
        <w:gridCol w:w="308"/>
        <w:gridCol w:w="716"/>
        <w:gridCol w:w="109"/>
        <w:gridCol w:w="109"/>
        <w:gridCol w:w="109"/>
        <w:gridCol w:w="328"/>
        <w:gridCol w:w="288"/>
        <w:gridCol w:w="608"/>
        <w:gridCol w:w="128"/>
        <w:gridCol w:w="128"/>
        <w:gridCol w:w="128"/>
        <w:gridCol w:w="308"/>
        <w:gridCol w:w="308"/>
        <w:gridCol w:w="794"/>
      </w:tblGrid>
      <w:tr>
        <w:trPr/>
        <w:tc>
          <w:tcPr>
            <w:tcW w:w="136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7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Pending Transaction With Qorvo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27, 2025, we entered into the Merger Agreement with Qorvo, a provider of connectivity and power solutions, to combine Qorvo and Skyworks in a cash-and-stock transaction that values the combined company at approximately $22.0 billion as of the market close on October 27,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Merger Agreement, at the effective time of the Mergers, each share of Qorvo common stock issued and outstanding immediately prior thereto (with certain exceptions set forth in the Merger Agreement) will be converted into the right to receive 0.960 (the “Exchange Ratio”) of a share of Skyworks common stock and $32.50 in cash, without interest, subject to applicable withholding taxes. The Exchange Ratio is expected to result in Qorvo equityholders and Skyworks equityholders owning approximately 37% and 63%, respectively, of the combined company on a pro forma basis following the closing. The Merger Agreement also provides for Skyworks’ assumption of certain Qorvo equity awards, subject to certain adjustments thereto in respect of, among other things, performance-based vesting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Merger Agreement, immediately following the closing, the Board of Directors will be comprised of 11 directors, consisting of (i) the Chief Executive Officer of Skyworks, who will be the Chief Executive Officer of Skyworks following the closing, (ii) seven directors designated by Skyworks and (iii) three directors designated by Qorvo who are reasonably acceptable to Skyworks, each of whom will hold office until the next annual meeting of stockholders of Skyworks. Promptly following the closing, the Board of Directors will also designate a Chairman. Robert Bruggeworth, Qorvo’s current President, Chief Executive Officer and director, will be one of Qorvo’s designees upon the closing.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Mergers, which are anticipated to close early in calendar year 2027, are subject to the satisfaction or waiver of customary closing conditions, including adoption of the Merger Agreement by Qorvo’s stockholders and the approval by Skyworks’ stockholders of the issuance of Skyworks common stock included in the consideration to be paid to Qorvo stockholders,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expiration or early termination of the waiting period under the HSR Act, and other regulatory approvals under certain antitrust and foreign investment regimes, and the absence of any order, injunction or law of such jurisdictions prohibiting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of Skyworks’ special meeting of stockholders and Qorvo’s special meeting of stockholders were held virtually on February 11, 2026 at 11:30 AM, Pacific Time, and the stockholders of each respective company approved the ballot measures at each of their respective special meetings.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February 5, 2026, Skyworks and Qorvo each received a Request for Additional Information and Documentary Material (the “Second Request”) from the U.S. Federal Trade Commission (“FTC”) in connection with the transaction. The Second Request was issued under notification requirements of the HSR Act. The effect of the Second Request is to extend the waiting period imposed by the HSR Act until 30 days after Skyworks and Qorvo have substantially complied with the Second Request, unless that period is voluntarily extended by the parties or terminated sooner by the FTC.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and Qorvo each have termination rights under the Merger Agreement. Under specified circumstances, including termination by a party to accept a superior proposal or termination by the other party upon a change in such party’s board of directors’ recommendation to its stockholders, each of us and Qorvo will be required to pay the other party a termination fee of $298.7 million, as more fully described in the Merger Agreement. Alternatively, under certain specified circumstances, including termination following an injunction arising in connection with certain antitrust or foreign investment laws, or failure to receive certain required regulatory approvals of specified governmental authorities, we will be required to pay Qorvo a termination fee of $100.0 million, as more fully described in the Merger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Merger Agreement, we entered into the Bridge Commitment Letter on October 27, 2025, with Goldman Sachs Bank USA, which committed to provide, subject to the satisfaction of customary closing conditions, up to $3,050.0 million of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Depending on market conditions, we may choose to opportunistically put in place the financing for the transactions contemplated by the Merger Agreement well in advance of any expected closing, including to partially pay the cash portion of the consideration to be paid to Qorvo stockholders and to pay fees and expenses, as well as potential transactions to refinance and/or exchange Qorvo’s senior notes. The receipt of financing by us is not a condition to our obligation to consummate the Mergers.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Bridge Commitment Letter, $1,550.0 million of the senior unsecured bridge term loans had been specifically designated to represent the principal amount of the Qorvo Notes Tranche, and if a ratings decline (as defined in the applicable Qorvo indenture as in effect on the date of the commitment letter) did not occur on or prior to December 27, 2025 (which date would be extended so long as the rating of any series of Qorvo’s outstanding senior notes was under publicly announced consideration for possible downgrade), then the aggregate commitments in respect of the Qorvo Notes Tranche under the Bridge Commitment Letter would be automatically permanently reduced dollar-for-dollar by the aggregate principal amount of Qorvo’s senior notes. On December 28, 2025, Goldman Sachs Bank USA notified the Company that there was no such ratings decline, no rating as to any series of Qorvo’s outstanding senior notes was under publicly announced consideration for possible downgrade, and therefore the Qorvo Notes Tranche had been permanently reduced to $0.00. As a result, as of April 3, 2026, Goldman Sachs Bank USA has committed to provide up to $1,500.0 million of senior unsecured bridge term loans.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Concurrently with the execution of the Merger Agreement, we and certain stockholders of Qorvo affiliated with Starboard Value (“SBV”), an affiliate of Peter Feld, a member of the board of directors of Qorvo so designated by SBV (each, a “SBV Stockholder”), entered into a Voting and Support Agreement (the “VSA”), pursuant to which each SBV Stockholder has agreed to vote its shares of Qorvo common stock in favor of the adoption of the Merger Agreement. As of October 24, 2025, the SBV Stockholders collectively held approximately 8% of Qorvo’s issued and outstanding shares. Each SBV Stockholder has also agreed, for a limited period of time not exceeding nine months from the date of the VSA, not to sell or transfer its shares of Qorvo common stock, subject to certain exceptions as specified in the VSA, and has agreed not to solicit any competing acquisition proposal. The VSA will terminate, as to each SBV Stockholder, upon the earliest to occur of (a) the closing, (b) the termination of the Merger Agreement, (c) the date of any Qorvo Triggering Event or Skyworks Triggering Event (each, as defined in the Merger Agreement) and (d) the written consent of Skyworks, Qorvo and the applicable SBV Stockholder.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more information on risks related to the Mergers, see Part I, Item 1A, Risk Factors, “Risks Associated with the Proposed Transaction with Qorvo” in the 2025 10-K.</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April 3, 2026, the following key factors contributed to our overall results of operations, financial position, and cash flows: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Net revenue decreased to $943.7 million for the three months ended April 3, 2026, as compared to $953.2 million for the corresponding period in fiscal 2025, driven primarily by a decrease in market share at a significant customer, partially offset by an increase in demand for our Wi-Fi products.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ending cash, cash equivalents, and marketable securities balance decreased to $1,436.4 million. The decrease in cash, cash equivalents, and marketable securities during the three months ended April 3, 2026 was primarily due to dividend payments of $106.8 million and capital expenditures of $82.3 million, partially offset by cash generated from operations of $50.3 million.</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Net Revenue</w:t>
      </w:r>
    </w:p>
    <w:tbl>
      <w:tblPr>
        <w:tblW w:w="8037" w:type="dxa"/>
        <w:jc w:val="left"/>
        <w:tblInd w:w="0" w:type="dxa"/>
        <w:tblLayout w:type="fixed"/>
        <w:tblCellMar>
          <w:top w:w="28" w:type="dxa"/>
          <w:left w:w="28" w:type="dxa"/>
          <w:bottom w:w="28" w:type="dxa"/>
          <w:right w:w="28" w:type="dxa"/>
        </w:tblCellMar>
      </w:tblPr>
      <w:tblGrid>
        <w:gridCol w:w="538"/>
        <w:gridCol w:w="472"/>
        <w:gridCol w:w="474"/>
        <w:gridCol w:w="247"/>
        <w:gridCol w:w="721"/>
        <w:gridCol w:w="127"/>
        <w:gridCol w:w="235"/>
        <w:gridCol w:w="235"/>
        <w:gridCol w:w="236"/>
        <w:gridCol w:w="291"/>
        <w:gridCol w:w="849"/>
        <w:gridCol w:w="150"/>
        <w:gridCol w:w="109"/>
        <w:gridCol w:w="109"/>
        <w:gridCol w:w="109"/>
        <w:gridCol w:w="212"/>
        <w:gridCol w:w="773"/>
        <w:gridCol w:w="110"/>
        <w:gridCol w:w="235"/>
        <w:gridCol w:w="235"/>
        <w:gridCol w:w="236"/>
        <w:gridCol w:w="249"/>
        <w:gridCol w:w="904"/>
        <w:gridCol w:w="181"/>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 quarters are typically lower and in line with seasonal industry trends.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net revenue for the three and six months ended April 3, 2026, as compared with the corresponding periods in fiscal 2025, was driven primarily by a decrease in market share at a significant customer, partially offset by an increase in demand for our Wi-Fi products.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Gross Profit</w:t>
      </w:r>
    </w:p>
    <w:tbl>
      <w:tblPr>
        <w:tblW w:w="8044" w:type="dxa"/>
        <w:jc w:val="left"/>
        <w:tblInd w:w="0" w:type="dxa"/>
        <w:tblLayout w:type="fixed"/>
        <w:tblCellMar>
          <w:top w:w="28" w:type="dxa"/>
          <w:left w:w="28" w:type="dxa"/>
          <w:bottom w:w="28" w:type="dxa"/>
          <w:right w:w="28" w:type="dxa"/>
        </w:tblCellMar>
      </w:tblPr>
      <w:tblGrid>
        <w:gridCol w:w="538"/>
        <w:gridCol w:w="472"/>
        <w:gridCol w:w="474"/>
        <w:gridCol w:w="211"/>
        <w:gridCol w:w="616"/>
        <w:gridCol w:w="271"/>
        <w:gridCol w:w="235"/>
        <w:gridCol w:w="235"/>
        <w:gridCol w:w="236"/>
        <w:gridCol w:w="248"/>
        <w:gridCol w:w="724"/>
        <w:gridCol w:w="318"/>
        <w:gridCol w:w="109"/>
        <w:gridCol w:w="109"/>
        <w:gridCol w:w="109"/>
        <w:gridCol w:w="211"/>
        <w:gridCol w:w="616"/>
        <w:gridCol w:w="271"/>
        <w:gridCol w:w="235"/>
        <w:gridCol w:w="235"/>
        <w:gridCol w:w="236"/>
        <w:gridCol w:w="246"/>
        <w:gridCol w:w="720"/>
        <w:gridCol w:w="369"/>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833.5 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gross profit for the three and six months ended April 3, 2026, as compared with the corresponding periods in fiscal 2025, was primarily the result of unfavorable product mix, partially offset by higher unit volumes.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tbl>
      <w:tblPr>
        <w:tblW w:w="8870" w:type="dxa"/>
        <w:jc w:val="left"/>
        <w:tblInd w:w="0" w:type="dxa"/>
        <w:tblLayout w:type="fixed"/>
        <w:tblCellMar>
          <w:top w:w="28" w:type="dxa"/>
          <w:left w:w="28" w:type="dxa"/>
          <w:bottom w:w="28" w:type="dxa"/>
          <w:right w:w="28" w:type="dxa"/>
        </w:tblCellMar>
      </w:tblPr>
      <w:tblGrid>
        <w:gridCol w:w="837"/>
        <w:gridCol w:w="735"/>
        <w:gridCol w:w="738"/>
        <w:gridCol w:w="211"/>
        <w:gridCol w:w="616"/>
        <w:gridCol w:w="271"/>
        <w:gridCol w:w="235"/>
        <w:gridCol w:w="235"/>
        <w:gridCol w:w="236"/>
        <w:gridCol w:w="248"/>
        <w:gridCol w:w="724"/>
        <w:gridCol w:w="318"/>
        <w:gridCol w:w="109"/>
        <w:gridCol w:w="109"/>
        <w:gridCol w:w="109"/>
        <w:gridCol w:w="211"/>
        <w:gridCol w:w="616"/>
        <w:gridCol w:w="271"/>
        <w:gridCol w:w="235"/>
        <w:gridCol w:w="235"/>
        <w:gridCol w:w="236"/>
        <w:gridCol w:w="246"/>
        <w:gridCol w:w="720"/>
        <w:gridCol w:w="369"/>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direct personnel costs including share-based compensation expense, costs for pre-production evaluation units and testing of new devices, non-production masks, engineering prototypes, and design tool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and six months ended April 3, 2026, as compared with the corresponding periods in fiscal 2025, was primarily related to increases in headcount-related expenses, including share-based compensation, as a result of our increased investment in developing new technologies and products.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Selling, General, and Administrative </w:t>
      </w:r>
    </w:p>
    <w:tbl>
      <w:tblPr>
        <w:tblW w:w="9559" w:type="dxa"/>
        <w:jc w:val="left"/>
        <w:tblInd w:w="0" w:type="dxa"/>
        <w:tblLayout w:type="fixed"/>
        <w:tblCellMar>
          <w:top w:w="28" w:type="dxa"/>
          <w:left w:w="28" w:type="dxa"/>
          <w:bottom w:w="28" w:type="dxa"/>
          <w:right w:w="28" w:type="dxa"/>
        </w:tblCellMar>
      </w:tblPr>
      <w:tblGrid>
        <w:gridCol w:w="1087"/>
        <w:gridCol w:w="954"/>
        <w:gridCol w:w="958"/>
        <w:gridCol w:w="211"/>
        <w:gridCol w:w="616"/>
        <w:gridCol w:w="271"/>
        <w:gridCol w:w="235"/>
        <w:gridCol w:w="235"/>
        <w:gridCol w:w="236"/>
        <w:gridCol w:w="274"/>
        <w:gridCol w:w="664"/>
        <w:gridCol w:w="352"/>
        <w:gridCol w:w="109"/>
        <w:gridCol w:w="109"/>
        <w:gridCol w:w="109"/>
        <w:gridCol w:w="211"/>
        <w:gridCol w:w="616"/>
        <w:gridCol w:w="271"/>
        <w:gridCol w:w="235"/>
        <w:gridCol w:w="235"/>
        <w:gridCol w:w="236"/>
        <w:gridCol w:w="246"/>
        <w:gridCol w:w="720"/>
        <w:gridCol w:w="369"/>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33.6%</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170.6 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increase in selling, general, and administrative expenses for the three and six months ended April 3, 2026, as compared with the corresponding periods in fiscal 2025, was primarily related to increases in professional services costs related to the ongoing Qorvo transaction, partially offset by decreases in headcount-related expenses.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Restructuring, Impairment, and Other Charges</w:t>
      </w:r>
    </w:p>
    <w:tbl>
      <w:tblPr>
        <w:tblW w:w="10205" w:type="dxa"/>
        <w:jc w:val="left"/>
        <w:tblInd w:w="0" w:type="dxa"/>
        <w:tblLayout w:type="fixed"/>
        <w:tblCellMar>
          <w:top w:w="28" w:type="dxa"/>
          <w:left w:w="28" w:type="dxa"/>
          <w:bottom w:w="28" w:type="dxa"/>
          <w:right w:w="28" w:type="dxa"/>
        </w:tblCellMar>
      </w:tblPr>
      <w:tblGrid>
        <w:gridCol w:w="1326"/>
        <w:gridCol w:w="1163"/>
        <w:gridCol w:w="1158"/>
        <w:gridCol w:w="231"/>
        <w:gridCol w:w="561"/>
        <w:gridCol w:w="297"/>
        <w:gridCol w:w="248"/>
        <w:gridCol w:w="248"/>
        <w:gridCol w:w="250"/>
        <w:gridCol w:w="271"/>
        <w:gridCol w:w="656"/>
        <w:gridCol w:w="348"/>
        <w:gridCol w:w="109"/>
        <w:gridCol w:w="109"/>
        <w:gridCol w:w="109"/>
        <w:gridCol w:w="231"/>
        <w:gridCol w:w="561"/>
        <w:gridCol w:w="297"/>
        <w:gridCol w:w="235"/>
        <w:gridCol w:w="235"/>
        <w:gridCol w:w="236"/>
        <w:gridCol w:w="268"/>
        <w:gridCol w:w="650"/>
        <w:gridCol w:w="408"/>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3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 for the three and six months ended April 3, 2026, was primarily due to costs associated with facility consolidation and closure.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Restructuring, impairment, and other charges for the three and six months ended March 28, 2025, was primarily due to charges incurred in connection with the transition of our chief executive officer.</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 xml:space="preserve">Interest Expense </w:t>
      </w:r>
    </w:p>
    <w:tbl>
      <w:tblPr>
        <w:tblW w:w="8036" w:type="dxa"/>
        <w:jc w:val="left"/>
        <w:tblInd w:w="0" w:type="dxa"/>
        <w:tblLayout w:type="fixed"/>
        <w:tblCellMar>
          <w:top w:w="28" w:type="dxa"/>
          <w:left w:w="28" w:type="dxa"/>
          <w:bottom w:w="28" w:type="dxa"/>
          <w:right w:w="28" w:type="dxa"/>
        </w:tblCellMar>
      </w:tblPr>
      <w:tblGrid>
        <w:gridCol w:w="538"/>
        <w:gridCol w:w="472"/>
        <w:gridCol w:w="474"/>
        <w:gridCol w:w="260"/>
        <w:gridCol w:w="501"/>
        <w:gridCol w:w="334"/>
        <w:gridCol w:w="235"/>
        <w:gridCol w:w="235"/>
        <w:gridCol w:w="236"/>
        <w:gridCol w:w="306"/>
        <w:gridCol w:w="590"/>
        <w:gridCol w:w="393"/>
        <w:gridCol w:w="109"/>
        <w:gridCol w:w="109"/>
        <w:gridCol w:w="109"/>
        <w:gridCol w:w="232"/>
        <w:gridCol w:w="564"/>
        <w:gridCol w:w="299"/>
        <w:gridCol w:w="235"/>
        <w:gridCol w:w="235"/>
        <w:gridCol w:w="236"/>
        <w:gridCol w:w="271"/>
        <w:gridCol w:w="657"/>
        <w:gridCol w:w="406"/>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was consistent for the three and six months ended April 3, 2026, as compared with the corresponding periods in fiscal 2025.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Net</w:t>
      </w:r>
    </w:p>
    <w:tbl>
      <w:tblPr>
        <w:tblW w:w="8155" w:type="dxa"/>
        <w:jc w:val="left"/>
        <w:tblInd w:w="0" w:type="dxa"/>
        <w:tblLayout w:type="fixed"/>
        <w:tblCellMar>
          <w:top w:w="28" w:type="dxa"/>
          <w:left w:w="28" w:type="dxa"/>
          <w:bottom w:w="28" w:type="dxa"/>
          <w:right w:w="28" w:type="dxa"/>
        </w:tblCellMar>
      </w:tblPr>
      <w:tblGrid>
        <w:gridCol w:w="565"/>
        <w:gridCol w:w="496"/>
        <w:gridCol w:w="498"/>
        <w:gridCol w:w="232"/>
        <w:gridCol w:w="564"/>
        <w:gridCol w:w="299"/>
        <w:gridCol w:w="235"/>
        <w:gridCol w:w="235"/>
        <w:gridCol w:w="236"/>
        <w:gridCol w:w="274"/>
        <w:gridCol w:w="664"/>
        <w:gridCol w:w="352"/>
        <w:gridCol w:w="109"/>
        <w:gridCol w:w="109"/>
        <w:gridCol w:w="109"/>
        <w:gridCol w:w="232"/>
        <w:gridCol w:w="564"/>
        <w:gridCol w:w="299"/>
        <w:gridCol w:w="249"/>
        <w:gridCol w:w="249"/>
        <w:gridCol w:w="251"/>
        <w:gridCol w:w="271"/>
        <w:gridCol w:w="657"/>
        <w:gridCol w:w="406"/>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other income, net for the three and six months ended April 3, 2026, as compared with the corresponding periods in fiscal 2025, was primarily due to a decrease in interest income generated from cash, cash equivalents, and marketable securities.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8918" w:type="dxa"/>
        <w:jc w:val="left"/>
        <w:tblInd w:w="0" w:type="dxa"/>
        <w:tblLayout w:type="fixed"/>
        <w:tblCellMar>
          <w:top w:w="28" w:type="dxa"/>
          <w:left w:w="28" w:type="dxa"/>
          <w:bottom w:w="28" w:type="dxa"/>
          <w:right w:w="28" w:type="dxa"/>
        </w:tblCellMar>
      </w:tblPr>
      <w:tblGrid>
        <w:gridCol w:w="826"/>
        <w:gridCol w:w="725"/>
        <w:gridCol w:w="728"/>
        <w:gridCol w:w="260"/>
        <w:gridCol w:w="501"/>
        <w:gridCol w:w="334"/>
        <w:gridCol w:w="249"/>
        <w:gridCol w:w="249"/>
        <w:gridCol w:w="251"/>
        <w:gridCol w:w="274"/>
        <w:gridCol w:w="664"/>
        <w:gridCol w:w="352"/>
        <w:gridCol w:w="109"/>
        <w:gridCol w:w="109"/>
        <w:gridCol w:w="109"/>
        <w:gridCol w:w="232"/>
        <w:gridCol w:w="564"/>
        <w:gridCol w:w="299"/>
        <w:gridCol w:w="249"/>
        <w:gridCol w:w="249"/>
        <w:gridCol w:w="251"/>
        <w:gridCol w:w="271"/>
        <w:gridCol w:w="657"/>
        <w:gridCol w:w="406"/>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(70.9)%</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net revenue</w:t>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recorded a provision for income taxes of $9.8 million and $40.2 million for the three and six months ended April 3, 2026,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decrease in income tax expense for the three and six months ended April 3, 2026, as compared with the corresponding periods in fiscal 2025, was primarily due to lower foreign taxes, partially offset by share-based compensation shortfalls, uncertain tax positions, transaction costs related to the pending transaction with Qorvo, and a lower FDII benefit.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2021, the OECD Inclusive Framework on BEPS released GloBE rules under Pillar Two. Many countries have implemented laws based on Pillar Two, which became effective for us beginning in fiscal 2025. In January 2026, the OECD Inclusive Framework released significant administrative guidance including the side-by-side safe harbor package that will apply to U.S. multinational enterprise groups. The tax impact associated with Pillar Two was immaterial to the financial statements for the three and six months ended April 3, 2026 and March 28, 2025, respectively. We continue to evaluate the impact of proposed and enacted legislative changes as new guidance becomes available.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July 2025, the U.S. government enacted the OBBBA. The OBBBA did not have a material impact to the financials for the three and six months ended April 3, 2026. We continue to evaluate the impact of the OBBBA on our business for future periods.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may record additional impacts to its tax provision in the subsequent quarters as it continues to analyze the new law, other factors such as changes from its business operations, financial results and forecasts, and interrelated items.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tbl>
      <w:tblPr>
        <w:tblW w:w="6956" w:type="dxa"/>
        <w:jc w:val="left"/>
        <w:tblInd w:w="0" w:type="dxa"/>
        <w:tblLayout w:type="fixed"/>
        <w:tblCellMar>
          <w:top w:w="28" w:type="dxa"/>
          <w:left w:w="28" w:type="dxa"/>
          <w:bottom w:w="28" w:type="dxa"/>
          <w:right w:w="28" w:type="dxa"/>
        </w:tblCellMar>
      </w:tblPr>
      <w:tblGrid>
        <w:gridCol w:w="1521"/>
        <w:gridCol w:w="1336"/>
        <w:gridCol w:w="1343"/>
        <w:gridCol w:w="212"/>
        <w:gridCol w:w="773"/>
        <w:gridCol w:w="110"/>
        <w:gridCol w:w="109"/>
        <w:gridCol w:w="109"/>
        <w:gridCol w:w="109"/>
        <w:gridCol w:w="249"/>
        <w:gridCol w:w="904"/>
        <w:gridCol w:w="181"/>
      </w:tblGrid>
      <w:tr>
        <w:trPr/>
        <w:tc>
          <w:tcPr>
            <w:tcW w:w="152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April 3,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28, 2025</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provided by operating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operating activities consists of net income for the period adjusted for certain non-cash items and changes in certain operating assets and liabilities. The $340.8 million decrease in cash provided by operating activities during the six months ended April 3, 2026, as compared with the corresponding period in fiscal 2025, was primarily related to a decrease in cash inflows as a result of changes to working capital (net of cash) of $199.7 million, due primarily to inventory and lower net income.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605" cy="14605"/>
                <wp:effectExtent l="0" t="0" r="0" b="0"/>
                <wp:wrapNone/>
                <wp:docPr id="23" name="Frame23"/>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provided by investing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provided by investing activities consists primarily of cash received related to the sale or maturity of marketable securities, partially offset by cash paid to purchase marketable securities, capital expenditures, and cash paid to acquire intangible assets. The $72.2 million increase in cash provided by investing activities during the six months ended April 3, 2026, as compared with the corresponding period in fiscal 2025, was primarily related to a decrease of $252.3 million in purchases of marketable securities, partially offset by a decrease of $114.9 million in the sale or maturity of marketable securities and an increase of $61.4 million in capital expenditures purchases.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Cash used in 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consists primarily of cash transactions related to equity and proceeds and payments related to our long-term borrowings. The $501.4 million decrease in cash used in financing activities during the six months ended April 3, 2026, as compared with the corresponding period in fiscal 2025, was primarily related to a decrease of $492.5 million in share repurchases, net of excise tax paid, and a decrease of $9.9 million in dividend payments.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cash equivalents, and marketable securities totaled $1,436.4 million as of April 3, 2026, representing an increase of $48.0 million from October 3,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outstanding $500.0 million of Notes Due 2026 and $500.0 million of Notes Due 2031 (the “Notes”). We have a Revolving Credit Agreement under which we may borrow up to $750.0 million for general corporate purposes and working capital. As of April 3, 2026, there were no borrowings outstanding under the Revolver. The Revolving Credit Agreement expires on November 18, 2030.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execution of the Merger Agreement, we entered into a commitment letter on October 27, 2025, with Goldman Sachs Bank USA, which committed to provide, subject to the satisfaction of customary closing conditions, senior unsecured bridge term loans for the purpose of financing a portion of the cash portion of the consideration to be paid to Qorvo stockholders, paying related fees and expenses in connection with the Mergers and the other transactions contemplated by the Merger Agreement and, in certain circumstances, to refinance certain of Qorvo’s senior notes. As of April 3, 2026, Goldman Sachs Bank USA has committed to provide up to $1,500.0 million of senior unsecured bridge term loans. Depending on market conditions, we may choose to opportunistically put in place the financing for the transactions contemplated by the Merger Agreement well in advance of any expected closing, including to partially pay the cash portion of the consideration to be paid to Qorvo stockholders and to pay fees and expenses, as well as potential transactions to refinance and/or exchange Qorvo’s senior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historical results of operations, we expect that our cash, cash equivalents, and marketable securities on hand, the cash we expect to generate from operations, and funds from our Revolver, will be sufficient to fund our short-term and long-term liquidity requirements primarily arising from: research and development, capital expenditures, potential acquisitions, working capital, quarterly cash dividend payments (if such dividends are declared by the Board of Directors), share repurchases, outstanding commitments, and other liquidity requirements associated with existing operations. However, we cannot be certain that our cash, cash equivalents, and marketable securities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invested cash balances primarily consist of highly liquid marketable securities that are available to meet near-term cash requirements including: money market funds, U.S. Treasury and government securities, corporate bonds and notes, and municipal bonds.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contractual obligations disclosure in the 2025 10-K has not materially changed since we filed that report.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subject to overall financial market risks, such as changes in market liquidity, credit quality, investment risk, interest rate risk, and foreign exchange rate risk as described below.</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Investment and Interest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exposure to interest rate and general market risks relates to our investment portfolio. Our investment portfolio consists of cash and cash equivalents (money market funds and corporate bonds and notes purchased with less than ninety days until maturity) that total approximately $1,413.3 million, and marketable securities (U.S. Treasury and government securities, corporate bonds and notes, and municipal bonds) of approximately $8.5 million and $14.6 million within short-term and long-term marketable securities, respectively, as of April 3,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main objectives of our investment activities are liquidity and preservation of capital. Our cash equivalent investments have short-term maturity periods that dampen the impact of market or interest rate risk. Our marketable securities have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Based on our results of operations for the three and six months ended April 3, 2026, a hypothetical reduction in the interest rates on our cash, cash equivalents, and other investments of 100 basis points would result in an immaterial reduction of interest income with a de minimis impact on income before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do not believe that investment or interest rate risks currently pose material exposures to our business or results of operations.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Foreign Exchange Rate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three and six months ended April 3, 2026 and March 28, 2025, we had not entered into any outstanding foreign currency forward or options contracts with financial institutions.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of April 3,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April 3, 2026, our chief executive officer and chief financial officer concluded that, as of such date, our disclosure controls and procedures were effective at the reasonable assurance level.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20"/>
        <w:jc w:val="both"/>
        <w:rPr/>
      </w:pPr>
      <w:r>
        <w:rPr>
          <w:rFonts w:ascii="Times New Roman;serif" w:hAnsi="Times New Roman;serif"/>
          <w:b/>
          <w:i/>
          <w:color w:val="000000"/>
          <w:sz w:val="20"/>
        </w:rPr>
        <w:t>Changes in Internal Control Over Financial Reporting</w:t>
      </w:r>
      <w:r>
        <w:rPr>
          <w:color w:val="000000"/>
        </w:rPr>
        <w:t xml:space="preserve">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are no changes to our internal control over financial reporting (as defined in Rules 13a-15(f) and 15d-15(f) of the Exchange Act) that occurred during the second quarter of fiscal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LEGAL PROCEEDINGS.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Refer to Note 9 of the Notes to Consolidated Financial Statements for a detailed discussion.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other information set forth in this Quarterly Report on Form 10-Q, you should carefully consider the factors discussed in Part I, Item 1A Risk Factors in the 2025 10-K, which could materially affect our business, financial condition, or future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repurchases of common stock made during the three months ended April 3, 2026:</w:t>
      </w:r>
    </w:p>
    <w:tbl>
      <w:tblPr>
        <w:tblW w:w="10205" w:type="dxa"/>
        <w:jc w:val="left"/>
        <w:tblInd w:w="0" w:type="dxa"/>
        <w:tblLayout w:type="fixed"/>
        <w:tblCellMar>
          <w:top w:w="28" w:type="dxa"/>
          <w:left w:w="28" w:type="dxa"/>
          <w:bottom w:w="28" w:type="dxa"/>
          <w:right w:w="28" w:type="dxa"/>
        </w:tblCellMar>
      </w:tblPr>
      <w:tblGrid>
        <w:gridCol w:w="361"/>
        <w:gridCol w:w="318"/>
        <w:gridCol w:w="321"/>
        <w:gridCol w:w="488"/>
        <w:gridCol w:w="488"/>
        <w:gridCol w:w="490"/>
        <w:gridCol w:w="109"/>
        <w:gridCol w:w="109"/>
        <w:gridCol w:w="109"/>
        <w:gridCol w:w="416"/>
        <w:gridCol w:w="416"/>
        <w:gridCol w:w="417"/>
        <w:gridCol w:w="948"/>
        <w:gridCol w:w="948"/>
        <w:gridCol w:w="951"/>
        <w:gridCol w:w="968"/>
        <w:gridCol w:w="968"/>
        <w:gridCol w:w="1380"/>
      </w:tblGrid>
      <w:tr>
        <w:trPr/>
        <w:tc>
          <w:tcPr>
            <w:tcW w:w="36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2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 (1)</w:t>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 (1) (2)</w:t>
            </w:r>
          </w:p>
        </w:tc>
      </w:tr>
      <w:tr>
        <w:trPr/>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01/03/26 - 01/30/26</w:t>
            </w:r>
          </w:p>
        </w:tc>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$59.82</w:t>
            </w:r>
          </w:p>
        </w:tc>
        <w:tc>
          <w:tcPr>
            <w:tcW w:w="28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01/31/26 - 02/27/26</w:t>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16,007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w:t>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$62.28</w:t>
            </w:r>
          </w:p>
        </w:tc>
        <w:tc>
          <w:tcPr>
            <w:tcW w:w="2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02/28/26 - 04/03/26</w:t>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 billion</w:t>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 The stock repurchase program approved by the Board of Directors on February 4, 2025 authorized the repurchase of up to $2.0 billion of our common stock from time to time on the open market or in privately negotiated transactions, in compliance with applicable securities laws and other legal requirements, and expires on February 3, 2027.</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The Company’s net share repurchases are subject to a 1% excise tax under the Inflation Reduction Act. Excise tax incurred reduces the amount available under the stock repurchase program, as applicable, and is included in the cost of shares repurchased in the Consolidated Statements of Stockholders’ Equity.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Represents shares repurchased by us at the fair market value of the common stock as of the applicable purchase date, in connection with the satisfaction of tax withholding obligations under equity award agreements.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2"/>
        <w:gridCol w:w="240"/>
        <w:gridCol w:w="241"/>
        <w:gridCol w:w="2169"/>
        <w:gridCol w:w="2093"/>
        <w:gridCol w:w="1981"/>
        <w:gridCol w:w="170"/>
        <w:gridCol w:w="170"/>
        <w:gridCol w:w="171"/>
        <w:gridCol w:w="165"/>
        <w:gridCol w:w="150"/>
        <w:gridCol w:w="150"/>
        <w:gridCol w:w="227"/>
        <w:gridCol w:w="227"/>
        <w:gridCol w:w="191"/>
        <w:gridCol w:w="248"/>
        <w:gridCol w:w="213"/>
        <w:gridCol w:w="177"/>
        <w:gridCol w:w="276"/>
        <w:gridCol w:w="276"/>
        <w:gridCol w:w="398"/>
      </w:tblGrid>
      <w:tr>
        <w:trPr/>
        <w:tc>
          <w:tcPr>
            <w:tcW w:w="27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753"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88" w:before="0" w:after="0"/>
              <w:jc w:val="center"/>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62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Exhibit Description</w:t>
            </w:r>
          </w:p>
        </w:tc>
        <w:tc>
          <w:tcPr>
            <w:tcW w:w="5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Form</w:t>
            </w:r>
          </w:p>
        </w:tc>
        <w:tc>
          <w:tcPr>
            <w:tcW w:w="1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Incorporated by Reference</w:t>
            </w:r>
          </w:p>
        </w:tc>
        <w:tc>
          <w:tcPr>
            <w:tcW w:w="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Filed Herewith</w:t>
            </w:r>
          </w:p>
        </w:tc>
      </w:tr>
      <w:tr>
        <w:trPr/>
        <w:tc>
          <w:tcPr>
            <w:tcW w:w="753" w:type="dxa"/>
            <w:gridSpan w:val="3"/>
            <w:vMerge w:val="continue"/>
            <w:tcBorders/>
            <w:tcMar>
              <w:top w:w="0" w:type="dxa"/>
              <w:left w:w="0" w:type="dxa"/>
              <w:bottom w:w="0" w:type="dxa"/>
              <w:right w:w="0" w:type="dxa"/>
            </w:tcMar>
            <w:vAlign w:val="center"/>
          </w:tcPr>
          <w:p>
            <w:pPr>
              <w:pStyle w:val="Normal"/>
              <w:bidi w:val="0"/>
              <w:jc w:val="left"/>
              <w:rPr/>
            </w:pPr>
            <w:r>
              <w:rPr/>
            </w:r>
          </w:p>
        </w:tc>
        <w:tc>
          <w:tcPr>
            <w:tcW w:w="6243"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vMerge w:val="continue"/>
            <w:tcBorders/>
            <w:tcMar>
              <w:top w:w="0" w:type="dxa"/>
              <w:left w:w="0" w:type="dxa"/>
              <w:bottom w:w="0" w:type="dxa"/>
              <w:right w:w="0" w:type="dxa"/>
            </w:tcMar>
            <w:vAlign w:val="center"/>
          </w:tcPr>
          <w:p>
            <w:pPr>
              <w:pStyle w:val="Normal"/>
              <w:bidi w:val="0"/>
              <w:jc w:val="left"/>
              <w:rPr/>
            </w:pPr>
            <w:r>
              <w:rPr/>
            </w:r>
          </w:p>
        </w:tc>
        <w:tc>
          <w:tcPr>
            <w:tcW w:w="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File No.</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tc>
        <w:tc>
          <w:tcPr>
            <w:tcW w:w="6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Filing Date</w:t>
            </w:r>
          </w:p>
        </w:tc>
        <w:tc>
          <w:tcPr>
            <w:tcW w:w="9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fy26directorcas.htm">
              <w:r>
                <w:rPr>
                  <w:rStyle w:val="InternetLink"/>
                  <w:rFonts w:ascii="Times New Roman;serif" w:hAnsi="Times New Roman;serif"/>
                  <w:b w:val="false"/>
                  <w:color w:val="0000FF"/>
                  <w:sz w:val="20"/>
                  <w:u w:val="single"/>
                </w:rPr>
                <w:t>Cash Compensation Plan for Directors</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thirdar2008dire.htm">
              <w:r>
                <w:rPr>
                  <w:rStyle w:val="InternetLink"/>
                  <w:rFonts w:ascii="Times New Roman;serif" w:hAnsi="Times New Roman;serif"/>
                  <w:b w:val="false"/>
                  <w:color w:val="0000FF"/>
                  <w:sz w:val="20"/>
                  <w:u w:val="single"/>
                </w:rPr>
                <w:t>Skyworks Solutions, Inc. Third Amended and Restated 2008 Director Long-Term Incentive Plan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11.htm">
              <w:r>
                <w:rPr>
                  <w:rStyle w:val="InternetLink"/>
                  <w:rFonts w:ascii="Times New Roman;serif" w:hAnsi="Times New Roman;serif"/>
                  <w:b w:val="false"/>
                  <w:color w:val="0000FF"/>
                  <w:sz w:val="20"/>
                  <w:u w:val="single"/>
                </w:rPr>
                <w:t>Certification of the Company’s Principal Executive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12.htm">
              <w:r>
                <w:rPr>
                  <w:rStyle w:val="InternetLink"/>
                  <w:rFonts w:ascii="Times New Roman;serif" w:hAnsi="Times New Roman;serif"/>
                  <w:b w:val="false"/>
                  <w:color w:val="0000FF"/>
                  <w:sz w:val="20"/>
                  <w:u w:val="single"/>
                </w:rPr>
                <w:t>Certification of the Company’s Principal Financial Officer pursuant to Securities Exchange Act of 1934, as amended, Rules 13a-14(a) and 15d-14(a),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21.htm">
              <w:r>
                <w:rPr>
                  <w:rStyle w:val="InternetLink"/>
                  <w:rFonts w:ascii="Times New Roman;serif" w:hAnsi="Times New Roman;serif"/>
                  <w:b w:val="false"/>
                  <w:color w:val="0000FF"/>
                  <w:sz w:val="20"/>
                  <w:u w:val="single"/>
                </w:rPr>
                <w:t>Certification of the Company’s Chief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226exhibit322.htm">
              <w:r>
                <w:rPr>
                  <w:rStyle w:val="InternetLink"/>
                  <w:rFonts w:ascii="Times New Roman;serif" w:hAnsi="Times New Roman;serif"/>
                  <w:b w:val="false"/>
                  <w:color w:val="0000FF"/>
                  <w:sz w:val="20"/>
                  <w:u w:val="single"/>
                </w:rPr>
                <w:t>Certification of the Company’s Chief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6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with applicable taxonomy extension information contained in Exhibits 101)</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rPr/>
      </w:pPr>
      <w:hyperlink w:anchor="i8a052afe179d42cea713aab863de21bc_7">
        <w:r>
          <w:rPr>
            <w:rStyle w:val="InternetLink"/>
            <w:rFonts w:ascii="Times New Roman;serif" w:hAnsi="Times New Roman;serif"/>
            <w:b w:val="false"/>
            <w:color w:val="0000FF"/>
            <w:sz w:val="18"/>
            <w:u w:val="single"/>
          </w:rPr>
          <w:t>Table of Contents</w:t>
        </w:r>
      </w:hyperlink>
    </w:p>
    <w:p>
      <w:pPr>
        <w:pStyle w:val="TextBody"/>
        <w:bidi w:val="0"/>
        <w:spacing w:lineRule="auto" w:line="288" w:before="270" w:after="283"/>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90" w:after="1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13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432"/>
        <w:gridCol w:w="432"/>
        <w:gridCol w:w="432"/>
        <w:gridCol w:w="1210"/>
        <w:gridCol w:w="1210"/>
        <w:gridCol w:w="172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SKYWORKS SOLUTIONS,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70" w:after="283"/>
        <w:jc w:val="right"/>
        <w:rPr>
          <w:rFonts w:ascii="Times New Roman;serif" w:hAnsi="Times New Roman;serif"/>
          <w:b/>
          <w:color w:val="000000"/>
          <w:sz w:val="20"/>
        </w:rPr>
      </w:pPr>
      <w:r>
        <w:rPr>
          <w:rFonts w:ascii="Times New Roman;serif" w:hAnsi="Times New Roman;serif"/>
          <w:b/>
          <w:color w:val="000000"/>
          <w:sz w:val="20"/>
        </w:rPr>
        <w:t>EXHIBIT 10.1</w:t>
      </w:r>
    </w:p>
    <w:p>
      <w:pPr>
        <w:pStyle w:val="TextBody"/>
        <w:bidi w:val="0"/>
        <w:spacing w:before="5" w:after="283"/>
        <w:jc w:val="left"/>
        <w:rPr/>
      </w:pPr>
      <w:r>
        <w:rPr/>
      </w:r>
    </w:p>
    <w:p>
      <w:pPr>
        <w:pStyle w:val="TextBody"/>
        <w:bidi w:val="0"/>
        <w:spacing w:lineRule="auto" w:line="331" w:before="103" w:after="283"/>
        <w:jc w:val="center"/>
        <w:rPr>
          <w:rFonts w:ascii="Times New Roman;serif" w:hAnsi="Times New Roman;serif"/>
          <w:b/>
          <w:color w:val="000000"/>
          <w:sz w:val="20"/>
        </w:rPr>
      </w:pPr>
      <w:r>
        <w:rPr>
          <w:rFonts w:ascii="Times New Roman;serif" w:hAnsi="Times New Roman;serif"/>
          <w:b/>
          <w:color w:val="000000"/>
          <w:sz w:val="20"/>
        </w:rPr>
        <w:t>Skyworks Solutions, Inc.</w:t>
      </w:r>
    </w:p>
    <w:p>
      <w:pPr>
        <w:pStyle w:val="TextBody"/>
        <w:bidi w:val="0"/>
        <w:spacing w:lineRule="auto" w:line="288" w:before="1" w:after="283"/>
        <w:jc w:val="center"/>
        <w:rPr>
          <w:rFonts w:ascii="Times New Roman;serif" w:hAnsi="Times New Roman;serif"/>
          <w:b/>
          <w:color w:val="000000"/>
          <w:sz w:val="20"/>
        </w:rPr>
      </w:pPr>
      <w:r>
        <w:rPr>
          <w:rFonts w:ascii="Times New Roman;serif" w:hAnsi="Times New Roman;serif"/>
          <w:b/>
          <w:color w:val="000000"/>
          <w:sz w:val="20"/>
        </w:rPr>
        <w:t>Cash Compensation Plan for Directors</w:t>
      </w:r>
    </w:p>
    <w:p>
      <w:pPr>
        <w:pStyle w:val="TextBody"/>
        <w:bidi w:val="0"/>
        <w:spacing w:before="3"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Directors who are not employees of Skyworks Solutions, Inc. (the “Company”), are paid an annual retainer of $100,000. Additional annual retainers are paid to any non-employee Chairman of the Board ($130,000); the Lead Independent Director, if one has been appointed ($50,000); the Chairman of the Audit Committee ($30,000); the Chairman of the Compensation Committee ($20,000); and the Chairman of the Nominating and Governance Committee ($15,000). Additional annual retainers are also paid to directors who serve on committees in roles other than as Chairman as follows: Audit Committee ($15,000); Compensation Committee ($10,000); and Nominating and Corporate Governance Committee ($7,500). All retainers are paid in quarterly installments. In addition, the Compensation Committee retains discretion to recommend to the full Board of Directors that additional cash payments be made to a non-employee director(s) for extraordinary service during a fiscal year.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SKYWORKS SOLUTIONS, INC. </w:t>
      </w:r>
    </w:p>
    <w:p>
      <w:pPr>
        <w:pStyle w:val="TextBody"/>
        <w:bidi w:val="0"/>
        <w:spacing w:before="0" w:after="0"/>
        <w:jc w:val="center"/>
        <w:rPr/>
      </w:pPr>
      <w:r>
        <w:rPr/>
      </w:r>
    </w:p>
    <w:p>
      <w:pPr>
        <w:pStyle w:val="TextBody"/>
        <w:bidi w:val="0"/>
        <w:spacing w:lineRule="auto" w:line="288" w:before="0" w:after="0"/>
        <w:ind w:left="0" w:right="0" w:hanging="90"/>
        <w:jc w:val="center"/>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THIRD AMENDED AND RESTATED 2008 DIRECTOR LONG-TERM INCENTIVE PLAN </w:t>
      </w:r>
    </w:p>
    <w:p>
      <w:pPr>
        <w:pStyle w:val="TextBody"/>
        <w:bidi w:val="0"/>
        <w:spacing w:before="0" w:after="0"/>
        <w:ind w:left="0" w:right="0" w:hanging="90"/>
        <w:jc w:val="center"/>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1.</w:t>
      </w:r>
      <w:r>
        <w:rPr>
          <w:color w:val="000000"/>
          <w:shd w:fill="FFFFFF" w:val="clear"/>
        </w:rPr>
        <w:t>    </w:t>
      </w:r>
      <w:r>
        <w:rPr>
          <w:rFonts w:ascii="Times New Roman;serif" w:hAnsi="Times New Roman;serif"/>
          <w:b w:val="false"/>
          <w:i/>
          <w:color w:val="000000"/>
          <w:sz w:val="20"/>
          <w:shd w:fill="FFFFFF" w:val="clear"/>
        </w:rPr>
        <w:t>Purpose</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The purpose of this Third Amended and Restated 2008 Director Long-Term Incentive Plan (the “Plan”) of Skyworks Solutions, Inc., a Delaware corporation (the “Company”), is to advance the interests of the Company’s stockholders by enhancing the Company’s ability to attract and retain the services of experienced and knowledgeable directors and to provide additional incentives for such directors to continue to work for the best interests of the Corporation and its stockholders through continuing ownership of its common stock. Except where the context otherwise requires, the term “Company” shall include any of the Company’s present or future parent or subsidiary corporations as defined in Sections 424(e) or (f) of the Internal Revenue Code of 1986, as amended, and any regulations promulgated thereunder (the “Code”) and any other business venture (including, without limitation, joint venture or limited liability company) in which the Company has a controlling interest, as determined by the Board of Directors of the Company (the “Board”).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2.</w:t>
      </w:r>
      <w:r>
        <w:rPr>
          <w:color w:val="000000"/>
          <w:shd w:fill="FFFFFF" w:val="clear"/>
        </w:rPr>
        <w:t>    </w:t>
      </w:r>
      <w:r>
        <w:rPr>
          <w:rFonts w:ascii="Times New Roman;serif" w:hAnsi="Times New Roman;serif"/>
          <w:b w:val="false"/>
          <w:i/>
          <w:color w:val="000000"/>
          <w:sz w:val="20"/>
          <w:shd w:fill="FFFFFF" w:val="clear"/>
        </w:rPr>
        <w:t>Eligibility</w:t>
      </w: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Each member of the Board who is not also an officer of the Company (a “Director”) is eligible to receive options, restricted stock and other stock-based awards (each, an “Award”) under the Plan. Each person who receives an Award under the Plan is deemed a “Participant.”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3.</w:t>
      </w:r>
      <w:r>
        <w:rPr>
          <w:color w:val="000000"/>
          <w:shd w:fill="FFFFFF" w:val="clear"/>
        </w:rPr>
        <w:t>    </w:t>
      </w:r>
      <w:r>
        <w:rPr>
          <w:rFonts w:ascii="Times New Roman;serif" w:hAnsi="Times New Roman;serif"/>
          <w:b w:val="false"/>
          <w:i/>
          <w:color w:val="000000"/>
          <w:sz w:val="20"/>
          <w:shd w:fill="FFFFFF" w:val="clear"/>
        </w:rPr>
        <w:t>Administration and Delegation</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Administration by Board of Directors.</w:t>
      </w:r>
      <w:r>
        <w:rPr>
          <w:color w:val="000000"/>
          <w:shd w:fill="FFFFFF" w:val="clear"/>
        </w:rPr>
        <w:t>    </w:t>
      </w:r>
      <w:r>
        <w:rPr>
          <w:rFonts w:ascii="Times New Roman;serif" w:hAnsi="Times New Roman;serif"/>
          <w:b w:val="false"/>
          <w:color w:val="000000"/>
          <w:sz w:val="20"/>
          <w:shd w:fill="FFFFFF" w:val="clear"/>
        </w:rPr>
        <w:t>The Plan will be administered by the Board. The Board shall have authority to grant Awards and to adopt, amend and repeal such administrative rules, guidelines and practices relating to the Plan as it shall deem advisable.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 No director or person acting pursuant to the authority delegated by the Board shall be liable for any action or determination relating to or under the Plan made in good faith.</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Appointment of Committees.</w:t>
      </w:r>
      <w:r>
        <w:rPr>
          <w:color w:val="000000"/>
          <w:shd w:fill="FFFFFF" w:val="clear"/>
        </w:rPr>
        <w:t>    </w:t>
      </w:r>
      <w:r>
        <w:rPr>
          <w:rFonts w:ascii="Times New Roman;serif" w:hAnsi="Times New Roman;serif"/>
          <w:b w:val="false"/>
          <w:color w:val="000000"/>
          <w:sz w:val="20"/>
          <w:shd w:fill="FFFFFF" w:val="clear"/>
        </w:rPr>
        <w:t>To the extent permitted by applicable law, the Board may delegate any or all of its powers under the Plan to one or more committees or subcommittees of the Board (a “Committee”). All references in the Plan to the “Board” shall mean the Board or a Committee of the Board to the extent that the Board’s powers or authority under the Plan have been delegated to such Committee.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4.</w:t>
      </w:r>
      <w:r>
        <w:rPr>
          <w:color w:val="000000"/>
          <w:shd w:fill="FFFFFF" w:val="clear"/>
        </w:rPr>
        <w:t>    </w:t>
      </w:r>
      <w:r>
        <w:rPr>
          <w:rFonts w:ascii="Times New Roman;serif" w:hAnsi="Times New Roman;serif"/>
          <w:b w:val="false"/>
          <w:i/>
          <w:color w:val="000000"/>
          <w:sz w:val="20"/>
          <w:shd w:fill="FFFFFF" w:val="clear"/>
        </w:rPr>
        <w:t>Stock Available for Awards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Number of Shares.</w:t>
      </w:r>
      <w:r>
        <w:rPr>
          <w:color w:val="000000"/>
          <w:shd w:fill="FFFFFF" w:val="clear"/>
        </w:rPr>
        <w:t>    </w:t>
      </w:r>
      <w:r>
        <w:rPr>
          <w:rFonts w:ascii="Times New Roman;serif" w:hAnsi="Times New Roman;serif"/>
          <w:b w:val="false"/>
          <w:color w:val="000000"/>
          <w:sz w:val="20"/>
          <w:shd w:fill="FFFFFF" w:val="clear"/>
        </w:rPr>
        <w:t>Subject to adjustment under Section 9, Awards may be made under the Plan covering up to 1,470,000 shares of common stock, $.25 par value per share, of the Company (the “Common Stock”).</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Counting of Shares.</w:t>
      </w:r>
      <w:r>
        <w:rPr>
          <w:color w:val="000000"/>
          <w:shd w:fill="FFFFFF" w:val="clear"/>
        </w:rPr>
        <w:t>    </w:t>
      </w:r>
      <w:r>
        <w:rPr>
          <w:rFonts w:ascii="Times New Roman;serif" w:hAnsi="Times New Roman;serif"/>
          <w:b w:val="false"/>
          <w:color w:val="000000"/>
          <w:sz w:val="20"/>
          <w:shd w:fill="FFFFFF" w:val="clear"/>
        </w:rPr>
        <w:t>Subject to adjustment under Section 9, an option to purchase Common Stock (each, an “Option”) shall be counted against the share limit specified in Section 4(a) as one share for each share of common stock subject to the Option, and an Award that is not an Option (a “Non-Option Award”) shall be counted against the share limit specified in Section 4(a) as one and one-half (1.5) shares for each share of Common Stock issued upon settlement of such Non-Option Award.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i/>
          <w:color w:val="000000"/>
          <w:sz w:val="20"/>
          <w:shd w:fill="FFFFFF" w:val="clear"/>
        </w:rPr>
        <w:t>Lapses.</w:t>
      </w:r>
      <w:r>
        <w:rPr>
          <w:color w:val="000000"/>
          <w:shd w:fill="FFFFFF" w:val="clear"/>
        </w:rPr>
        <w:t>    </w:t>
      </w:r>
      <w:r>
        <w:rPr>
          <w:rFonts w:ascii="Times New Roman;serif" w:hAnsi="Times New Roman;serif"/>
          <w:b w:val="false"/>
          <w:color w:val="000000"/>
          <w:sz w:val="20"/>
          <w:shd w:fill="FFFFFF" w:val="clear"/>
        </w:rPr>
        <w:t>If any Award expires or is terminated, surrendered or canceled without having been fully exercised or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covered by such Award shall again be available for the grant of Awards under the Plan. Shares issued under the Plan may consist in whole or in part of authorized but unissued shares or treasury shares.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5.</w:t>
      </w:r>
      <w:r>
        <w:rPr>
          <w:color w:val="000000"/>
          <w:shd w:fill="FFFFFF" w:val="clear"/>
        </w:rPr>
        <w:t>    </w:t>
      </w:r>
      <w:r>
        <w:rPr>
          <w:rFonts w:ascii="Times New Roman;serif" w:hAnsi="Times New Roman;serif"/>
          <w:b w:val="false"/>
          <w:i/>
          <w:color w:val="000000"/>
          <w:sz w:val="20"/>
          <w:shd w:fill="FFFFFF" w:val="clear"/>
        </w:rPr>
        <w:t>Stock Options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General.</w:t>
      </w:r>
      <w:r>
        <w:rPr>
          <w:color w:val="000000"/>
          <w:shd w:fill="FFFFFF" w:val="clear"/>
        </w:rPr>
        <w:t>    </w:t>
      </w:r>
      <w:r>
        <w:rPr>
          <w:rFonts w:ascii="Times New Roman;serif" w:hAnsi="Times New Roman;serif"/>
          <w:b w:val="false"/>
          <w:color w:val="000000"/>
          <w:sz w:val="20"/>
          <w:shd w:fill="FFFFFF" w:val="clear"/>
        </w:rPr>
        <w:t>The Board, in its discretion, may grant Options to Participants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Any such grant may vary among individual Participants. If the Board so determines, Options may be granted in lieu of cash compensation at the Participant’s election, subject to such terms and conditions as the Board may establish.</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Exercise Price.</w:t>
      </w:r>
      <w:r>
        <w:rPr>
          <w:color w:val="000000"/>
          <w:shd w:fill="FFFFFF" w:val="clear"/>
        </w:rPr>
        <w:t>    </w:t>
      </w:r>
      <w:r>
        <w:rPr>
          <w:rFonts w:ascii="Times New Roman;serif" w:hAnsi="Times New Roman;serif"/>
          <w:b w:val="false"/>
          <w:color w:val="000000"/>
          <w:sz w:val="20"/>
          <w:shd w:fill="FFFFFF" w:val="clear"/>
        </w:rPr>
        <w:t>The Board shall establish the exercise price of each Option and specify such exercise price in the applicable option agreement; provided, however, that the exercise price shall not be less than 100% of the Fair Market Value (as defined below in subsection (h)(3)) at the time the Option is granted.</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i/>
          <w:color w:val="000000"/>
          <w:sz w:val="20"/>
          <w:shd w:fill="FFFFFF" w:val="clear"/>
        </w:rPr>
        <w:t>Options Not Deemed Incentive Stock Options.</w:t>
      </w:r>
      <w:r>
        <w:rPr>
          <w:color w:val="000000"/>
          <w:shd w:fill="FFFFFF" w:val="clear"/>
        </w:rPr>
        <w:t>    </w:t>
      </w:r>
      <w:r>
        <w:rPr>
          <w:rFonts w:ascii="Times New Roman;serif" w:hAnsi="Times New Roman;serif"/>
          <w:b w:val="false"/>
          <w:color w:val="000000"/>
          <w:sz w:val="20"/>
          <w:shd w:fill="FFFFFF" w:val="clear"/>
        </w:rPr>
        <w:t>Any Option granted pursuant to the Plan is not intended to be an incentive stock option described in Code Section 422 and shall be designated a “Nonqualified Stock Option.”</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(d)</w:t>
      </w:r>
      <w:r>
        <w:rPr>
          <w:color w:val="000000"/>
          <w:shd w:fill="FFFFFF" w:val="clear"/>
        </w:rPr>
        <w:t>    </w:t>
      </w:r>
      <w:r>
        <w:rPr>
          <w:rFonts w:ascii="Times New Roman;serif" w:hAnsi="Times New Roman;serif"/>
          <w:b w:val="false"/>
          <w:i/>
          <w:color w:val="000000"/>
          <w:sz w:val="20"/>
          <w:shd w:fill="FFFFFF" w:val="clear"/>
        </w:rPr>
        <w:t>Limitation on Repricing.</w:t>
      </w:r>
      <w:r>
        <w:rPr>
          <w:color w:val="000000"/>
          <w:shd w:fill="FFFFFF" w:val="clear"/>
        </w:rPr>
        <w:t>    </w:t>
      </w:r>
      <w:r>
        <w:rPr>
          <w:rFonts w:ascii="Times New Roman;serif" w:hAnsi="Times New Roman;serif"/>
          <w:b w:val="false"/>
          <w:color w:val="000000"/>
          <w:sz w:val="20"/>
          <w:shd w:fill="FFFFFF" w:val="clear"/>
        </w:rPr>
        <w:t>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9), (2) the Board may not cancel any outstanding option (whether or not granted under the Plan) and grant in substitution therefore new Awards under the Plan covering the same or a different number of shares of Common Stock and having an exercise price per share lower than the then-current exercise price per share of the cancelled option, (3) the Board may not cancel in exchange for a cash payment any outstanding Option with an exercise price per share above the then-current Fair Market Value, other than pursuant to Section 9 and (4) the Board may not take any other action under the Plan that constitutes a “repricing” within the meaning of the rules of the Nasdaq Stock Market.</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(e)</w:t>
      </w:r>
      <w:r>
        <w:rPr>
          <w:color w:val="000000"/>
          <w:shd w:fill="FFFFFF" w:val="clear"/>
        </w:rPr>
        <w:t>    </w:t>
      </w:r>
      <w:r>
        <w:rPr>
          <w:rFonts w:ascii="Times New Roman;serif" w:hAnsi="Times New Roman;serif"/>
          <w:b w:val="false"/>
          <w:i/>
          <w:color w:val="000000"/>
          <w:sz w:val="20"/>
          <w:shd w:fill="FFFFFF" w:val="clear"/>
        </w:rPr>
        <w:t>No Reload Rights.</w:t>
      </w:r>
      <w:r>
        <w:rPr>
          <w:color w:val="000000"/>
          <w:shd w:fill="FFFFFF" w:val="clear"/>
        </w:rPr>
        <w:t>    </w:t>
      </w:r>
      <w:r>
        <w:rPr>
          <w:rFonts w:ascii="Times New Roman;serif" w:hAnsi="Times New Roman;serif"/>
          <w:b w:val="false"/>
          <w:color w:val="000000"/>
          <w:sz w:val="20"/>
          <w:shd w:fill="FFFFFF" w:val="clear"/>
        </w:rPr>
        <w:t>No Option granted under the Plan shall contain any provision entitling the optionee to the automatic grant of additional Options in connection with any exercise of the original Option.</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(f)</w:t>
      </w:r>
      <w:r>
        <w:rPr>
          <w:color w:val="000000"/>
          <w:shd w:fill="FFFFFF" w:val="clear"/>
        </w:rPr>
        <w:t>    </w:t>
      </w:r>
      <w:r>
        <w:rPr>
          <w:rFonts w:ascii="Times New Roman;serif" w:hAnsi="Times New Roman;serif"/>
          <w:b w:val="false"/>
          <w:i/>
          <w:color w:val="000000"/>
          <w:sz w:val="20"/>
          <w:shd w:fill="FFFFFF" w:val="clear"/>
        </w:rPr>
        <w:t>Duration of Options.</w:t>
      </w:r>
      <w:r>
        <w:rPr>
          <w:color w:val="000000"/>
          <w:shd w:fill="FFFFFF" w:val="clear"/>
        </w:rPr>
        <w:t>    </w:t>
      </w:r>
      <w:r>
        <w:rPr>
          <w:rFonts w:ascii="Times New Roman;serif" w:hAnsi="Times New Roman;serif"/>
          <w:b w:val="false"/>
          <w:color w:val="000000"/>
          <w:sz w:val="20"/>
          <w:shd w:fill="FFFFFF" w:val="clear"/>
        </w:rPr>
        <w:t>Each Option shall be exercisable at such times and subject to such terms and conditions as the Board may specify in the applicable option agreement; provided, however, that no Option will be granted for a term in excess of ten (10) years.</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(g)</w:t>
      </w:r>
      <w:r>
        <w:rPr>
          <w:color w:val="000000"/>
          <w:shd w:fill="FFFFFF" w:val="clear"/>
        </w:rPr>
        <w:t>    </w:t>
      </w:r>
      <w:r>
        <w:rPr>
          <w:rFonts w:ascii="Times New Roman;serif" w:hAnsi="Times New Roman;serif"/>
          <w:b w:val="false"/>
          <w:i/>
          <w:color w:val="000000"/>
          <w:sz w:val="20"/>
          <w:shd w:fill="FFFFFF" w:val="clear"/>
        </w:rPr>
        <w:t>Exercise of Option.</w:t>
      </w:r>
      <w:r>
        <w:rPr>
          <w:color w:val="000000"/>
          <w:shd w:fill="FFFFFF" w:val="clear"/>
        </w:rPr>
        <w:t>    </w:t>
      </w:r>
      <w:r>
        <w:rPr>
          <w:rFonts w:ascii="Times New Roman;serif" w:hAnsi="Times New Roman;serif"/>
          <w:b w:val="false"/>
          <w:color w:val="000000"/>
          <w:sz w:val="20"/>
          <w:shd w:fill="FFFFFF" w:val="clear"/>
        </w:rPr>
        <w:t>Options may be exercised by delivery to the Company of a written notice of exercise signed by the proper person or by any other form of notice (including electronic notice) approved by the Board together with payment in full as specified in Section 5(h) for the number of shares for which the Option is exercised. Shares of Common Stock subject to the Option will be delivered by the Company following exercise either as soon as practicable or, subject to such conditions as the Board shall specify, on a deferred basis (with the Company’s obligation to be evidenced by an instrument providing for future delivery of the deferred shares at the time or times specified by the Board).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38785"/>
                <wp:effectExtent l="0" t="0" r="0" b="0"/>
                <wp:wrapNone/>
                <wp:docPr id="32" name="Frame32"/>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(h)</w:t>
      </w:r>
      <w:r>
        <w:rPr>
          <w:color w:val="000000"/>
          <w:shd w:fill="FFFFFF" w:val="clear"/>
        </w:rPr>
        <w:t>    </w:t>
      </w:r>
      <w:r>
        <w:rPr>
          <w:rFonts w:ascii="Times New Roman;serif" w:hAnsi="Times New Roman;serif"/>
          <w:b w:val="false"/>
          <w:i/>
          <w:color w:val="000000"/>
          <w:sz w:val="20"/>
          <w:shd w:fill="FFFFFF" w:val="clear"/>
        </w:rPr>
        <w:t>Payment Upon Exercise.</w:t>
      </w:r>
      <w:r>
        <w:rPr>
          <w:color w:val="000000"/>
          <w:shd w:fill="FFFFFF" w:val="clear"/>
        </w:rPr>
        <w:t>    </w:t>
      </w:r>
      <w:r>
        <w:rPr>
          <w:rFonts w:ascii="Times New Roman;serif" w:hAnsi="Times New Roman;serif"/>
          <w:b w:val="false"/>
          <w:color w:val="000000"/>
          <w:sz w:val="20"/>
          <w:shd w:fill="FFFFFF" w:val="clear"/>
        </w:rPr>
        <w:t>Common Stock purchased upon the exercise of an Option granted under the Plan shall be paid for as follows:</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(1)   in cash or by check, payable to the order of the Company;</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(2)   except as the Board may otherwise provide in an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(3)   by delivery of shares of Common Stock owned by the Participant valued at their fair market value as determined by (or in a manner approved by) the Board (“Fair Market Value”), provided (i) such method of payment is then permitted under applicable law, (ii) such Common Stock, if acquired directly from the Company, was owned by the Participant for at least six (6) months and (iii) such Common Stock is not subject to any repurchase, forfeiture, unfulfilled vesting or other similar requirements; or</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(4)   by any combination of the above permitted forms of payment.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6.</w:t>
      </w:r>
      <w:r>
        <w:rPr>
          <w:color w:val="000000"/>
          <w:shd w:fill="FFFFFF" w:val="clear"/>
        </w:rPr>
        <w:t>    </w:t>
      </w:r>
      <w:r>
        <w:rPr>
          <w:rFonts w:ascii="Times New Roman;serif" w:hAnsi="Times New Roman;serif"/>
          <w:b w:val="false"/>
          <w:i/>
          <w:color w:val="000000"/>
          <w:sz w:val="20"/>
          <w:shd w:fill="FFFFFF" w:val="clear"/>
        </w:rPr>
        <w:t>Restricted Stock; Restricted Stock Units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General.</w:t>
      </w:r>
      <w:r>
        <w:rPr>
          <w:color w:val="000000"/>
          <w:shd w:fill="FFFFFF" w:val="clear"/>
        </w:rPr>
        <w:t>    </w:t>
      </w:r>
      <w:r>
        <w:rPr>
          <w:rFonts w:ascii="Times New Roman;serif" w:hAnsi="Times New Roman;serif"/>
          <w:b w:val="false"/>
          <w:color w:val="000000"/>
          <w:sz w:val="20"/>
          <w:shd w:fill="FFFFFF" w:val="clear"/>
        </w:rPr>
        <w:t>The Board may grant Awards entitling recipients to acquire shares of Common Stock (“Restricted Stock”),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to be delivered at the time such shares of Common Stock vest or at a later date (“Restricted Stock Units”) subject to such terms and conditions on the delivery of the shares of Common Stock as the Board shall determine (each Award for Restricted Stock or Restricted Stock Units is referred to herein as a “Restricted Stock Award”).</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Terms and Conditions.</w:t>
      </w:r>
      <w:r>
        <w:rPr>
          <w:color w:val="000000"/>
          <w:shd w:fill="FFFFFF" w:val="clear"/>
        </w:rPr>
        <w:t>    </w:t>
      </w:r>
      <w:r>
        <w:rPr>
          <w:rFonts w:ascii="Times New Roman;serif" w:hAnsi="Times New Roman;serif"/>
          <w:b w:val="false"/>
          <w:color w:val="000000"/>
          <w:sz w:val="20"/>
          <w:shd w:fill="FFFFFF" w:val="clear"/>
        </w:rPr>
        <w:t>Subject to Section 8, the Board shall determine the terms and conditions of a Restricted Stock Award, including the conditions for repurchase (or forfeiture) and the issue price, if any.</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i/>
          <w:color w:val="000000"/>
          <w:sz w:val="20"/>
          <w:shd w:fill="FFFFFF" w:val="clear"/>
        </w:rPr>
        <w:t>Stock Certificates.</w:t>
      </w:r>
      <w:r>
        <w:rPr>
          <w:color w:val="000000"/>
          <w:shd w:fill="FFFFFF" w:val="clear"/>
        </w:rPr>
        <w:t>    </w:t>
      </w:r>
      <w:r>
        <w:rPr>
          <w:rFonts w:ascii="Times New Roman;serif" w:hAnsi="Times New Roman;serif"/>
          <w:b w:val="false"/>
          <w:color w:val="000000"/>
          <w:sz w:val="20"/>
          <w:shd w:fill="FFFFFF" w:val="clear"/>
        </w:rPr>
        <w:t>Any stock certificates issued in respect of a Restricted Stock Award shall be registered in the name of the Participant and, unless otherwise determined by the Board, deposited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“Designated Beneficiary”). In the absence of an effective designation by a Participant, “Designated Beneficiary” shall mean the Participant’s estate.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7.</w:t>
      </w:r>
      <w:r>
        <w:rPr>
          <w:color w:val="000000"/>
          <w:shd w:fill="FFFFFF" w:val="clear"/>
        </w:rPr>
        <w:t>    </w:t>
      </w:r>
      <w:r>
        <w:rPr>
          <w:rFonts w:ascii="Times New Roman;serif" w:hAnsi="Times New Roman;serif"/>
          <w:b w:val="false"/>
          <w:i/>
          <w:color w:val="000000"/>
          <w:sz w:val="20"/>
          <w:shd w:fill="FFFFFF" w:val="clear"/>
        </w:rPr>
        <w:t>Other Stock-Unit Awards</w:t>
      </w:r>
      <w:r>
        <w:rPr>
          <w:color w:val="000000"/>
          <w:shd w:fill="FFFFFF" w:val="clear"/>
        </w:rPr>
        <w:t>    </w:t>
      </w:r>
    </w:p>
    <w:p>
      <w:pPr>
        <w:pStyle w:val="TextBody"/>
        <w:bidi w:val="0"/>
        <w:spacing w:before="0" w:after="0"/>
        <w:jc w:val="left"/>
        <w:rPr/>
      </w:pPr>
      <w:r>
        <w:rPr/>
      </w:r>
    </w:p>
    <w:p>
      <w:pPr>
        <w:pStyle w:val="TextBody"/>
        <w:bidi w:val="0"/>
        <w:spacing w:lineRule="auto" w:line="288"/>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 xml:space="preserve">Other Awards of shares of Common Stock, and other Awards that are valued in whole or in part by reference to, or are otherwise based on, shares of Common Stock or other property, may be granted hereunder to Participants (“Other Stock Unit Awards”). Such Other Stock Unit Awards shall also be available as a form of payment in the settlement of other Awards granted under the Plan or as payment in lieu of compensation to which a Participant is otherwise entitled. Other Stock Unit Awards may be paid in shares of Common Stock or cash, as the Board shall determine. Subject to the provisions of the Plan, the Board shall determine the conditions of each Other Stock Unit </w:t>
      </w:r>
    </w:p>
    <w:p>
      <w:pPr>
        <w:pStyle w:val="TextBody"/>
        <w:bidi w:val="0"/>
        <w:spacing w:before="0" w:after="20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38785"/>
                <wp:effectExtent l="0" t="0" r="0" b="0"/>
                <wp:wrapNone/>
                <wp:docPr id="33" name="Frame33"/>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shd w:fill="FFFFFF" w:val="clear"/>
        </w:rPr>
        <w:t>Awards,</w:t>
      </w:r>
      <w:r>
        <w:rPr>
          <w:color w:val="000000"/>
        </w:rPr>
        <w:t xml:space="preserve"> </w:t>
      </w:r>
      <w:r>
        <w:rPr>
          <w:rFonts w:ascii="Times New Roman;serif" w:hAnsi="Times New Roman;serif"/>
          <w:b w:val="false"/>
          <w:color w:val="000000"/>
          <w:sz w:val="20"/>
          <w:shd w:fill="FFFFFF" w:val="clear"/>
        </w:rPr>
        <w:t xml:space="preserve">including any purchase price applicable thereto and any conditions applicable thereto, including without limitation, performance-based conditions.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8.</w:t>
      </w:r>
      <w:r>
        <w:rPr>
          <w:color w:val="000000"/>
          <w:shd w:fill="FFFFFF" w:val="clear"/>
        </w:rPr>
        <w:t>    </w:t>
      </w:r>
      <w:r>
        <w:rPr>
          <w:rFonts w:ascii="Times New Roman;serif" w:hAnsi="Times New Roman;serif"/>
          <w:b w:val="false"/>
          <w:i/>
          <w:color w:val="000000"/>
          <w:sz w:val="20"/>
          <w:shd w:fill="FFFFFF" w:val="clear"/>
        </w:rPr>
        <w:t>Automatic Awards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Initial Award.</w:t>
      </w:r>
      <w:r>
        <w:rPr>
          <w:color w:val="000000"/>
          <w:shd w:fill="FFFFFF" w:val="clear"/>
        </w:rPr>
        <w:t>    </w:t>
      </w:r>
      <w:r>
        <w:rPr>
          <w:rFonts w:ascii="Times New Roman;serif" w:hAnsi="Times New Roman;serif"/>
          <w:b w:val="false"/>
          <w:color w:val="000000"/>
          <w:sz w:val="20"/>
          <w:shd w:fill="FFFFFF" w:val="clear"/>
        </w:rPr>
        <w:t xml:space="preserve">Each Participant who is first elected or appointed to serve as a Director after the Effective Date of the Plan shall automatically be granted, on the fifth business day after the date of his or her initial election or appointment (the “Initial Grant Date”), an Award consisting of the number of Restricted Stock Units equal to (i) (x) $230,000, divided by (y) the non-weighted average of the Nasdaq Official Close Price of the Common Stock as reported by Nasdaq (or if the Common Stock is not then traded on Nasdaq, the official closing price as reported on such other market on which the Common Stock is then traded) for each trading day during the 30 consecutive trading day period ending on (and including) the Initial Grant Date, divided by (ii) (x) 365, multiplied by (y) the number of days from the date such Director is first elected or appointed to the Board to the scheduled date of the Company’s next annual meeting of stockholders (the “Initial Award”), and rounding such result to the nearest whole share (with .50 and greater being rounded up).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Annual Award.</w:t>
      </w:r>
      <w:r>
        <w:rPr>
          <w:color w:val="000000"/>
          <w:shd w:fill="FFFFFF" w:val="clear"/>
        </w:rPr>
        <w:t>    </w:t>
      </w:r>
      <w:r>
        <w:rPr>
          <w:rFonts w:ascii="Times New Roman;serif" w:hAnsi="Times New Roman;serif"/>
          <w:b w:val="false"/>
          <w:color w:val="000000"/>
          <w:sz w:val="20"/>
          <w:shd w:fill="FFFFFF" w:val="clear"/>
        </w:rPr>
        <w:t xml:space="preserve">Each year, beginning on the date of the Company’s 2025 annual meeting of stockholders, each Participant who served as a Director of the Company prior to the date of the annual meeting of the Company’s stockholders for such year, or special meeting in lieu of the annual meeting of stockholders at which one or more directors are elected, and who continues to serve as a Director of the Company after the annual meeting of stockholders for such year, or special meeting in lieu of the annual meeting of stockholders at which one or more directors are elected, shall automatically be granted on the date of the annual meeting of the Company’s stockholders for such year (the “Annual Grant Date”), an Award consisting of Restricted Stock Units having a value approximating (i) $230,000 in the case of any such Director of the Company who does not serve as the Chairman of the Board and (ii) $255,000 in the case of any such Director of the Company who serves as a non-employee Chairman of the Board (in each case, the “Annual Award”). The number of shares subject to the Restricted Stock Unit Award issued pursuant to the Annual Award shall be determined by dividing (x) the applicable Annual Award by (y) the non-weighted average of the Nasdaq Official Close Price of the Common Stock as reported by Nasdaq (or if the Common Stock is not then traded on Nasdaq, the official closing price as reported on such other market on which the Common Stock is then traded) for each trading day during the 30 consecutive trading day period ending on (and including) the Annual Grant Date and rounding such result to the nearest whole share (with .50 and greater being rounded up).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i/>
          <w:color w:val="000000"/>
          <w:sz w:val="20"/>
          <w:shd w:fill="FFFFFF" w:val="clear"/>
        </w:rPr>
        <w:t>Vesting</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(1)   Unless otherwise determined by the Board, the Restricted Stock Units granted under Section 8(a) pursuant to the Initial Award shall vest on the scheduled date of the Company’s next annual meeting of stockholders following the grant date.</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 xml:space="preserve">(2)   Unless otherwise determined by the Board, the Restricted Stock Units granted under Section 8(b) pursuant to the Annual Award shall vest on the first anniversary of the date of grant as to all (100%) of the shares covered thereby. </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(3)   Notwithstanding anything to the contrary in this Section 8, with respect to Awards granted after February 2, 2016, if the Director’s term of service expires for any reason (including by reason of the Director’s retirement or failure to stand for reelection at the next annual meeting of stockholders), other than removal from the Board for cause, within ten (10) business days prior to the next scheduled vesting date of an Initial Award or Annual Award, as the case may be, then such Director shall, without any further action by the Board, be deemed to have continued his or her service through such next scheduled vesting date.</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38785"/>
                <wp:effectExtent l="0" t="0" r="0" b="0"/>
                <wp:wrapNone/>
                <wp:docPr id="34" name="Frame34"/>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20"/>
          <w:shd w:fill="FFFFFF" w:val="clear"/>
        </w:rPr>
        <w:t>9.</w:t>
      </w:r>
      <w:r>
        <w:rPr>
          <w:color w:val="000000"/>
          <w:shd w:fill="FFFFFF" w:val="clear"/>
        </w:rPr>
        <w:t>    </w:t>
      </w:r>
      <w:r>
        <w:rPr>
          <w:rFonts w:ascii="Times New Roman;serif" w:hAnsi="Times New Roman;serif"/>
          <w:b w:val="false"/>
          <w:i/>
          <w:color w:val="000000"/>
          <w:sz w:val="20"/>
          <w:shd w:fill="FFFFFF" w:val="clear"/>
        </w:rPr>
        <w:t>Adjustments for Changes in Common Stock and Certain Other Events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Changes in Capitalization.</w:t>
      </w:r>
      <w:r>
        <w:rPr>
          <w:color w:val="000000"/>
          <w:shd w:fill="FFFFFF" w:val="clear"/>
        </w:rPr>
        <w:t>    </w:t>
      </w:r>
      <w:r>
        <w:rPr>
          <w:rFonts w:ascii="Times New Roman;serif" w:hAnsi="Times New Roman;serif"/>
          <w:b w:val="false"/>
          <w:color w:val="000000"/>
          <w:sz w:val="20"/>
          <w:shd w:fill="FFFFFF" w:val="clear"/>
        </w:rPr>
        <w:t>In the event of any stock split, reverse stock split, stock dividend, recapitalization, combination of shares, reclassification of shares, spin-off or other similar change in capitalization or event, or any distribution to holders of Common Stock other than an ordinary cash dividend, (i) the number and class of securities available under this Plan, (ii) the share counting provisions set forth in Section 4(b), (iii) the number and class of securities and exercise price per share of each outstanding Option, (iv) the number of securities issuable pursuant to automatic Awards made under Section 8, (v) the repurchase price per share subject to each outstanding Restricted Stock Award and (vi) the share- and per-share-related provisions of each outstanding Other Stock Unit Award, shall be appropriately adjusted by the Company (or substituted Awards may be made, if applicable) to the extent determined by the Board.</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Reorganization Events.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(1)</w:t>
      </w:r>
      <w:r>
        <w:rPr>
          <w:color w:val="000000"/>
          <w:shd w:fill="FFFFFF" w:val="clear"/>
        </w:rPr>
        <w:t>    </w:t>
      </w:r>
      <w:r>
        <w:rPr>
          <w:rFonts w:ascii="Times New Roman;serif" w:hAnsi="Times New Roman;serif"/>
          <w:b w:val="false"/>
          <w:i/>
          <w:color w:val="000000"/>
          <w:sz w:val="20"/>
          <w:shd w:fill="FFFFFF" w:val="clear"/>
        </w:rPr>
        <w:t>Definition.</w:t>
      </w:r>
      <w:r>
        <w:rPr>
          <w:color w:val="000000"/>
          <w:shd w:fill="FFFFFF" w:val="clear"/>
        </w:rPr>
        <w:t>    </w:t>
      </w:r>
      <w:r>
        <w:rPr>
          <w:rFonts w:ascii="Times New Roman;serif" w:hAnsi="Times New Roman;serif"/>
          <w:b w:val="false"/>
          <w:color w:val="000000"/>
          <w:sz w:val="20"/>
          <w:shd w:fill="FFFFFF" w:val="clear"/>
        </w:rPr>
        <w:t>A “Reorganization Event” shall mean: (a) any merger or consolidation of the Company with or into another entity as a result of which all of the Common Stock of the Company is converted into or exchanged for the right to receive cash, securities or other property or is cancelled, (b) any exchange of all of the Common Stock of the Company for cash, securities or other property pursuant to a share exchange transaction or (c) any liquidation or dissolution of the Company.</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(2)</w:t>
      </w:r>
      <w:r>
        <w:rPr>
          <w:color w:val="000000"/>
          <w:shd w:fill="FFFFFF" w:val="clear"/>
        </w:rPr>
        <w:t>    </w:t>
      </w:r>
      <w:r>
        <w:rPr>
          <w:rFonts w:ascii="Times New Roman;serif" w:hAnsi="Times New Roman;serif"/>
          <w:b w:val="false"/>
          <w:i/>
          <w:color w:val="000000"/>
          <w:sz w:val="20"/>
          <w:shd w:fill="FFFFFF" w:val="clear"/>
        </w:rPr>
        <w:t>Consequences of a Reorganization Event on Awards Other than Restricted Stock Awards.</w:t>
      </w:r>
      <w:r>
        <w:rPr>
          <w:color w:val="000000"/>
          <w:shd w:fill="FFFFFF" w:val="clear"/>
        </w:rPr>
        <w:t>    </w:t>
      </w:r>
      <w:r>
        <w:rPr>
          <w:rFonts w:ascii="Times New Roman;serif" w:hAnsi="Times New Roman;serif"/>
          <w:b w:val="false"/>
          <w:color w:val="000000"/>
          <w:sz w:val="20"/>
          <w:shd w:fill="FFFFFF" w:val="clear"/>
        </w:rPr>
        <w:t>In connection with a Reorganization Event, the Board shall take any one or more of the following actions as to all or any outstanding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Options or other unexercised Awards shall become exercisable in full and will terminate immediately prior to the consummation of such Reorganization Event unless exercised by the Participant within a specified period following the date of such notice, (iii) provide that outstanding Awards shall become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“Acquisition Price”), make or provide for a cash payment to a Participant equal to (A) the Acquisition Price times the number of shares of Common Stock subject to the Participant’s Options or other Awards (to the extent the exercise price does not exceed the Acquisition Price) minus (B) the aggregate exercise price of all such outstanding Options or other Awards, in exchange for the termination of such Options or other Awards, (v) provide that, in connection with a liquidation or dissolution of the Company, Awards shall convert into the right to receive liquidation proceeds (if applicable, net of the exercise price thereof) and (vi) any combination of the foregoing.</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fair market value to the per share consideration received by holders of outstanding shares of Common Stock as a result of the Reorganization Event.</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38785"/>
                <wp:effectExtent l="0" t="0" r="0" b="0"/>
                <wp:wrapNone/>
                <wp:docPr id="35" name="Frame35"/>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To the extent all or any portion of an Option becomes exercisable solely as a result of clause (ii) above, the Board may provide that upon exercise of such Option the Participant shall receive shares subject to a right of repurchase by the Company or its successor at the Option exercise price; such repurchase right (x) shall lapse at the same rate as the Option would have become exercisable under its terms and (y) shall not apply to any shares subject to the Option that were exercisable under its terms without regard to clause (ii) above.</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(3)</w:t>
      </w:r>
      <w:r>
        <w:rPr>
          <w:color w:val="000000"/>
          <w:shd w:fill="FFFFFF" w:val="clear"/>
        </w:rPr>
        <w:t>    </w:t>
      </w:r>
      <w:r>
        <w:rPr>
          <w:rFonts w:ascii="Times New Roman;serif" w:hAnsi="Times New Roman;serif"/>
          <w:b w:val="false"/>
          <w:i/>
          <w:color w:val="000000"/>
          <w:sz w:val="20"/>
          <w:shd w:fill="FFFFFF" w:val="clear"/>
        </w:rPr>
        <w:t>Consequences of a Reorganization Event on Restricted Stock Awards.</w:t>
      </w:r>
      <w:r>
        <w:rPr>
          <w:color w:val="000000"/>
          <w:shd w:fill="FFFFFF" w:val="clear"/>
        </w:rPr>
        <w:t>    </w:t>
      </w:r>
      <w:r>
        <w:rPr>
          <w:rFonts w:ascii="Times New Roman;serif" w:hAnsi="Times New Roman;serif"/>
          <w:b w:val="false"/>
          <w:color w:val="000000"/>
          <w:sz w:val="20"/>
          <w:shd w:fill="FFFFFF" w:val="clear"/>
        </w:rPr>
        <w:t>Upon the occurrence of a Reorganization Event other than a liquidation or dissolution of the Company, the repurchase and other rights of the Company under each outstanding Restricted Stock Award shall inure to the benefit of the Company’s successor and shall apply to the cash, securities or other property which the Common Stock was converted into or exchanged for pursuant to such Reorganization Event in the same manner and to the same extent as they applied to the Common Stock subject to such Restricted Stock Award.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i/>
          <w:color w:val="000000"/>
          <w:sz w:val="20"/>
          <w:shd w:fill="FFFFFF" w:val="clear"/>
        </w:rPr>
        <w:t>Change in Control Events.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(1)</w:t>
      </w:r>
      <w:r>
        <w:rPr>
          <w:color w:val="000000"/>
          <w:shd w:fill="FFFFFF" w:val="clear"/>
        </w:rPr>
        <w:t>    </w:t>
      </w:r>
      <w:r>
        <w:rPr>
          <w:rFonts w:ascii="Times New Roman;serif" w:hAnsi="Times New Roman;serif"/>
          <w:b w:val="false"/>
          <w:i/>
          <w:color w:val="000000"/>
          <w:sz w:val="20"/>
          <w:shd w:fill="FFFFFF" w:val="clear"/>
        </w:rPr>
        <w:t>Definition.</w:t>
      </w:r>
      <w:r>
        <w:rPr>
          <w:color w:val="000000"/>
          <w:shd w:fill="FFFFFF" w:val="clear"/>
        </w:rPr>
        <w:t>    </w:t>
      </w:r>
      <w:r>
        <w:rPr>
          <w:rFonts w:ascii="Times New Roman;serif" w:hAnsi="Times New Roman;serif"/>
          <w:b w:val="false"/>
          <w:color w:val="000000"/>
          <w:sz w:val="20"/>
          <w:shd w:fill="FFFFFF" w:val="clear"/>
        </w:rPr>
        <w:t>A “Change in Control Event” will be deemed to have occurred if the Continuing Directors (as defined below) cease for any reason to constitute a majority of the Board. For this purpose, a “Continuing Director” will include any member of the Board as of the Effective Date (as defined below) and any individual nominated for election to the Board by a majority of the then Continuing Directors.</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(2)</w:t>
      </w:r>
      <w:r>
        <w:rPr>
          <w:color w:val="000000"/>
          <w:shd w:fill="FFFFFF" w:val="clear"/>
        </w:rPr>
        <w:t>    </w:t>
      </w:r>
      <w:r>
        <w:rPr>
          <w:rFonts w:ascii="Times New Roman;serif" w:hAnsi="Times New Roman;serif"/>
          <w:b w:val="false"/>
          <w:i/>
          <w:color w:val="000000"/>
          <w:sz w:val="20"/>
          <w:shd w:fill="FFFFFF" w:val="clear"/>
        </w:rPr>
        <w:t>Consequences of a Change in Control Event on Options.</w:t>
      </w:r>
      <w:r>
        <w:rPr>
          <w:color w:val="000000"/>
          <w:shd w:fill="FFFFFF" w:val="clear"/>
        </w:rPr>
        <w:t>    </w:t>
      </w:r>
      <w:r>
        <w:rPr>
          <w:rFonts w:ascii="Times New Roman;serif" w:hAnsi="Times New Roman;serif"/>
          <w:b w:val="false"/>
          <w:color w:val="000000"/>
          <w:sz w:val="20"/>
          <w:shd w:fill="FFFFFF" w:val="clear"/>
        </w:rPr>
        <w:t>Notwithstanding any other provision of this Plan to the contrary, if a Change in Control Event occurs, except to the extent specifically provided to the contrary in the instrument evidencing any Option or any other agreement between a Participant and the Company, any options outstanding as of the date such Change of Control is determined to have occurred and not then exercisable shall become fully exercisable to the full extent of the original grant.</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(3)</w:t>
      </w:r>
      <w:r>
        <w:rPr>
          <w:color w:val="000000"/>
          <w:shd w:fill="FFFFFF" w:val="clear"/>
        </w:rPr>
        <w:t>    </w:t>
      </w:r>
      <w:r>
        <w:rPr>
          <w:rFonts w:ascii="Times New Roman;serif" w:hAnsi="Times New Roman;serif"/>
          <w:b w:val="false"/>
          <w:i/>
          <w:color w:val="000000"/>
          <w:sz w:val="20"/>
          <w:shd w:fill="FFFFFF" w:val="clear"/>
        </w:rPr>
        <w:t>Consequences of a Change in Control Event on Restricted Stock Awards.</w:t>
      </w:r>
      <w:r>
        <w:rPr>
          <w:color w:val="000000"/>
          <w:shd w:fill="FFFFFF" w:val="clear"/>
        </w:rPr>
        <w:t>    </w:t>
      </w:r>
      <w:r>
        <w:rPr>
          <w:rFonts w:ascii="Times New Roman;serif" w:hAnsi="Times New Roman;serif"/>
          <w:b w:val="false"/>
          <w:color w:val="000000"/>
          <w:sz w:val="20"/>
          <w:shd w:fill="FFFFFF" w:val="clear"/>
        </w:rPr>
        <w:t>Notwithstanding any other provision of this Plan to the contrary, if a Change in Control Event occurs,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10.</w:t>
      </w:r>
      <w:r>
        <w:rPr>
          <w:color w:val="000000"/>
          <w:shd w:fill="FFFFFF" w:val="clear"/>
        </w:rPr>
        <w:t>    </w:t>
      </w:r>
      <w:r>
        <w:rPr>
          <w:rFonts w:ascii="Times New Roman;serif" w:hAnsi="Times New Roman;serif"/>
          <w:b w:val="false"/>
          <w:i/>
          <w:color w:val="000000"/>
          <w:sz w:val="20"/>
          <w:shd w:fill="FFFFFF" w:val="clear"/>
        </w:rPr>
        <w:t>General Provisions Applicable to Awards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Transferability of Awards.</w:t>
      </w:r>
      <w:r>
        <w:rPr>
          <w:color w:val="000000"/>
          <w:shd w:fill="FFFFFF" w:val="clear"/>
        </w:rPr>
        <w:t>    </w:t>
      </w:r>
      <w:r>
        <w:rPr>
          <w:rFonts w:ascii="Times New Roman;serif" w:hAnsi="Times New Roman;serif"/>
          <w:b w:val="false"/>
          <w:color w:val="000000"/>
          <w:sz w:val="20"/>
          <w:shd w:fill="FFFFFF" w:val="clear"/>
        </w:rPr>
        <w:t>Except as the Board may otherwise determine or provide in an Award, Awards shall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Documentation.</w:t>
      </w:r>
      <w:r>
        <w:rPr>
          <w:color w:val="000000"/>
          <w:shd w:fill="FFFFFF" w:val="clear"/>
        </w:rPr>
        <w:t>    </w:t>
      </w:r>
      <w:r>
        <w:rPr>
          <w:rFonts w:ascii="Times New Roman;serif" w:hAnsi="Times New Roman;serif"/>
          <w:b w:val="false"/>
          <w:color w:val="000000"/>
          <w:sz w:val="20"/>
          <w:shd w:fill="FFFFFF" w:val="clear"/>
        </w:rPr>
        <w:t>Each Award shall be evidenced in such form (written, electronic or otherwise) as the Board shall determine. Such written instrument may be in the form of an agreement signed by the Company and the Participant or a written confirming memorandum to the Participant from the Company. Each Award may contain terms and conditions in addition to those set forth in the Plan.</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i/>
          <w:color w:val="000000"/>
          <w:sz w:val="20"/>
          <w:shd w:fill="FFFFFF" w:val="clear"/>
        </w:rPr>
        <w:t>Board Discretion.</w:t>
      </w:r>
      <w:r>
        <w:rPr>
          <w:color w:val="000000"/>
          <w:shd w:fill="FFFFFF" w:val="clear"/>
        </w:rPr>
        <w:t>    </w:t>
      </w:r>
      <w:r>
        <w:rPr>
          <w:rFonts w:ascii="Times New Roman;serif" w:hAnsi="Times New Roman;serif"/>
          <w:b w:val="false"/>
          <w:color w:val="000000"/>
          <w:sz w:val="20"/>
          <w:shd w:fill="FFFFFF" w:val="clear"/>
        </w:rPr>
        <w:t>Except as otherwise provided by the Plan, each Award may be made alone or in addition or in relation to any other Award. The terms of each Award need not be identical, and the Board need not treat Participants uniformly.</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38785"/>
                <wp:effectExtent l="0" t="0" r="0" b="0"/>
                <wp:wrapNone/>
                <wp:docPr id="36" name="Frame36"/>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(d)</w:t>
      </w:r>
      <w:r>
        <w:rPr>
          <w:color w:val="000000"/>
          <w:shd w:fill="FFFFFF" w:val="clear"/>
        </w:rPr>
        <w:t>    </w:t>
      </w:r>
      <w:r>
        <w:rPr>
          <w:rFonts w:ascii="Times New Roman;serif" w:hAnsi="Times New Roman;serif"/>
          <w:b w:val="false"/>
          <w:i/>
          <w:color w:val="000000"/>
          <w:sz w:val="20"/>
          <w:shd w:fill="FFFFFF" w:val="clear"/>
        </w:rPr>
        <w:t>Termination of Status.</w:t>
      </w:r>
      <w:r>
        <w:rPr>
          <w:color w:val="000000"/>
          <w:shd w:fill="FFFFFF" w:val="clear"/>
        </w:rPr>
        <w:t>    </w:t>
      </w:r>
      <w:r>
        <w:rPr>
          <w:rFonts w:ascii="Times New Roman;serif" w:hAnsi="Times New Roman;serif"/>
          <w:b w:val="false"/>
          <w:color w:val="000000"/>
          <w:sz w:val="20"/>
          <w:shd w:fill="FFFFFF" w:val="clear"/>
        </w:rPr>
        <w:t>The Board shall determine the effect on an Award of the disability, death, or other change in the non-employee director status of a Participant and the extent to which, and the period during which, the Participant, or the Participant’s legal representative, conservator, guardian or Designated Beneficiary, may exercise rights under the Award.</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(e)</w:t>
      </w:r>
      <w:r>
        <w:rPr>
          <w:color w:val="000000"/>
          <w:shd w:fill="FFFFFF" w:val="clear"/>
        </w:rPr>
        <w:t>    </w:t>
      </w:r>
      <w:r>
        <w:rPr>
          <w:rFonts w:ascii="Times New Roman;serif" w:hAnsi="Times New Roman;serif"/>
          <w:b w:val="false"/>
          <w:i/>
          <w:color w:val="000000"/>
          <w:sz w:val="20"/>
          <w:shd w:fill="FFFFFF" w:val="clear"/>
        </w:rPr>
        <w:t>Withholding.</w:t>
      </w:r>
      <w:r>
        <w:rPr>
          <w:color w:val="000000"/>
          <w:shd w:fill="FFFFFF" w:val="clear"/>
        </w:rPr>
        <w:t>    </w:t>
      </w:r>
      <w:r>
        <w:rPr>
          <w:rFonts w:ascii="Times New Roman;serif" w:hAnsi="Times New Roman;serif"/>
          <w:b w:val="false"/>
          <w:color w:val="000000"/>
          <w:sz w:val="20"/>
          <w:shd w:fill="FFFFFF" w:val="clear"/>
        </w:rPr>
        <w:t>Each Participant shall pay to the Company, or make provision satisfactory to the Company for payment of, any taxes required by law to be withheld in connection with an Award to such Participant. Except as the Board may otherwise provide in an Award, for so long as the Common Stock is registered under the Exchange Act, Participants may satisfy such tax obligations in whole or in part by delivery of shares of Common Stock, including shares retained from the Award creating the tax obligation, valued at their Fair Market Value; provided, however,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Shares surrendered to satisfy tax withholding requirements cannot be subject to any repurchase, forfeiture, unfulfilled vesting or other similar requirements. The Company may, to the extent permitted by law, deduct any such tax obligations from any payment of any kind otherwise due to a Participant.</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(f)</w:t>
      </w:r>
      <w:r>
        <w:rPr>
          <w:color w:val="000000"/>
          <w:shd w:fill="FFFFFF" w:val="clear"/>
        </w:rPr>
        <w:t>    </w:t>
      </w:r>
      <w:r>
        <w:rPr>
          <w:rFonts w:ascii="Times New Roman;serif" w:hAnsi="Times New Roman;serif"/>
          <w:b w:val="false"/>
          <w:i/>
          <w:color w:val="000000"/>
          <w:sz w:val="20"/>
          <w:shd w:fill="FFFFFF" w:val="clear"/>
        </w:rPr>
        <w:t>Amendment of Award.</w:t>
      </w:r>
      <w:r>
        <w:rPr>
          <w:color w:val="000000"/>
          <w:shd w:fill="FFFFFF" w:val="clear"/>
        </w:rPr>
        <w:t>    </w:t>
      </w:r>
      <w:r>
        <w:rPr>
          <w:rFonts w:ascii="Times New Roman;serif" w:hAnsi="Times New Roman;serif"/>
          <w:b w:val="false"/>
          <w:color w:val="000000"/>
          <w:sz w:val="20"/>
          <w:shd w:fill="FFFFFF" w:val="clear"/>
        </w:rPr>
        <w:t>Except as provided in Section 5, the Board may amend, modify or terminate any outstanding Award, including but not limited to, substituting therefor another Award of the same or a different type and changing the date of exercise or realization, provided that the Participant’s consent to such action shall be required unless the Board determines that the action, taking into account any related action, would not materially and adversely affect the Participant.</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(g)</w:t>
      </w:r>
      <w:r>
        <w:rPr>
          <w:color w:val="000000"/>
          <w:shd w:fill="FFFFFF" w:val="clear"/>
        </w:rPr>
        <w:t>    </w:t>
      </w:r>
      <w:r>
        <w:rPr>
          <w:rFonts w:ascii="Times New Roman;serif" w:hAnsi="Times New Roman;serif"/>
          <w:b w:val="false"/>
          <w:i/>
          <w:color w:val="000000"/>
          <w:sz w:val="20"/>
          <w:shd w:fill="FFFFFF" w:val="clear"/>
        </w:rPr>
        <w:t>Conditions on Delivery of Stock.</w:t>
      </w:r>
      <w:r>
        <w:rPr>
          <w:color w:val="000000"/>
          <w:shd w:fill="FFFFFF" w:val="clear"/>
        </w:rPr>
        <w:t>    </w:t>
      </w:r>
      <w:r>
        <w:rPr>
          <w:rFonts w:ascii="Times New Roman;serif" w:hAnsi="Times New Roman;serif"/>
          <w:b w:val="false"/>
          <w:color w:val="000000"/>
          <w:sz w:val="20"/>
          <w:shd w:fill="FFFFFF" w:val="clear"/>
        </w:rPr>
        <w:t>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(h)</w:t>
      </w:r>
      <w:r>
        <w:rPr>
          <w:color w:val="000000"/>
          <w:shd w:fill="FFFFFF" w:val="clear"/>
        </w:rPr>
        <w:t>    </w:t>
      </w:r>
      <w:r>
        <w:rPr>
          <w:rFonts w:ascii="Times New Roman;serif" w:hAnsi="Times New Roman;serif"/>
          <w:b w:val="false"/>
          <w:i/>
          <w:color w:val="000000"/>
          <w:sz w:val="20"/>
          <w:shd w:fill="FFFFFF" w:val="clear"/>
        </w:rPr>
        <w:t>Acceleration.</w:t>
      </w:r>
      <w:r>
        <w:rPr>
          <w:color w:val="000000"/>
          <w:shd w:fill="FFFFFF" w:val="clear"/>
        </w:rPr>
        <w:t>    </w:t>
      </w:r>
      <w:r>
        <w:rPr>
          <w:rFonts w:ascii="Times New Roman;serif" w:hAnsi="Times New Roman;serif"/>
          <w:b w:val="false"/>
          <w:color w:val="000000"/>
          <w:sz w:val="20"/>
          <w:shd w:fill="FFFFFF" w:val="clear"/>
        </w:rPr>
        <w:t>Except as otherwise provided in Section 9(c), the Board may at any time provide that any Award shall become immediately exercisable in full or in part, free of some or all restrictions or conditions, or otherwise realizable in full or in part, as the case may be.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11.</w:t>
      </w:r>
      <w:r>
        <w:rPr>
          <w:color w:val="000000"/>
          <w:shd w:fill="FFFFFF" w:val="clear"/>
        </w:rPr>
        <w:t>    </w:t>
      </w:r>
      <w:r>
        <w:rPr>
          <w:rFonts w:ascii="Times New Roman;serif" w:hAnsi="Times New Roman;serif"/>
          <w:b w:val="false"/>
          <w:i/>
          <w:color w:val="000000"/>
          <w:sz w:val="20"/>
          <w:shd w:fill="FFFFFF" w:val="clear"/>
        </w:rPr>
        <w:t>Miscellaneous</w:t>
      </w:r>
      <w:r>
        <w:rPr>
          <w:color w:val="000000"/>
          <w:shd w:fill="FFFFFF" w:val="clear"/>
        </w:rPr>
        <w:t>    </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(a)</w:t>
      </w:r>
      <w:r>
        <w:rPr>
          <w:color w:val="000000"/>
          <w:shd w:fill="FFFFFF" w:val="clear"/>
        </w:rPr>
        <w:t>    </w:t>
      </w:r>
      <w:r>
        <w:rPr>
          <w:rFonts w:ascii="Times New Roman;serif" w:hAnsi="Times New Roman;serif"/>
          <w:b w:val="false"/>
          <w:i/>
          <w:color w:val="000000"/>
          <w:sz w:val="20"/>
          <w:shd w:fill="FFFFFF" w:val="clear"/>
        </w:rPr>
        <w:t>No Right To Status.</w:t>
      </w:r>
      <w:r>
        <w:rPr>
          <w:color w:val="000000"/>
          <w:shd w:fill="FFFFFF" w:val="clear"/>
        </w:rPr>
        <w:t>    </w:t>
      </w:r>
      <w:r>
        <w:rPr>
          <w:rFonts w:ascii="Times New Roman;serif" w:hAnsi="Times New Roman;serif"/>
          <w:b w:val="false"/>
          <w:color w:val="000000"/>
          <w:sz w:val="20"/>
          <w:shd w:fill="FFFFFF" w:val="clear"/>
        </w:rPr>
        <w:t>No person shall have any claim or right to be granted an Award, and the grant of an Award shall not be construed as giving a Participant the right to any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(b)</w:t>
      </w:r>
      <w:r>
        <w:rPr>
          <w:color w:val="000000"/>
          <w:shd w:fill="FFFFFF" w:val="clear"/>
        </w:rPr>
        <w:t>    </w:t>
      </w:r>
      <w:r>
        <w:rPr>
          <w:rFonts w:ascii="Times New Roman;serif" w:hAnsi="Times New Roman;serif"/>
          <w:b w:val="false"/>
          <w:i/>
          <w:color w:val="000000"/>
          <w:sz w:val="20"/>
          <w:shd w:fill="FFFFFF" w:val="clear"/>
        </w:rPr>
        <w:t>No Rights As Stockholder.</w:t>
      </w:r>
      <w:r>
        <w:rPr>
          <w:color w:val="000000"/>
          <w:shd w:fill="FFFFFF" w:val="clear"/>
        </w:rPr>
        <w:t>    </w:t>
      </w:r>
      <w:r>
        <w:rPr>
          <w:rFonts w:ascii="Times New Roman;serif" w:hAnsi="Times New Roman;serif"/>
          <w:b w:val="false"/>
          <w:color w:val="000000"/>
          <w:sz w:val="20"/>
          <w:shd w:fill="FFFFFF" w:val="clear"/>
        </w:rPr>
        <w:t>Subject to the provisions of the applicable Award, no Participant or Designated Beneficiary shall have any rights as a stockholder with respect to any shares of Common Stock to be distributed with respect to an Award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38785"/>
                <wp:effectExtent l="0" t="0" r="0" b="0"/>
                <wp:wrapNone/>
                <wp:docPr id="37" name="Frame37"/>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(c)</w:t>
      </w:r>
      <w:r>
        <w:rPr>
          <w:color w:val="000000"/>
          <w:shd w:fill="FFFFFF" w:val="clear"/>
        </w:rPr>
        <w:t>    </w:t>
      </w:r>
      <w:r>
        <w:rPr>
          <w:rFonts w:ascii="Times New Roman;serif" w:hAnsi="Times New Roman;serif"/>
          <w:b w:val="false"/>
          <w:i/>
          <w:color w:val="000000"/>
          <w:sz w:val="20"/>
          <w:shd w:fill="FFFFFF" w:val="clear"/>
        </w:rPr>
        <w:t>Effective Date and Term of Plan.</w:t>
      </w:r>
      <w:r>
        <w:rPr>
          <w:color w:val="000000"/>
          <w:shd w:fill="FFFFFF" w:val="clear"/>
        </w:rPr>
        <w:t>    </w:t>
      </w:r>
      <w:r>
        <w:rPr>
          <w:rFonts w:ascii="Times New Roman;serif" w:hAnsi="Times New Roman;serif"/>
          <w:b w:val="false"/>
          <w:color w:val="000000"/>
          <w:sz w:val="20"/>
          <w:shd w:fill="FFFFFF" w:val="clear"/>
        </w:rPr>
        <w:t>The Plan shall become effective on the date on which it is approved by the Company’s stockholders (the “Effective Date”), and no Award may be granted until the Effective Date. No Awards shall be granted under the Plan after the completion of 10 years from the date that the Plan was most recently approved by the Company’s stockholders, but Awards previously granted may extend beyond that date.</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(d)</w:t>
      </w:r>
      <w:r>
        <w:rPr>
          <w:color w:val="000000"/>
          <w:shd w:fill="FFFFFF" w:val="clear"/>
        </w:rPr>
        <w:t>    </w:t>
      </w:r>
      <w:r>
        <w:rPr>
          <w:rFonts w:ascii="Times New Roman;serif" w:hAnsi="Times New Roman;serif"/>
          <w:b w:val="false"/>
          <w:i/>
          <w:color w:val="000000"/>
          <w:sz w:val="20"/>
          <w:shd w:fill="FFFFFF" w:val="clear"/>
        </w:rPr>
        <w:t>Amendment of Plan.</w:t>
      </w:r>
      <w:r>
        <w:rPr>
          <w:color w:val="000000"/>
          <w:shd w:fill="FFFFFF" w:val="clear"/>
        </w:rPr>
        <w:t>    </w:t>
      </w:r>
      <w:r>
        <w:rPr>
          <w:rFonts w:ascii="Times New Roman;serif" w:hAnsi="Times New Roman;serif"/>
          <w:b w:val="false"/>
          <w:color w:val="000000"/>
          <w:sz w:val="20"/>
          <w:shd w:fill="FFFFFF" w:val="clear"/>
        </w:rPr>
        <w:t>The Board may amend, suspend or terminate the Plan or any portion thereof at any time; provided that, without approval of the Company’s stockholders, no amendment may (1) increase the number of shares authorized under the Plan (other than pursuant to Section 9), (2) materially increase the benefits provided under the Plan, (3) materially expand the class of participants eligible to participate in the Plan, (4) expand the types of Awards provided under the Plan or (5) make any other changes that require stockholder approval under the rules of the Nasdaq Stock Market, Inc. No Award shall be made that is conditioned upon stockholder approval of any amendment to the Plan.</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(e)</w:t>
      </w:r>
      <w:r>
        <w:rPr>
          <w:color w:val="000000"/>
          <w:shd w:fill="FFFFFF" w:val="clear"/>
        </w:rPr>
        <w:t>    </w:t>
      </w:r>
      <w:r>
        <w:rPr>
          <w:rFonts w:ascii="Times New Roman;serif" w:hAnsi="Times New Roman;serif"/>
          <w:b w:val="false"/>
          <w:i/>
          <w:color w:val="000000"/>
          <w:sz w:val="20"/>
          <w:shd w:fill="FFFFFF" w:val="clear"/>
        </w:rPr>
        <w:t>Provisions for Foreign Participants.</w:t>
      </w:r>
      <w:r>
        <w:rPr>
          <w:color w:val="000000"/>
          <w:shd w:fill="FFFFFF" w:val="clear"/>
        </w:rPr>
        <w:t>    </w:t>
      </w:r>
      <w:r>
        <w:rPr>
          <w:rFonts w:ascii="Times New Roman;serif" w:hAnsi="Times New Roman;serif"/>
          <w:b w:val="false"/>
          <w:color w:val="000000"/>
          <w:sz w:val="20"/>
          <w:shd w:fill="FFFFFF" w:val="clear"/>
        </w:rPr>
        <w:t>The Board may modify Awards or Options granted to Participants who are foreign nationals or employed outside the United States or establish subplans or procedures under the Plan to recognize differences in laws, rules, regulations or customs of such foreign jurisdictions with respect to tax, securities, currency, employee benefit or other matters.</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(f)</w:t>
      </w:r>
      <w:r>
        <w:rPr>
          <w:color w:val="000000"/>
          <w:shd w:fill="FFFFFF" w:val="clear"/>
        </w:rPr>
        <w:t>    </w:t>
      </w:r>
      <w:r>
        <w:rPr>
          <w:rFonts w:ascii="Times New Roman;serif" w:hAnsi="Times New Roman;serif"/>
          <w:b w:val="false"/>
          <w:i/>
          <w:color w:val="000000"/>
          <w:sz w:val="20"/>
          <w:shd w:fill="FFFFFF" w:val="clear"/>
        </w:rPr>
        <w:t>Compliance With Code Section 409A.</w:t>
      </w:r>
      <w:r>
        <w:rPr>
          <w:color w:val="000000"/>
          <w:shd w:fill="FFFFFF" w:val="clear"/>
        </w:rPr>
        <w:t>    </w:t>
      </w:r>
      <w:r>
        <w:rPr>
          <w:rFonts w:ascii="Times New Roman;serif" w:hAnsi="Times New Roman;serif"/>
          <w:b w:val="false"/>
          <w:color w:val="000000"/>
          <w:sz w:val="20"/>
          <w:shd w:fill="FFFFFF" w:val="clear"/>
        </w:rPr>
        <w:t>No Award shall provide for deferral of compensation that does not comply with Section 409A of the Code, unless the Board, at the time of grant, specifically provides that the Award is not intended to comply with Section 409A of the Code.</w: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Times New Roman;serif" w:hAnsi="Times New Roman;serif"/>
          <w:b w:val="false"/>
          <w:color w:val="000000"/>
          <w:sz w:val="20"/>
          <w:shd w:fill="FFFFFF" w:val="clear"/>
        </w:rPr>
        <w:t>(g)</w:t>
      </w:r>
      <w:r>
        <w:rPr>
          <w:color w:val="000000"/>
          <w:shd w:fill="FFFFFF" w:val="clear"/>
        </w:rPr>
        <w:t>    </w:t>
      </w:r>
      <w:r>
        <w:rPr>
          <w:rFonts w:ascii="Times New Roman;serif" w:hAnsi="Times New Roman;serif"/>
          <w:b w:val="false"/>
          <w:i/>
          <w:color w:val="000000"/>
          <w:sz w:val="20"/>
          <w:shd w:fill="FFFFFF" w:val="clear"/>
        </w:rPr>
        <w:t>Governing Law.</w:t>
      </w:r>
      <w:r>
        <w:rPr>
          <w:color w:val="000000"/>
          <w:shd w:fill="FFFFFF" w:val="clear"/>
        </w:rPr>
        <w:t>    </w:t>
      </w:r>
      <w:r>
        <w:rPr>
          <w:rFonts w:ascii="Times New Roman;serif" w:hAnsi="Times New Roman;serif"/>
          <w:b w:val="false"/>
          <w:color w:val="000000"/>
          <w:sz w:val="20"/>
          <w:shd w:fill="FFFFFF" w:val="clear"/>
        </w:rPr>
        <w:t>The provisions of the Plan and all Awards made hereunder shall be governed by and interpreted in accordance with the laws of the State of Delaware, without regard to any applicable conflicts of law.</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38785"/>
                <wp:effectExtent l="0" t="0" r="0" b="0"/>
                <wp:wrapNone/>
                <wp:docPr id="38" name="Frame38"/>
                <a:graphic xmlns:a="http://schemas.openxmlformats.org/drawingml/2006/main">
                  <a:graphicData uri="http://schemas.microsoft.com/office/word/2010/wordprocessingShape">
                    <wps:wsp>
                      <wps:cNvSpPr txBox="1"/>
                      <wps:spPr>
                        <a:xfrm>
                          <a:off x="0" y="0"/>
                          <a:ext cx="6480175" cy="438785"/>
                        </a:xfrm>
                        <a:prstGeom prst="rect"/>
                        <a:solidFill>
                          <a:srgbClr val="FFFFFF"/>
                        </a:solidFill>
                      </wps:spPr>
                      <wps:txb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lineRule="auto" w:line="319" w:before="0" w:after="200"/>
                        <w:jc w:val="center"/>
                        <w:rPr>
                          <w:rFonts w:ascii="Times New Roman;serif" w:hAnsi="Times New Roman;serif"/>
                          <w:b w:val="false"/>
                          <w:color w:val="000000"/>
                          <w:sz w:val="16"/>
                        </w:rPr>
                      </w:pPr>
                      <w:r>
                        <w:rPr>
                          <w:rFonts w:ascii="Times New Roman;serif" w:hAnsi="Times New Roman;serif"/>
                          <w:b w:val="false"/>
                          <w:color w:val="000000"/>
                          <w:sz w:val="16"/>
                        </w:rPr>
                        <w:t>Effective February 11, 2026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EXECUTIVE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G. Brace,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4092" w:type="dxa"/>
        <w:jc w:val="left"/>
        <w:tblInd w:w="0" w:type="dxa"/>
        <w:tblLayout w:type="fixed"/>
        <w:tblCellMar>
          <w:top w:w="28" w:type="dxa"/>
          <w:left w:w="28" w:type="dxa"/>
          <w:bottom w:w="28" w:type="dxa"/>
          <w:right w:w="28" w:type="dxa"/>
        </w:tblCellMar>
      </w:tblPr>
      <w:tblGrid>
        <w:gridCol w:w="200"/>
        <w:gridCol w:w="177"/>
        <w:gridCol w:w="178"/>
        <w:gridCol w:w="1053"/>
        <w:gridCol w:w="1053"/>
        <w:gridCol w:w="105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THE PRINCIPAL FINANCIAL OFFICER PURSUANT TO SECURITIES EXCHANGE ACT RULES 13a-14(a) AND 15d-14(a) AS ADOPTED PURSUANT TO SECTION 302 OF THE SARBANES-OXLEY ACT OF 2002</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 Philip Carter, certify that: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Skyworks Solutions, Inc.;</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022" w:type="dxa"/>
        <w:jc w:val="left"/>
        <w:tblInd w:w="0" w:type="dxa"/>
        <w:tblLayout w:type="fixed"/>
        <w:tblCellMar>
          <w:top w:w="28" w:type="dxa"/>
          <w:left w:w="28" w:type="dxa"/>
          <w:bottom w:w="28" w:type="dxa"/>
          <w:right w:w="28" w:type="dxa"/>
        </w:tblCellMar>
      </w:tblPr>
      <w:tblGrid>
        <w:gridCol w:w="200"/>
        <w:gridCol w:w="177"/>
        <w:gridCol w:w="178"/>
        <w:gridCol w:w="1362"/>
        <w:gridCol w:w="1362"/>
        <w:gridCol w:w="1371"/>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Skyworks Solutions, Inc. (the “Company”) on Form 10-Q for the period ended April 3, 2026 as filed with the Securities and Exchange Commission on the date hereof (the “Report”), I, Philip G. Brace, President and Chief Executive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70" w:type="dxa"/>
        <w:jc w:val="left"/>
        <w:tblInd w:w="0" w:type="dxa"/>
        <w:tblLayout w:type="fixed"/>
        <w:tblCellMar>
          <w:top w:w="28" w:type="dxa"/>
          <w:left w:w="28" w:type="dxa"/>
          <w:bottom w:w="28" w:type="dxa"/>
          <w:right w:w="28" w:type="dxa"/>
        </w:tblCellMar>
      </w:tblPr>
      <w:tblGrid>
        <w:gridCol w:w="1046"/>
        <w:gridCol w:w="917"/>
        <w:gridCol w:w="1307"/>
      </w:tblGrid>
      <w:tr>
        <w:trPr/>
        <w:tc>
          <w:tcPr>
            <w:tcW w:w="1046"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G. Brace</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G. Brace</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Chief Executive Officer </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 AS ADOPTED 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Skyworks Solutions, Inc. (the “Company”) on Form 10-Q for the period ended April 3, 2026 as filed with the Securities and Exchange Commission on the date hereof (the “Report”), I, Philip Carter, Senior Vice President and Chief Financial Officer of the Company, certify, pursuant to 18 U.S.C. Section 1350, as adopted pursuant to Section 906 of the Sarbanes-Oxley Act of 2002,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55" w:type="dxa"/>
        <w:jc w:val="left"/>
        <w:tblInd w:w="0" w:type="dxa"/>
        <w:tblLayout w:type="fixed"/>
        <w:tblCellMar>
          <w:top w:w="28" w:type="dxa"/>
          <w:left w:w="28" w:type="dxa"/>
          <w:bottom w:w="28" w:type="dxa"/>
          <w:right w:w="28" w:type="dxa"/>
        </w:tblCellMar>
      </w:tblPr>
      <w:tblGrid>
        <w:gridCol w:w="1327"/>
        <w:gridCol w:w="1169"/>
        <w:gridCol w:w="1659"/>
      </w:tblGrid>
      <w:tr>
        <w:trPr/>
        <w:tc>
          <w:tcPr>
            <w:tcW w:w="132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 Philip Carter</w:t>
            </w:r>
          </w:p>
        </w:tc>
      </w:tr>
      <w:tr>
        <w:trPr/>
        <w:tc>
          <w:tcPr>
            <w:tcW w:w="4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Carter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19247</Words>
  <Characters>104283</Characters>
  <CharactersWithSpaces>123193</CharactersWithSpaces>
  <Paragraphs>2061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