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934d2_8k.htm"/>
      <w:bookmarkStart w:id="1" w:name="kstm2626934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1007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October 7,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bookmarkStart w:id="4" w:name="xdx_90E_edei--EntityRegistrantName_c2026"/>
      <w:bookmarkEnd w:id="4"/>
      <w:r>
        <w:rPr>
          <w:rFonts w:ascii="Times New Roman;Times;Serif" w:hAnsi="Times New Roman;Times;Serif"/>
          <w:b/>
          <w:i w:val="false"/>
          <w:caps w:val="false"/>
          <w:smallCaps w:val="false"/>
          <w:sz w:val="30"/>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2375"/>
        <w:gridCol w:w="60"/>
        <w:gridCol w:w="2210"/>
        <w:gridCol w:w="60"/>
        <w:gridCol w:w="2390"/>
      </w:tblGrid>
      <w:tr>
        <w:trPr/>
        <w:tc>
          <w:tcPr>
            <w:tcW w:w="2375" w:type="dxa"/>
            <w:tcBorders>
              <w:bottom w:val="single" w:sz="8" w:space="0" w:color="000000"/>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bookmarkStart w:id="6" w:name="xdx_90F_edei--EntityFileNumber_c20261007"/>
            <w:bookmarkEnd w:id="6"/>
            <w:r>
              <w:rPr>
                <w:b/>
              </w:rPr>
              <w:t>001-05560</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8" w:space="0" w:color="000000"/>
            </w:tcBorders>
            <w:vAlign w:val="center"/>
          </w:tcPr>
          <w:p>
            <w:pPr>
              <w:pStyle w:val="TableContents"/>
              <w:bidi w:val="0"/>
              <w:spacing w:before="0" w:after="283"/>
              <w:jc w:val="center"/>
              <w:rPr>
                <w:b/>
              </w:rPr>
            </w:pPr>
            <w:bookmarkStart w:id="7" w:name="xdx_906_edei--EntityTaxIdentificationNum"/>
            <w:bookmarkEnd w:id="7"/>
            <w:r>
              <w:rPr>
                <w:b/>
              </w:rPr>
              <w:t>04-2302115</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283"/>
              <w:jc w:val="center"/>
              <w:rPr>
                <w:sz w:val="20"/>
              </w:rPr>
            </w:pPr>
            <w:r>
              <w:rPr>
                <w:sz w:val="20"/>
              </w:rPr>
              <w:t>(IRS Employer Identification</w:t>
              <w:br/>
              <w:t>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5260 California Avenue</w:t>
        <w:br/>
      </w:r>
      <w:bookmarkStart w:id="9" w:name="xdx_90C_edei--EntityAddressCityOrTown_c2"/>
      <w:bookmarkEnd w:id="9"/>
      <w:r>
        <w:rPr>
          <w:rFonts w:ascii="Times New Roman;Times;Serif" w:hAnsi="Times New Roman;Times;Serif"/>
          <w:b/>
          <w:i w:val="false"/>
          <w:caps w:val="false"/>
          <w:smallCaps w:val="false"/>
          <w:sz w:val="20"/>
        </w:rPr>
        <w:t xml:space="preserve">Irvine, </w:t>
      </w:r>
      <w:bookmarkStart w:id="10" w:name="xdx_901_edei--EntityAddressStateOrProvin"/>
      <w:bookmarkEnd w:id="10"/>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1" w:name="xdx_901_edei--EntityAddressPostalZipCode"/>
      <w:bookmarkEnd w:id="11"/>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1007__20"/>
      <w:bookmarkEnd w:id="12"/>
      <w:r>
        <w:rPr>
          <w:rFonts w:ascii="Times New Roman;Times;Serif" w:hAnsi="Times New Roman;Times;Serif"/>
          <w:b/>
          <w:i w:val="false"/>
          <w:caps w:val="false"/>
          <w:smallCaps w:val="false"/>
          <w:sz w:val="20"/>
        </w:rPr>
        <w:t xml:space="preserve">949) </w:t>
      </w:r>
      <w:bookmarkStart w:id="13" w:name="xdx_903_edei--LocalPhoneNumber_c20261007"/>
      <w:bookmarkEnd w:id="13"/>
      <w:r>
        <w:rPr>
          <w:rFonts w:ascii="Times New Roman;Times;Serif" w:hAnsi="Times New Roman;Times;Serif"/>
          <w:b/>
          <w:i w:val="false"/>
          <w:caps w:val="false"/>
          <w:smallCaps w:val="false"/>
          <w:sz w:val="20"/>
        </w:rPr>
        <w:t>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B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6_edei--SolicitingMaterial_c202610"/>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B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3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100"/>
        <w:gridCol w:w="60"/>
        <w:gridCol w:w="1025"/>
        <w:gridCol w:w="60"/>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100" w:type="dxa"/>
            <w:tcBorders/>
            <w:tcMar>
              <w:bottom w:w="0" w:type="dxa"/>
            </w:tcMar>
            <w:vAlign w:val="center"/>
          </w:tcPr>
          <w:p>
            <w:pPr>
              <w:pStyle w:val="TableContents"/>
              <w:bidi w:val="0"/>
              <w:spacing w:before="0" w:after="283"/>
              <w:jc w:val="center"/>
              <w:rPr/>
            </w:pPr>
            <w:bookmarkStart w:id="18" w:name="xdx_908_edei--Security12bTitle_c20261007"/>
            <w:bookmarkEnd w:id="18"/>
            <w:r>
              <w:rPr/>
              <w:t>Common Stock, Par Value $0.25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4_edei--TradingSymbol_c20261007__2"/>
            <w:bookmarkEnd w:id="19"/>
            <w:r>
              <w:rPr/>
              <w:t>SWKS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bookmarkStart w:id="20" w:name="xdx_903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81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Entry into a Material Definitive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Offers and Consent Solicitations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(the “Settlement Date”), Skyworks Solutions, Inc. (the “Company”) completed its previously announced offers to holders (1) to exchange (the “Exchange Offers”) (i) any and all outstanding 4.375% Senior Notes due 2029 (the “2029 Qorvo Notes”) issued by Qorvo, Inc. (“Qorvo”) for up to $850,000,000 aggregate principal amount of new 4.375% Senior Notes due 2029 (the “New 2029 Skyworks Notes”) issued by the Company and (ii) any and all outstanding 3.375% Senior Notes due 2031 (the “2031 Qorvo Notes” and, together with the 2029 Qorvo Notes, the “Qorvo Notes”) issued by Qorvo for up to $700,000,000 aggregate principal amount of new 3.375% Senior Notes due 2031 (the “New 2031 Skyworks Notes” and, together with the New 2029 Skyworks Notes, the “New Skyworks Notes”) issued by the Company and (2) to pay cash for the related consent solicitations (the “Consent Solicitations”) to adopt certain proposed amendments (the “Proposed Amendments”) to each indenture governing the applicable series of Qorvo Notes (each, a “Qorvo Indenture” and, together, the “Qorvo Indentures”). The Exchange Offers and Consent Solicitations were made pursuant to the terms and subject to the conditions set forth in Skyworks’ registration statement on Form S-4, which was declared effective on May 29, 2026, and the related final prospectus filed with the U.S. Securities and Exchange Commission on May 29, 2026 (as it may be amended or supplemented from time to time,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Offers and Consent Solicitations, the aggregate principal amount of Qorvo Notes set forth in the table below were validly tendered and subsequently accepted. Such accepted Qorvo Notes will be retired and canceled and will not be reissued. Following such cancellation, the aggregate principal amount of the Qorvo Notes set forth in the table below will remain outstanding. The Exchange Offers, as extended, expired at 5:00 p.m. New York City time on October 5, 2026 and are no longer open to participation by any holders of the Qorvo Notes.</w:t>
      </w:r>
    </w:p>
    <w:p>
      <w:pPr>
        <w:pStyle w:val="TextBody"/>
        <w:bidi w:val="0"/>
        <w:spacing w:before="0" w:after="0"/>
        <w:ind w:left="0" w:right="0" w:firstLine="720"/>
        <w:jc w:val="both"/>
        <w:rPr>
          <w:caps w:val="false"/>
          <w:smallCaps w:val="false"/>
        </w:rPr>
      </w:pPr>
      <w:r>
        <w:rPr>
          <w:caps w:val="false"/>
          <w:smallCaps w:val="false"/>
        </w:rPr>
        <w:t> </w:t>
      </w:r>
    </w:p>
    <w:tbl>
      <w:tblPr>
        <w:tblW w:w="7363" w:type="dxa"/>
        <w:jc w:val="left"/>
        <w:tblInd w:w="0" w:type="dxa"/>
        <w:tblLayout w:type="fixed"/>
        <w:tblCellMar>
          <w:top w:w="0" w:type="dxa"/>
          <w:left w:w="0" w:type="dxa"/>
          <w:bottom w:w="28" w:type="dxa"/>
          <w:right w:w="0" w:type="dxa"/>
        </w:tblCellMar>
      </w:tblPr>
      <w:tblGrid>
        <w:gridCol w:w="3770"/>
        <w:gridCol w:w="60"/>
        <w:gridCol w:w="162"/>
        <w:gridCol w:w="1372"/>
        <w:gridCol w:w="60"/>
        <w:gridCol w:w="60"/>
        <w:gridCol w:w="209"/>
        <w:gridCol w:w="1595"/>
        <w:gridCol w:w="75"/>
      </w:tblGrid>
      <w:tr>
        <w:trPr/>
        <w:tc>
          <w:tcPr>
            <w:tcW w:w="37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Series of Qorvo Notes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Tendered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Following Settlement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4.375% Senior Notes due 2029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779,384,000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70,616,000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74736KAH4 / US74736KAH41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74736KAG6 / US74736KAG67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U7471QAF1 / USU7471QAF10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3.375% Senior Notes due 2031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647,096,000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52,904,000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74736KAJ0 / US74736KAJ07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U7471QAJ3 / USU7471QAJ32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Settlement Date of the Exchange Offers and Consent Solicitations, and upon receipt of the requisite consents to adopt the Proposed Amendments with respect to each series of Qorvo Notes, Qorvo entered into two supplemental indentures with the trustee for the Qorvo Notes and the subsidiary guarantors party thereto – one for each series of Qorvo Notes (the “Supplemental Indentures”). The Proposed Amendments became effective upon the execution of each Supplemental Indenture. However, depending on the specific amendment, the Proposed Amendments became operative (i) immediately upon the Settlement Date or (ii) immediately prior to the closing of transactions pursuant to which Qorvo merged with and into a subsidiary of Skyworks, with such subsidiary continuing as the surviving entity and a wholly-owned subsidiary of Skyworks.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settlement of the Exchange Offers and Consent Solicitations, on October 7, 2026, the Company issued (i) $778,096,000 aggregate principal amount of New 2029 Skyworks Notes and (ii) $646,805,000 aggregate principal amount of New 2031 Skyworks Notes. The New Skyworks Notes are governed by an indenture, dated as of August 10, 2026 (the “Base Indenture”), by and between the Company and U.S. Bank Trust Company, National Association (the “Trustee”), as supplemented by (i) the Fourth Supplemental Indenture with respect to the New 2029 Skyworks Notes, dated as of October 7, 2026 (the “Fourth Supplemental Indenture”), by and between the Company and the Trustee and (ii) the Fifth Supplemental Indenture with respect to the New 2031 Skyworks Notes (the “Fifth Supplemental Indenture”), dated as of October 7, 2026, by and between the Company and the Trustee. The New Skyworks Notes are senior unsecured obligations of the Company. The New Skyworks Notes are effectively subordinated to the Company’s secured debt, to the extent of the value of the assets securing that debt. The New Skyworks Notes are not obligations of any of the Company’s subsidiaries and, accordingly, are structurally subordinated to all obligations of the Company’s subsidiaries. The New 2029 Skyworks Notes will bear interest at a rate of 4.375% per annum and will mature on October 15, 2029. The New 2031 Skyworks Notes will bear interest at a rate of 3.375% per annum and will mature on April 1,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New Skyworks Notes does not purport to be complete and is qualified in its entirety by reference to the full text of (i) the Base Indenture, which was filed as Exhibit 4.1 to the Company’s Current Report on Form 8-K filed on August 10, 2026, (ii) the Fourth Supplemental Indenture attached as Exhibit 4.1 hereto, (ii) the form of the New 2029 Skyworks Notes attached as Exhibit 4.2 hereto, (iii) the Fifth Supplemental Indenture attached as Exhibit 4.3 hereto and (iv) the form of the New 2031 Skyworks Notes attached as Exhibit 4.4 hereto, the terms of which are in each case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2"/>
        <w:gridCol w:w="9375"/>
      </w:tblGrid>
      <w:tr>
        <w:trPr/>
        <w:tc>
          <w:tcPr>
            <w:tcW w:w="3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2.03</w:t>
            </w:r>
          </w:p>
        </w:tc>
        <w:tc>
          <w:tcPr>
            <w:tcW w:w="93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contained under Item 1.01 above is hereby incorporated by reference in its entirety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81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pPr>
            <w:hyperlink w:anchor="tm2626934d2_ex4-1.htm">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6934d2_ex4-1.htm">
              <w:r>
                <w:rPr>
                  <w:rStyle w:val="InternetLink"/>
                  <w:rFonts w:ascii="Times New Roman;Times;Serif" w:hAnsi="Times New Roman;Times;Serif"/>
                  <w:sz w:val="20"/>
                </w:rPr>
                <w:t>Fourth Supplemental Indenture, dated as of October 7, 2026, by and between Skyworks Solutions, Inc.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6934d2_ex4-1.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6934d2_ex4-1.htm">
              <w:r>
                <w:rPr>
                  <w:rStyle w:val="InternetLink"/>
                  <w:rFonts w:ascii="Times New Roman;Times;Serif" w:hAnsi="Times New Roman;Times;Serif"/>
                  <w:sz w:val="20"/>
                </w:rPr>
                <w:t>Form of 4.375% Senior Note due 2029 (included in Exhibit 4.1 of this Current Report on Form 8-K).</w:t>
              </w:r>
            </w:hyperlink>
          </w:p>
        </w:tc>
      </w:tr>
      <w:tr>
        <w:trPr/>
        <w:tc>
          <w:tcPr>
            <w:tcW w:w="725" w:type="dxa"/>
            <w:tcBorders/>
            <w:tcMar>
              <w:bottom w:w="0" w:type="dxa"/>
            </w:tcMar>
            <w:vAlign w:val="center"/>
          </w:tcPr>
          <w:p>
            <w:pPr>
              <w:pStyle w:val="TableContents"/>
              <w:bidi w:val="0"/>
              <w:spacing w:before="0" w:after="283"/>
              <w:jc w:val="left"/>
              <w:rPr/>
            </w:pPr>
            <w:hyperlink w:anchor="tm2626934d2_ex4-3.htm">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6934d2_ex4-3.htm">
              <w:r>
                <w:rPr>
                  <w:rStyle w:val="InternetLink"/>
                  <w:rFonts w:ascii="Times New Roman;Times;Serif" w:hAnsi="Times New Roman;Times;Serif"/>
                  <w:sz w:val="20"/>
                </w:rPr>
                <w:t>Fifth Supplemental Indenture, dated as of October 7, 2026, by and between Skyworks Solutions, Inc.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6934d2_ex4-3.htm">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6934d2_ex4-3.htm">
              <w:r>
                <w:rPr>
                  <w:rStyle w:val="InternetLink"/>
                  <w:rFonts w:ascii="Times New Roman;Times;Serif" w:hAnsi="Times New Roman;Times;Serif"/>
                  <w:sz w:val="20"/>
                </w:rPr>
                <w:t>Form of 3.375% Senior Note due 2031 (included in Exhibit 4.3 of this Current Report on Form 8-K).</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7, 2026</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290"/>
        <w:gridCol w:w="4610"/>
      </w:tblGrid>
      <w:tr>
        <w:trPr/>
        <w:tc>
          <w:tcPr>
            <w:tcW w:w="75" w:type="dxa"/>
            <w:tcBorders/>
            <w:vAlign w:val="center"/>
          </w:tcPr>
          <w:p>
            <w:pPr>
              <w:pStyle w:val="TableContents"/>
              <w:bidi w:val="0"/>
              <w:spacing w:before="0" w:after="283"/>
              <w:jc w:val="left"/>
              <w:rPr/>
            </w:pPr>
            <w:r>
              <w:rPr/>
              <w:t> </w:t>
            </w:r>
          </w:p>
        </w:tc>
        <w:tc>
          <w:tcPr>
            <w:tcW w:w="49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75" w:type="dxa"/>
            <w:tcBorders/>
            <w:vAlign w:val="center"/>
          </w:tcPr>
          <w:p>
            <w:pPr>
              <w:pStyle w:val="TableContents"/>
              <w:bidi w:val="0"/>
              <w:spacing w:before="0" w:after="283"/>
              <w:jc w:val="both"/>
              <w:rPr/>
            </w:pPr>
            <w:r>
              <w:rPr/>
              <w:t> </w:t>
            </w:r>
          </w:p>
        </w:tc>
        <w:tc>
          <w:tcPr>
            <w:tcW w:w="49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By:</w:t>
            </w:r>
          </w:p>
        </w:tc>
        <w:tc>
          <w:tcPr>
            <w:tcW w:w="4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2" w:name="tm2626934d2_ex4-1.htm"/>
      <w:bookmarkStart w:id="23" w:name="kstm2626934d2_ex4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4.375%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0" w:type="dxa"/>
          <w:right w:w="0" w:type="dxa"/>
        </w:tblCellMar>
      </w:tblPr>
      <w:tblGrid>
        <w:gridCol w:w="1055"/>
        <w:gridCol w:w="7790"/>
        <w:gridCol w:w="140"/>
      </w:tblGrid>
      <w:tr>
        <w:trPr/>
        <w:tc>
          <w:tcPr>
            <w:tcW w:w="88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 DEFINITIONS</w:t>
            </w:r>
          </w:p>
        </w:tc>
        <w:tc>
          <w:tcPr>
            <w:tcW w:w="14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884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r>
      <w:tr>
        <w:trPr/>
        <w:tc>
          <w:tcPr>
            <w:tcW w:w="88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 TERMS OF THE NOTES</w:t>
            </w:r>
          </w:p>
        </w:tc>
        <w:tc>
          <w:tcPr>
            <w:tcW w:w="14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w:t>
            </w:r>
          </w:p>
        </w:tc>
      </w:tr>
      <w:tr>
        <w:trPr/>
        <w:tc>
          <w:tcPr>
            <w:tcW w:w="884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Principal Amount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of Payment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Control Repurchase</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Date</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Price</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and Global Notes</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Defeasance and Discharge of Covenants upon Deposit of Moneys, U.S. Government Obligations</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SUPPLEMENTAL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seventh day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executed and delivered an Indenture dated as of August 10,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Issuer from time to time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herein, not otherwise defined, shall have the same meanings given them in the Indenture, as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consummated the transactions under that certain Agreement and Plan of Merger, dated as of October 27, 2025, by and among the Issuer, Comet Acquisition Corp., a Delaware corporation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Comet Acquisition II, LLC, a Delaware limited liability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Qorvo, Inc., a Delaware corporation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pursuant to which, upon the terms and subject to the conditions set forth therein,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as the surviving entity in the First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a wholly owned subsidiary of the Issuer, and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Mergers, the Issuer hereby establishes under the Indenture a new series of debt securities, to be issued in exchange for 4.375% Senior Notes due 2029 of Qorvo (the “</w:t>
      </w:r>
      <w:r>
        <w:rPr>
          <w:rFonts w:ascii="Times New Roman;Times;Serif" w:hAnsi="Times New Roman;Times;Serif"/>
          <w:b w:val="false"/>
          <w:i w:val="false"/>
          <w:caps w:val="false"/>
          <w:smallCaps w:val="false"/>
          <w:sz w:val="20"/>
          <w:u w:val="single"/>
        </w:rPr>
        <w:t>2029 Qorvo Notes</w:t>
      </w:r>
      <w:r>
        <w:rPr>
          <w:rFonts w:ascii="Times New Roman;Times;Serif" w:hAnsi="Times New Roman;Times;Serif"/>
          <w:b w:val="false"/>
          <w:i w:val="false"/>
          <w:caps w:val="false"/>
          <w:smallCaps w:val="false"/>
          <w:sz w:val="20"/>
        </w:rPr>
        <w:t>”), pursuant to an exchange offer conducted pursuant to a prospectus, dated May 20, 2026 (the “</w:t>
      </w:r>
      <w:r>
        <w:rPr>
          <w:rFonts w:ascii="Times New Roman;Times;Serif" w:hAnsi="Times New Roman;Times;Serif"/>
          <w:b w:val="false"/>
          <w:i w:val="false"/>
          <w:caps w:val="false"/>
          <w:smallCaps w:val="false"/>
          <w:sz w:val="20"/>
          <w:u w:val="single"/>
        </w:rPr>
        <w:t>Qorvo Exchange Offer</w:t>
      </w:r>
      <w:r>
        <w:rPr>
          <w:rFonts w:ascii="Times New Roman;Times;Serif" w:hAnsi="Times New Roman;Times;Serif"/>
          <w:b w:val="false"/>
          <w:i w:val="false"/>
          <w:caps w:val="false"/>
          <w:smallCaps w:val="false"/>
          <w:sz w:val="20"/>
        </w:rPr>
        <w:t>”), the settlement date of which exchange offer is occurring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authorized the issuance of up to $850,000,000 aggregate principal amount of 4.375% Senior Notes due 2029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to be issued in exchange for the 2029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establish the terms of the Senior Notes in accordance with Section 2.01 of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Fourth Supplemental Indenture shall modify the Indenture only with respect to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this Fourth Supplemental Indenture,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both a Change of Control and a Ratings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Fourth Supplemental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Fourth Supplemental Indenture</w:t>
      </w:r>
      <w:r>
        <w:rPr>
          <w:rFonts w:ascii="Times New Roman;Times;Serif" w:hAnsi="Times New Roman;Times;Serif"/>
          <w:b w:val="false"/>
          <w:i w:val="false"/>
          <w:caps w:val="false"/>
          <w:smallCaps w:val="false"/>
          <w:sz w:val="20"/>
        </w:rPr>
        <w:t>” means this Fourth Supplemental Indenture,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July 15, 2029 (three months prior to the Maturity Date of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Senior Note (or the 2029 Qorvo Note that has been exchanged for such Senior Note in the Qorvo Exchange Offer)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has the meaning assigned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Group,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TERMS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Senior Notes (i) are hereby established under the Indenture, (ii) shall constitute a series of Notes having the title “4.375% Senior Notes due 2029” to be issued on the date hereof in connection with the Qorvo Exchange Offer and (iii) shall be in the form attached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xml:space="preserve">. The aggregate principal amount of the Senior Notes that may be authenticated and delivered under this Fourth Supplemental Indenture shall be no greater than $850,000,000;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complies with the provisions of this Fourth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entire outstanding principal amount of the Senior Notes shall be payable on October 15,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Senior Notes shall accrue interest at a rate of 4.375% per year. Interest shall accrue on the Senior Notes from the most recent Interest Payment Date to or for which interest has been paid or duly provided for (or if no interest has been paid or duly provided for, from April 15, 2026), payable semiannually in arrears on April 15 and October 15 of each year, beginning on October 15, 2026. The Record Dates for payment of interest shall be April 1 and October 1 of each year; provided, that for October 15, 2026, interest shall be payable to Holders of record as of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The place where the principal of (and premium, if any) and interest, if any, with respect to the Senior Notes shall be payable shall be the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Senior Notes shall be redeemable at any time, and from time to time, by the Issuer pursuant to the optional redemption provisions of this Section 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Par Call Date,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15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2.6(b) shall be made pursuant to the provisions of Section 2.01(1)(v)(f) and Article X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val="false"/>
          <w:i w:val="false"/>
          <w:caps w:val="false"/>
          <w:smallCaps w:val="false"/>
          <w:sz w:val="20"/>
          <w:u w:val="single"/>
        </w:rPr>
        <w:t>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on the Senior Notes repurchased to, but not including, the date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repurchase date following a Change of Control Repurchase Event, the Issuer shall,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payment all the Senior Notes or portions of the Senior Notes properly tendered (and not withdrawn) pursuant to its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with the Paying Agent an amount equal to the aggregate purchase price in respect of all the Senior Notes or portions of the Senior Notes so accepted for 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or cause to be delivered to the Trustee the Senior Notes properly accepted, together with an Officer’s Certificate stating the aggregate principal amount of Senior Notes being purchased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Should the Issuer choose to exercise its rights under Section 3.01 or 3.02 of the Indenture, it shall no longer be obligated to make an offer to repurchase the Senior Notes following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The issue date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the Senior Notes is October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      </w:t>
      </w:r>
      <w:r>
        <w:rPr>
          <w:rFonts w:ascii="Times New Roman;Times;Serif" w:hAnsi="Times New Roman;Times;Serif"/>
          <w:b w:val="false"/>
          <w:i w:val="false"/>
          <w:caps w:val="false"/>
          <w:smallCaps w:val="false"/>
          <w:sz w:val="20"/>
          <w:u w:val="single"/>
        </w:rPr>
        <w:t>Issue Price</w:t>
      </w:r>
      <w:r>
        <w:rPr>
          <w:rFonts w:ascii="Times New Roman;Times;Serif" w:hAnsi="Times New Roman;Times;Serif"/>
          <w:b w:val="false"/>
          <w:i w:val="false"/>
          <w:caps w:val="false"/>
          <w:smallCaps w:val="false"/>
          <w:sz w:val="20"/>
        </w:rPr>
        <w:t>. The issue price of the Senior Notes is 100% of the aggregate principal amount of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Definitive and Global Notes</w:t>
      </w:r>
      <w:r>
        <w:rPr>
          <w:rFonts w:ascii="Times New Roman;Times;Serif" w:hAnsi="Times New Roman;Times;Serif"/>
          <w:b w:val="false"/>
          <w:i w:val="false"/>
          <w:caps w:val="false"/>
          <w:smallCaps w:val="false"/>
          <w:sz w:val="20"/>
        </w:rPr>
        <w:t>. The Senior Notes are issuable in whole or in part in the form of Global Notes and the Depositary for such Global Notes shall be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Denomination</w:t>
      </w:r>
      <w:r>
        <w:rPr>
          <w:rFonts w:ascii="Times New Roman;Times;Serif" w:hAnsi="Times New Roman;Times;Serif"/>
          <w:b w:val="false"/>
          <w:i w:val="false"/>
          <w:caps w:val="false"/>
          <w:smallCaps w:val="false"/>
          <w:sz w:val="20"/>
        </w:rPr>
        <w:t>. The Senior Notes shall be issued in registered form in minimum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Defeasance and Discharge of Covenants upon Deposit of Moneys, U.S. Government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Sub-clause (b) of the first paragraph of Section 3.02 of the Indenture is hereby supplemented to add after “9.07”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Section 2.7 of the Fourth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last sentence of the third to last paragraph of Section 3.02 of the Indenture is hereby supplemented to add to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the Issuer shall no longer be obligated to make an offer under Section 2.7 of the Fourth Supplemental Indenture upon the occurrence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Fourth Supplemental Indenture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75"/>
        <w:gridCol w:w="342"/>
        <w:gridCol w:w="584"/>
        <w:gridCol w:w="4313"/>
      </w:tblGrid>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13"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Carter</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Bradley E. Scarbrough</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Senior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83088MAM4</w:t>
        <w:br/>
        <w:t>ISIN No. US83088MAM47</w:t>
        <w:br/>
        <w:t>Principal Amount: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promises to pay to Cede &amp; Co., or registered assigns, the principal sum listed on the Schedule of Increases or Decreases in Global Note attached hereto on October 15,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15 and October 15, beginning on 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April 1 and October 1; provided, that for October 15, 2026, interest shall be payable to Holders of record as of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Senior Note are set forth on the other side of this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instrument to be duly executed.</w:t>
      </w:r>
    </w:p>
    <w:p>
      <w:pPr>
        <w:pStyle w:val="TextBody"/>
        <w:bidi w:val="0"/>
        <w:spacing w:before="0" w:after="0"/>
        <w:ind w:left="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961"/>
        <w:gridCol w:w="1848"/>
      </w:tblGrid>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caps w:val="false"/>
                <w:smallCaps w:val="false"/>
              </w:rPr>
            </w:pPr>
            <w:r>
              <w:rPr>
                <w:caps w:val="false"/>
                <w:smallCaps w:val="false"/>
              </w:rPr>
              <w:t> </w:t>
            </w:r>
          </w:p>
        </w:tc>
        <w:tc>
          <w:tcPr>
            <w:tcW w:w="18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caps w:val="false"/>
                <w:smallCaps w:val="false"/>
              </w:rPr>
            </w:pPr>
            <w:r>
              <w:rPr>
                <w:caps w:val="false"/>
                <w:smallCaps w:val="false"/>
              </w:rPr>
              <w:t> </w:t>
            </w:r>
          </w:p>
        </w:tc>
        <w:tc>
          <w:tcPr>
            <w:tcW w:w="18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Senior Notes referred to in the Fourth Supplemental Indenture.</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320"/>
        <w:gridCol w:w="17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SIDE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 . 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875"/>
        <w:gridCol w:w="60"/>
        <w:gridCol w:w="1295"/>
        <w:gridCol w:w="60"/>
        <w:gridCol w:w="1295"/>
        <w:gridCol w:w="60"/>
        <w:gridCol w:w="1550"/>
        <w:gridCol w:w="60"/>
        <w:gridCol w:w="1115"/>
      </w:tblGrid>
      <w:tr>
        <w:trPr/>
        <w:tc>
          <w:tcPr>
            <w:tcW w:w="8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 xml:space="preserve">decrease in </w:t>
              <w:br/>
              <w:t xml:space="preserve">Principal </w:t>
              <w:br/>
              <w:t xml:space="preserve">Amount of this </w:t>
              <w:br/>
              <w:t>Global Note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 xml:space="preserve">increase in </w:t>
              <w:br/>
              <w:t xml:space="preserve">Principal </w:t>
              <w:br/>
              <w:t xml:space="preserve">Amount of this </w:t>
              <w:br/>
              <w:t>Global Note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amount </w:t>
              <w:br/>
              <w:t>of this Global</w:t>
              <w:br/>
              <w:t>Note following</w:t>
              <w:br/>
              <w:t xml:space="preserve">such decrease or </w:t>
              <w:br/>
              <w:t>increase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w:t>
              <w:br/>
              <w:t xml:space="preserve">authorized </w:t>
              <w:br/>
              <w:t xml:space="preserve">signatory of </w:t>
              <w:br/>
              <w:t>Trustee</w:t>
            </w:r>
          </w:p>
        </w:tc>
      </w:tr>
      <w:tr>
        <w:trPr/>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Senior Notes due 2029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1859"/>
        <w:gridCol w:w="7931"/>
      </w:tblGrid>
      <w:tr>
        <w:trPr/>
        <w:tc>
          <w:tcPr>
            <w:tcW w:w="4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31" w:type="dxa"/>
            <w:tcBorders/>
            <w:vAlign w:val="center"/>
          </w:tcPr>
          <w:p>
            <w:pPr>
              <w:pStyle w:val="TableContents"/>
              <w:bidi w:val="0"/>
              <w:spacing w:before="0" w:after="283"/>
              <w:jc w:val="both"/>
              <w:rPr>
                <w:u w:val="single"/>
              </w:rPr>
            </w:pPr>
            <w:r>
              <w:rPr>
                <w:u w:val="single"/>
              </w:rPr>
              <w:t>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(such corporation, and its successors and assigns under the Indenture hereinafter referred to, being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promises to pay interest on the principal amount of this Senior Note at the rate per annum shown above. The Issuer shall pay interest semiannually on April 15 and October 15 of each year, beginning on October 15, 2026. The Record Dates for payment of interest shall be April 1 and October 1 of each year; provided, that for October 15, 2026, interest shall be payable to Holders of record as of such Interest Payment Date. Interest on this Senior Note shall accrue from the most recent date to which interest has been paid or duly provided for or, if no interest has been paid or duly provided for, from April 15, 2026 until the principal hereof is due. Interest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24" w:type="dxa"/>
            <w:tcBorders/>
            <w:vAlign w:val="center"/>
          </w:tcPr>
          <w:p>
            <w:pPr>
              <w:pStyle w:val="TableContents"/>
              <w:bidi w:val="0"/>
              <w:spacing w:before="0" w:after="283"/>
              <w:jc w:val="both"/>
              <w:rPr>
                <w:u w:val="single"/>
              </w:rPr>
            </w:pPr>
            <w:r>
              <w:rPr>
                <w:u w:val="single"/>
              </w:rPr>
              <w:t> </w:t>
            </w:r>
            <w:r>
              <w:rPr>
                <w:u w:val="single"/>
              </w:rPr>
              <w:t>Method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83"/>
              <w:jc w:val="both"/>
              <w:rPr>
                <w:u w:val="single"/>
              </w:rPr>
            </w:pPr>
            <w:r>
              <w:rPr>
                <w:u w:val="single"/>
              </w:rPr>
              <w:t>Paying Agent and Registrar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Trust Company, National Association, a national banking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act as Paying Agent and Registrar. The Issuer may act as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49" w:type="dxa"/>
            <w:tcBorders/>
            <w:vAlign w:val="center"/>
          </w:tcPr>
          <w:p>
            <w:pPr>
              <w:pStyle w:val="TableContents"/>
              <w:bidi w:val="0"/>
              <w:spacing w:before="0" w:after="283"/>
              <w:jc w:val="both"/>
              <w:rPr>
                <w:u w:val="single"/>
              </w:rPr>
            </w:pPr>
            <w:r>
              <w:rPr>
                <w:u w:val="single"/>
              </w:rPr>
              <w:t>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this Senior Note under an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the Trustee, as supplemented by the Fourth Supplemental Indenture, dated as of October 7, 2026 (the “</w:t>
      </w:r>
      <w:r>
        <w:rPr>
          <w:rFonts w:ascii="Times New Roman;Times;Serif" w:hAnsi="Times New Roman;Times;Serif"/>
          <w:b w:val="false"/>
          <w:i w:val="false"/>
          <w:caps w:val="false"/>
          <w:smallCaps w:val="false"/>
          <w:sz w:val="20"/>
          <w:u w:val="single"/>
        </w:rPr>
        <w:t>Fourth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terms of this Senior Note include those stated in the Indenture, and those made part of the Indenture by reference to the Trust Indenture Act of 1939 (15 U.S.C. §§ 77aaa-77bbbb) as in effect on the date of the Indenture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6" w:type="dxa"/>
            <w:tcBorders/>
            <w:vAlign w:val="center"/>
          </w:tcPr>
          <w:p>
            <w:pPr>
              <w:pStyle w:val="TableContents"/>
              <w:bidi w:val="0"/>
              <w:spacing w:before="0" w:after="283"/>
              <w:jc w:val="both"/>
              <w:rPr>
                <w:u w:val="single"/>
              </w:rPr>
            </w:pPr>
            <w:r>
              <w:rPr>
                <w:u w:val="single"/>
              </w:rPr>
              <w:t>Optional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July 15, 2029 (three months prior to the Maturity Date of this Senior Note) (the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15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821" w:type="dxa"/>
            <w:tcBorders/>
            <w:vAlign w:val="center"/>
          </w:tcPr>
          <w:p>
            <w:pPr>
              <w:pStyle w:val="TableContents"/>
              <w:bidi w:val="0"/>
              <w:spacing w:before="0" w:after="283"/>
              <w:jc w:val="both"/>
              <w:rPr>
                <w:u w:val="single"/>
              </w:rPr>
            </w:pPr>
            <w:r>
              <w:rPr>
                <w:u w:val="single"/>
              </w:rPr>
              <w:t>Sinking Fund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not subject to any sinking fund.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740"/>
        <w:gridCol w:w="9300"/>
      </w:tblGrid>
      <w:tr>
        <w:trPr/>
        <w:tc>
          <w:tcPr>
            <w:tcW w:w="1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300"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this Senior Note pursuant to Section 5 hereof, notice of redemption shall be given by the Issuer or, at the Issuer’s request, by the Trustee in the name and at the expense of the Issuer to the Holders;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7" w:type="dxa"/>
            <w:tcBorders/>
            <w:vAlign w:val="center"/>
          </w:tcPr>
          <w:p>
            <w:pPr>
              <w:pStyle w:val="TableContents"/>
              <w:bidi w:val="0"/>
              <w:spacing w:before="0" w:after="283"/>
              <w:jc w:val="both"/>
              <w:rPr>
                <w:u w:val="single"/>
              </w:rPr>
            </w:pPr>
            <w:r>
              <w:rPr>
                <w:u w:val="single"/>
              </w:rPr>
              <w:t>Repurchase of this Senior Note at the Option of Holders upon Change of Control Repurchase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4"/>
        <w:gridCol w:w="9626"/>
      </w:tblGrid>
      <w:tr>
        <w:trPr/>
        <w:tc>
          <w:tcPr>
            <w:tcW w:w="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626" w:type="dxa"/>
            <w:tcBorders/>
            <w:vAlign w:val="center"/>
          </w:tcPr>
          <w:p>
            <w:pPr>
              <w:pStyle w:val="TableContents"/>
              <w:bidi w:val="0"/>
              <w:spacing w:before="0" w:after="283"/>
              <w:jc w:val="both"/>
              <w:rPr>
                <w:u w:val="single"/>
              </w:rPr>
            </w:pPr>
            <w:r>
              <w:rPr>
                <w:u w:val="single"/>
              </w:rPr>
              <w:t>Denominations; Transfer;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43" w:type="dxa"/>
            <w:tcBorders/>
            <w:vAlign w:val="center"/>
          </w:tcPr>
          <w:p>
            <w:pPr>
              <w:pStyle w:val="TableContents"/>
              <w:bidi w:val="0"/>
              <w:spacing w:before="0" w:after="283"/>
              <w:jc w:val="both"/>
              <w:rPr>
                <w:u w:val="single"/>
              </w:rPr>
            </w:pPr>
            <w:r>
              <w:rPr>
                <w:u w:val="single"/>
              </w:rPr>
              <w:t>Persons Deemed 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registered Holder of this Senior Note may be treated as the owner of it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698" w:type="dxa"/>
            <w:tcBorders/>
            <w:vAlign w:val="center"/>
          </w:tcPr>
          <w:p>
            <w:pPr>
              <w:pStyle w:val="TableContents"/>
              <w:bidi w:val="0"/>
              <w:spacing w:before="0" w:after="283"/>
              <w:jc w:val="both"/>
              <w:rPr>
                <w:u w:val="single"/>
              </w:rPr>
            </w:pPr>
            <w:r>
              <w:rPr>
                <w:u w:val="single"/>
              </w:rPr>
              <w:t>Unclaimed Money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92" w:type="dxa"/>
            <w:tcBorders/>
            <w:vAlign w:val="center"/>
          </w:tcPr>
          <w:p>
            <w:pPr>
              <w:pStyle w:val="TableContents"/>
              <w:bidi w:val="0"/>
              <w:spacing w:before="0" w:after="283"/>
              <w:jc w:val="both"/>
              <w:rPr>
                <w:u w:val="single"/>
              </w:rPr>
            </w:pPr>
            <w:r>
              <w:rPr>
                <w:u w:val="single"/>
              </w:rPr>
              <w:t>Discharge and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but not including, the Maturity Date or Redemption Date, as the case may be.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05"/>
        <w:gridCol w:w="8834"/>
      </w:tblGrid>
      <w:tr>
        <w:trPr/>
        <w:tc>
          <w:tcPr>
            <w:tcW w:w="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834" w:type="dxa"/>
            <w:tcBorders/>
            <w:vAlign w:val="center"/>
          </w:tcPr>
          <w:p>
            <w:pPr>
              <w:pStyle w:val="TableContents"/>
              <w:bidi w:val="0"/>
              <w:spacing w:before="0" w:after="283"/>
              <w:jc w:val="both"/>
              <w:rPr>
                <w:u w:val="single"/>
              </w:rPr>
            </w:pPr>
            <w:r>
              <w:rPr>
                <w:u w:val="single"/>
              </w:rPr>
              <w:t>Amendment,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the Skyworks Notes” in the prospectus, dated May 20, 2026, as amended, relating to the Senior Notes; and (xii) to reflect the issuance of additional Notes as permitted by Section 2.01 and Section 2.02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06"/>
        <w:gridCol w:w="8947"/>
      </w:tblGrid>
      <w:tr>
        <w:trPr/>
        <w:tc>
          <w:tcPr>
            <w:tcW w:w="15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947" w:type="dxa"/>
            <w:tcBorders/>
            <w:vAlign w:val="center"/>
          </w:tcPr>
          <w:p>
            <w:pPr>
              <w:pStyle w:val="TableContents"/>
              <w:bidi w:val="0"/>
              <w:spacing w:before="0" w:after="283"/>
              <w:jc w:val="both"/>
              <w:rPr>
                <w:u w:val="single"/>
              </w:rPr>
            </w:pPr>
            <w:r>
              <w:rPr>
                <w:u w:val="single"/>
              </w:rPr>
              <w:t>Defaults and 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certain events of bankruptcy, insolvency or reorganization of the Issuer occurs, then the principal amount of all the Senior Notes then Outstanding and interest accrued thereon, if any, will become and be immediately due and payable without any declaration or other act on the part of the Trustee or the Holders of the Senior Notes,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Holders of a majority in aggregate principal amount of the Outstanding Senior Notes may rescind and annul any such acceleration with respect to the Senior Notes and its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27"/>
        <w:gridCol w:w="9264"/>
      </w:tblGrid>
      <w:tr>
        <w:trPr/>
        <w:tc>
          <w:tcPr>
            <w:tcW w:w="1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264" w:type="dxa"/>
            <w:tcBorders/>
            <w:vAlign w:val="center"/>
          </w:tcPr>
          <w:p>
            <w:pPr>
              <w:pStyle w:val="TableContents"/>
              <w:bidi w:val="0"/>
              <w:spacing w:before="0" w:after="283"/>
              <w:jc w:val="both"/>
              <w:rPr>
                <w:u w:val="single"/>
              </w:rPr>
            </w:pPr>
            <w:r>
              <w:rPr>
                <w:u w:val="single"/>
              </w:rPr>
              <w:t>Trustee Dealings with the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10"/>
        <w:gridCol w:w="8373"/>
      </w:tblGrid>
      <w:tr>
        <w:trPr/>
        <w:tc>
          <w:tcPr>
            <w:tcW w:w="22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373" w:type="dxa"/>
            <w:tcBorders/>
            <w:vAlign w:val="center"/>
          </w:tcPr>
          <w:p>
            <w:pPr>
              <w:pStyle w:val="TableContents"/>
              <w:bidi w:val="0"/>
              <w:spacing w:before="0" w:after="283"/>
              <w:jc w:val="both"/>
              <w:rPr>
                <w:u w:val="single"/>
              </w:rPr>
            </w:pPr>
            <w:r>
              <w:rPr>
                <w:u w:val="single"/>
              </w:rPr>
              <w:t>Authentication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shall not be valid until an authorized signatory of the Trustee (or an authenticating agent) manually signs the certificate of authentication on the other side of this Senior Note.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491" w:type="dxa"/>
            <w:tcBorders/>
            <w:vAlign w:val="center"/>
          </w:tcPr>
          <w:p>
            <w:pPr>
              <w:pStyle w:val="TableContents"/>
              <w:bidi w:val="0"/>
              <w:spacing w:before="0" w:after="283"/>
              <w:jc w:val="both"/>
              <w:rPr>
                <w:u w:val="single"/>
              </w:rPr>
            </w:pPr>
            <w:r>
              <w:rPr>
                <w:u w:val="single"/>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SENIOR NOTE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69"/>
        <w:gridCol w:w="9103"/>
      </w:tblGrid>
      <w:tr>
        <w:trPr/>
        <w:tc>
          <w:tcPr>
            <w:tcW w:w="13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103" w:type="dxa"/>
            <w:tcBorders/>
            <w:vAlign w:val="center"/>
          </w:tcPr>
          <w:p>
            <w:pPr>
              <w:pStyle w:val="TableContents"/>
              <w:bidi w:val="0"/>
              <w:spacing w:before="0" w:after="283"/>
              <w:jc w:val="both"/>
              <w:rPr>
                <w:u w:val="single"/>
              </w:rPr>
            </w:pPr>
            <w:r>
              <w:rPr>
                <w:u w:val="single"/>
              </w:rPr>
              <w:t>CUSIP and ISIN Numbers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shall furnish to any Holder of this Senior Note upon written request and without charge to the Holder a copy of the Indenture which has in it the text of this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4" w:name="tm2626934d2_ex4-3.htm"/>
      <w:bookmarkStart w:id="25" w:name="kstm2626934d2_ex43"/>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3.375%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0" w:type="dxa"/>
          <w:right w:w="0" w:type="dxa"/>
        </w:tblCellMar>
      </w:tblPr>
      <w:tblGrid>
        <w:gridCol w:w="1055"/>
        <w:gridCol w:w="7790"/>
        <w:gridCol w:w="140"/>
      </w:tblGrid>
      <w:tr>
        <w:trPr/>
        <w:tc>
          <w:tcPr>
            <w:tcW w:w="88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 DEFINITIONS</w:t>
            </w:r>
          </w:p>
        </w:tc>
        <w:tc>
          <w:tcPr>
            <w:tcW w:w="14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884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 </w:t>
            </w:r>
          </w:p>
        </w:tc>
      </w:tr>
      <w:tr>
        <w:trPr/>
        <w:tc>
          <w:tcPr>
            <w:tcW w:w="88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 TERMS OF THE NOTES</w:t>
            </w:r>
          </w:p>
        </w:tc>
        <w:tc>
          <w:tcPr>
            <w:tcW w:w="140"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Principal Amount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of Payment</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Control Repurchase</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Date</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Price</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and Global Notes</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Defeasance and Discharge of Covenants upon Deposit of Moneys, U.S. Government Obligations</w:t>
            </w:r>
          </w:p>
        </w:tc>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FIFTH SUPPLEMENTAL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seventh day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executed and delivered an Indenture dated as of August 10,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Issuer from time to time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herein, not otherwise defined, shall have the same meanings given them in the Indenture, as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consummated the transactions under that certain Agreement and Plan of Merger, dated as of October 27, 2025, by and among the Issuer, Comet Acquisition Corp., a Delaware corporation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Comet Acquisition II, LLC, a Delaware limited liability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Qorvo, Inc., a Delaware corporation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pursuant to which, upon the terms and subject to the conditions set forth therein,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as the surviving entity in the First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a wholly owned subsidiary of the Issuer, and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Mergers, the Issuer hereby establishes under the Indenture a new series of debt securities, to be issued in exchange for 3.375% Senior Notes due 2031 of Qorvo (the “</w:t>
      </w:r>
      <w:r>
        <w:rPr>
          <w:rFonts w:ascii="Times New Roman;Times;Serif" w:hAnsi="Times New Roman;Times;Serif"/>
          <w:b w:val="false"/>
          <w:i w:val="false"/>
          <w:caps w:val="false"/>
          <w:smallCaps w:val="false"/>
          <w:sz w:val="20"/>
          <w:u w:val="single"/>
        </w:rPr>
        <w:t>2031 Qorvo Notes</w:t>
      </w:r>
      <w:r>
        <w:rPr>
          <w:rFonts w:ascii="Times New Roman;Times;Serif" w:hAnsi="Times New Roman;Times;Serif"/>
          <w:b w:val="false"/>
          <w:i w:val="false"/>
          <w:caps w:val="false"/>
          <w:smallCaps w:val="false"/>
          <w:sz w:val="20"/>
        </w:rPr>
        <w:t>”), pursuant to an exchange offer conducted pursuant to a prospectus, dated May 20, 2026 (the “</w:t>
      </w:r>
      <w:r>
        <w:rPr>
          <w:rFonts w:ascii="Times New Roman;Times;Serif" w:hAnsi="Times New Roman;Times;Serif"/>
          <w:b w:val="false"/>
          <w:i w:val="false"/>
          <w:caps w:val="false"/>
          <w:smallCaps w:val="false"/>
          <w:sz w:val="20"/>
          <w:u w:val="single"/>
        </w:rPr>
        <w:t>Qorvo Exchange Offer</w:t>
      </w:r>
      <w:r>
        <w:rPr>
          <w:rFonts w:ascii="Times New Roman;Times;Serif" w:hAnsi="Times New Roman;Times;Serif"/>
          <w:b w:val="false"/>
          <w:i w:val="false"/>
          <w:caps w:val="false"/>
          <w:smallCaps w:val="false"/>
          <w:sz w:val="20"/>
        </w:rPr>
        <w:t>”), the settlement date of which exchange offer is occurring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authorized the issuance of up to $700,000,000 aggregate principal amount of 3.375% Senior Notes due 2031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to be issued in exchange for the 2031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establish the terms of the Senior Notes in accordance with Section 2.01 of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Fifth Supplemental Indenture shall modify the Indenture only with respect to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this Fifth Supplemental Indenture,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both a Change of Control and a Ratings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Fifth Supplemental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Fifth Supplemental Indenture</w:t>
      </w:r>
      <w:r>
        <w:rPr>
          <w:rFonts w:ascii="Times New Roman;Times;Serif" w:hAnsi="Times New Roman;Times;Serif"/>
          <w:b w:val="false"/>
          <w:i w:val="false"/>
          <w:caps w:val="false"/>
          <w:smallCaps w:val="false"/>
          <w:sz w:val="20"/>
        </w:rPr>
        <w:t>” means this Fifth Supplemental Indenture,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January 1, 2031 (three months prior to the Maturity Date of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Senior Note (or the 2031 Qorvo Note that has been exchanged for such Senior Note in the Qorvo Exchange Offer)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has the meaning assigned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Group,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TERMS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Senior Notes (i) are hereby established under the Indenture, (ii) shall constitute a series of Notes having the title “3.375% Senior Notes due 2031” to be issued on the date hereof in connection with the Qorvo Exchange Offer and (iii) shall be in the form attached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xml:space="preserve">. The aggregate principal amount of the Senior Notes that may be authenticated and delivered under this Fifth Supplemental Indenture shall be no greater than $700,000,000;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complies with the provisions of this Fifth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entire outstanding principal amount of the Senior Notes shall be payable on April 1,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Senior Notes shall accrue interest at a rate of 3.375% per year. Interest shall accrue on the Senior Notes from the most recent Interest Payment Date to or for which interest has been paid or duly provided for (or if no interest has been paid or duly provided for, from October 1, 2026), payable semiannually in arrears on April 1 and October 1 of each year, beginning on April 1, 2027. The Record Dates for payment of interest shall be March 15 and September 15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The place where the principal of (and premium, if any) and interest, if any, with respect to the Senior Notes shall be payable shall be the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Senior Notes shall be redeemable at any time, and from time to time, by the Issuer pursuant to the optional redemption provisions of this Section 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Par Call Date,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20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2.6(b) shall be made pursuant to the provisions of Section 2.01(1)(v)(f) and Article X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val="false"/>
          <w:i w:val="false"/>
          <w:caps w:val="false"/>
          <w:smallCaps w:val="false"/>
          <w:sz w:val="20"/>
          <w:u w:val="single"/>
        </w:rPr>
        <w:t>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on the Senior Notes repurchased to, but not including, the date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repurchase date following a Change of Control Repurchase Event, the Issuer shall,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for payment all the Senior Notes or portions of the Senior Notes properly tendered (and not withdrawn) pursuant to its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with the Paying Agent an amount equal to the aggregate purchase price in respect of all the Senior Notes or portions of the Senior Notes so accepted for 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or cause to be delivered to the Trustee the Senior Notes properly accepted, together with an Officer’s Certificate stating the aggregate principal amount of Senior Notes being purchased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Should the Issuer choose to exercise its rights under Section 3.01 or 3.02 of the Indenture, it shall no longer be obligated to make an offer to repurchase the Senior Notes following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The issue date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the Senior Notes is October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          </w:t>
      </w:r>
      <w:r>
        <w:rPr>
          <w:rFonts w:ascii="Times New Roman;Times;Serif" w:hAnsi="Times New Roman;Times;Serif"/>
          <w:b w:val="false"/>
          <w:i w:val="false"/>
          <w:caps w:val="false"/>
          <w:smallCaps w:val="false"/>
          <w:sz w:val="20"/>
          <w:u w:val="single"/>
        </w:rPr>
        <w:t>Issue Price</w:t>
      </w:r>
      <w:r>
        <w:rPr>
          <w:rFonts w:ascii="Times New Roman;Times;Serif" w:hAnsi="Times New Roman;Times;Serif"/>
          <w:b w:val="false"/>
          <w:i w:val="false"/>
          <w:caps w:val="false"/>
          <w:smallCaps w:val="false"/>
          <w:sz w:val="20"/>
        </w:rPr>
        <w:t>. The issue price of the Senior Notes is 100% of the aggregate principal amount of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Definitive and Global Notes</w:t>
      </w:r>
      <w:r>
        <w:rPr>
          <w:rFonts w:ascii="Times New Roman;Times;Serif" w:hAnsi="Times New Roman;Times;Serif"/>
          <w:b w:val="false"/>
          <w:i w:val="false"/>
          <w:caps w:val="false"/>
          <w:smallCaps w:val="false"/>
          <w:sz w:val="20"/>
        </w:rPr>
        <w:t>. The Senior Notes are issuable in whole or in part in the form of Global Notes and the Depositary for such Global Notes shall be The Depository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Denomination</w:t>
      </w:r>
      <w:r>
        <w:rPr>
          <w:rFonts w:ascii="Times New Roman;Times;Serif" w:hAnsi="Times New Roman;Times;Serif"/>
          <w:b w:val="false"/>
          <w:i w:val="false"/>
          <w:caps w:val="false"/>
          <w:smallCaps w:val="false"/>
          <w:sz w:val="20"/>
        </w:rPr>
        <w:t>. The Senior Notes shall be issued in registered form in minimum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Defeasance and Discharge of Covenants upon Deposit of Moneys, U.S. Government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Sub-clause (b) of the first paragraph of Section 3.02 of the Indenture is hereby supplemented to add after “9.07”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Section 2.7 of the Fifth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last sentence of the third to last paragraph of Section 3.02 of the Indenture is hereby supplemented to add to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the Issuer shall no longer be obligated to make an offer under Section 2.7 of the Fifth Supplemental Indenture upon the occurrence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Fifth Supplemental Indenture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75"/>
        <w:gridCol w:w="342"/>
        <w:gridCol w:w="584"/>
        <w:gridCol w:w="4313"/>
      </w:tblGrid>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13"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Carter</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Bradley E. Scarbrough</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 Senior Note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83088MAN2</w:t>
        <w:br/>
        <w:t>ISIN No. US83088MAN20</w:t>
        <w:br/>
        <w:t>Principal Amount: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promises to pay to Cede &amp; Co., or registered assigns, the principal sum listed on the Schedule of Increases or Decreases in Global Note attached hereto on April 1,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 and October 1, beginning on April 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March 15 and September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Senior Note are set forth on the other side of this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instrument to be duly executed.</w:t>
      </w:r>
    </w:p>
    <w:p>
      <w:pPr>
        <w:pStyle w:val="TextBody"/>
        <w:bidi w:val="0"/>
        <w:spacing w:before="0" w:after="0"/>
        <w:ind w:left="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961"/>
        <w:gridCol w:w="1848"/>
      </w:tblGrid>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caps w:val="false"/>
                <w:smallCaps w:val="false"/>
              </w:rPr>
            </w:pPr>
            <w:r>
              <w:rPr>
                <w:caps w:val="false"/>
                <w:smallCaps w:val="false"/>
              </w:rPr>
              <w:t> </w:t>
            </w:r>
          </w:p>
        </w:tc>
        <w:tc>
          <w:tcPr>
            <w:tcW w:w="18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caps w:val="false"/>
                <w:smallCaps w:val="false"/>
              </w:rPr>
            </w:pPr>
            <w:r>
              <w:rPr>
                <w:caps w:val="false"/>
                <w:smallCaps w:val="false"/>
              </w:rPr>
              <w:t> </w:t>
            </w:r>
          </w:p>
        </w:tc>
        <w:tc>
          <w:tcPr>
            <w:tcW w:w="18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Senior Notes referred to in the Fifth Supplemental Indenture.</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320"/>
        <w:gridCol w:w="17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SIDE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 . 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875"/>
        <w:gridCol w:w="60"/>
        <w:gridCol w:w="1295"/>
        <w:gridCol w:w="60"/>
        <w:gridCol w:w="1295"/>
        <w:gridCol w:w="60"/>
        <w:gridCol w:w="1550"/>
        <w:gridCol w:w="60"/>
        <w:gridCol w:w="1115"/>
      </w:tblGrid>
      <w:tr>
        <w:trPr/>
        <w:tc>
          <w:tcPr>
            <w:tcW w:w="8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 xml:space="preserve">decrease in </w:t>
              <w:br/>
              <w:t xml:space="preserve">Principal </w:t>
              <w:br/>
              <w:t xml:space="preserve">Amount of this </w:t>
              <w:br/>
              <w:t>Global Note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 xml:space="preserve">increase in </w:t>
              <w:br/>
              <w:t xml:space="preserve">Principal </w:t>
              <w:br/>
              <w:t xml:space="preserve">Amount of this </w:t>
              <w:br/>
              <w:t>Global Note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amount </w:t>
              <w:br/>
              <w:t>of this Global</w:t>
              <w:br/>
              <w:t>Note following</w:t>
              <w:br/>
              <w:t xml:space="preserve">such decrease or </w:t>
              <w:br/>
              <w:t>increase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w:t>
              <w:br/>
              <w:t xml:space="preserve">authorized </w:t>
              <w:br/>
              <w:t xml:space="preserve">signatory of </w:t>
              <w:br/>
              <w:t>Trustee</w:t>
            </w:r>
          </w:p>
        </w:tc>
      </w:tr>
      <w:tr>
        <w:trPr/>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 Senior Notes due 2031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1859"/>
        <w:gridCol w:w="7931"/>
      </w:tblGrid>
      <w:tr>
        <w:trPr/>
        <w:tc>
          <w:tcPr>
            <w:tcW w:w="4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31" w:type="dxa"/>
            <w:tcBorders/>
            <w:vAlign w:val="center"/>
          </w:tcPr>
          <w:p>
            <w:pPr>
              <w:pStyle w:val="TableContents"/>
              <w:bidi w:val="0"/>
              <w:spacing w:before="0" w:after="283"/>
              <w:jc w:val="both"/>
              <w:rPr>
                <w:u w:val="single"/>
              </w:rPr>
            </w:pPr>
            <w:r>
              <w:rPr>
                <w:u w:val="single"/>
              </w:rPr>
              <w:t>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(such corporation, and its successors and assigns under the Indenture hereinafter referred to, being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promises to pay interest on the principal amount of this Senior Note at the rate per annum shown above. The Issuer shall pay interest semiannually on April 1 and October 1 of each year, beginning on April 1, 2027. The Record Dates for payment of interest shall be March 15 and September 15 of each year. Interest on this Senior Note shall accrue from the most recent date to which interest has been paid or duly provided for or, if no interest has been paid or duly provided for, from October 1, 2026 until the principal hereof is due. Interest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24" w:type="dxa"/>
            <w:tcBorders/>
            <w:vAlign w:val="center"/>
          </w:tcPr>
          <w:p>
            <w:pPr>
              <w:pStyle w:val="TableContents"/>
              <w:bidi w:val="0"/>
              <w:spacing w:before="0" w:after="283"/>
              <w:jc w:val="both"/>
              <w:rPr>
                <w:u w:val="single"/>
              </w:rPr>
            </w:pPr>
            <w:r>
              <w:rPr>
                <w:u w:val="single"/>
              </w:rPr>
              <w:t> </w:t>
            </w:r>
            <w:r>
              <w:rPr>
                <w:u w:val="single"/>
              </w:rPr>
              <w:t>Method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83"/>
              <w:jc w:val="both"/>
              <w:rPr>
                <w:u w:val="single"/>
              </w:rPr>
            </w:pPr>
            <w:r>
              <w:rPr>
                <w:u w:val="single"/>
              </w:rPr>
              <w:t>Paying Agent and Registrar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Trust Company, National Association, a national banking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act as Paying Agent and Registrar. The Issuer may act as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49" w:type="dxa"/>
            <w:tcBorders/>
            <w:vAlign w:val="center"/>
          </w:tcPr>
          <w:p>
            <w:pPr>
              <w:pStyle w:val="TableContents"/>
              <w:bidi w:val="0"/>
              <w:spacing w:before="0" w:after="283"/>
              <w:jc w:val="both"/>
              <w:rPr>
                <w:u w:val="single"/>
              </w:rPr>
            </w:pPr>
            <w:r>
              <w:rPr>
                <w:u w:val="single"/>
              </w:rPr>
              <w:t>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this Senior Note under an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the Trustee, as supplemented by the Fifth Supplemental Indenture, dated as of October 7, 2026 (the “</w:t>
      </w:r>
      <w:r>
        <w:rPr>
          <w:rFonts w:ascii="Times New Roman;Times;Serif" w:hAnsi="Times New Roman;Times;Serif"/>
          <w:b w:val="false"/>
          <w:i w:val="false"/>
          <w:caps w:val="false"/>
          <w:smallCaps w:val="false"/>
          <w:sz w:val="20"/>
          <w:u w:val="single"/>
        </w:rPr>
        <w:t>Fifth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terms of this Senior Note include those stated in the Indenture, and those made part of the Indenture by reference to the Trust Indenture Act of 1939 (15 U.S.C. §§ 77aaa-77bbbb) as in effect on the date of the Indenture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6" w:type="dxa"/>
            <w:tcBorders/>
            <w:vAlign w:val="center"/>
          </w:tcPr>
          <w:p>
            <w:pPr>
              <w:pStyle w:val="TableContents"/>
              <w:bidi w:val="0"/>
              <w:spacing w:before="0" w:after="283"/>
              <w:jc w:val="both"/>
              <w:rPr>
                <w:u w:val="single"/>
              </w:rPr>
            </w:pPr>
            <w:r>
              <w:rPr>
                <w:u w:val="single"/>
              </w:rPr>
              <w:t>Optional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1, 2031 (three months prior to the Maturity Date of this Senior Note) (the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20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821" w:type="dxa"/>
            <w:tcBorders/>
            <w:vAlign w:val="center"/>
          </w:tcPr>
          <w:p>
            <w:pPr>
              <w:pStyle w:val="TableContents"/>
              <w:bidi w:val="0"/>
              <w:spacing w:before="0" w:after="283"/>
              <w:jc w:val="both"/>
              <w:rPr>
                <w:u w:val="single"/>
              </w:rPr>
            </w:pPr>
            <w:r>
              <w:rPr>
                <w:u w:val="single"/>
              </w:rPr>
              <w:t>Sinking Fund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not subject to any sinking fund.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740"/>
        <w:gridCol w:w="9300"/>
      </w:tblGrid>
      <w:tr>
        <w:trPr/>
        <w:tc>
          <w:tcPr>
            <w:tcW w:w="1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300"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this Senior Note pursuant to Section 5 hereof, notice of redemption shall be given by the Issuer or, at the Issuer’s request, by the Trustee in the name and at the expense of the Issuer to the Holders;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7" w:type="dxa"/>
            <w:tcBorders/>
            <w:vAlign w:val="center"/>
          </w:tcPr>
          <w:p>
            <w:pPr>
              <w:pStyle w:val="TableContents"/>
              <w:bidi w:val="0"/>
              <w:spacing w:before="0" w:after="283"/>
              <w:jc w:val="both"/>
              <w:rPr>
                <w:u w:val="single"/>
              </w:rPr>
            </w:pPr>
            <w:r>
              <w:rPr>
                <w:u w:val="single"/>
              </w:rPr>
              <w:t>Repurchase of this Senior Note at the Option of Holders upon Change of Control Repurchase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4"/>
        <w:gridCol w:w="9626"/>
      </w:tblGrid>
      <w:tr>
        <w:trPr/>
        <w:tc>
          <w:tcPr>
            <w:tcW w:w="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626" w:type="dxa"/>
            <w:tcBorders/>
            <w:vAlign w:val="center"/>
          </w:tcPr>
          <w:p>
            <w:pPr>
              <w:pStyle w:val="TableContents"/>
              <w:bidi w:val="0"/>
              <w:spacing w:before="0" w:after="283"/>
              <w:jc w:val="both"/>
              <w:rPr>
                <w:u w:val="single"/>
              </w:rPr>
            </w:pPr>
            <w:r>
              <w:rPr>
                <w:u w:val="single"/>
              </w:rPr>
              <w:t>Denominations; Transfer;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43" w:type="dxa"/>
            <w:tcBorders/>
            <w:vAlign w:val="center"/>
          </w:tcPr>
          <w:p>
            <w:pPr>
              <w:pStyle w:val="TableContents"/>
              <w:bidi w:val="0"/>
              <w:spacing w:before="0" w:after="283"/>
              <w:jc w:val="both"/>
              <w:rPr>
                <w:u w:val="single"/>
              </w:rPr>
            </w:pPr>
            <w:r>
              <w:rPr>
                <w:u w:val="single"/>
              </w:rPr>
              <w:t>Persons Deemed 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registered Holder of this Senior Note may be treated as the owner of it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698" w:type="dxa"/>
            <w:tcBorders/>
            <w:vAlign w:val="center"/>
          </w:tcPr>
          <w:p>
            <w:pPr>
              <w:pStyle w:val="TableContents"/>
              <w:bidi w:val="0"/>
              <w:spacing w:before="0" w:after="283"/>
              <w:jc w:val="both"/>
              <w:rPr>
                <w:u w:val="single"/>
              </w:rPr>
            </w:pPr>
            <w:r>
              <w:rPr>
                <w:u w:val="single"/>
              </w:rPr>
              <w:t>Unclaimed Money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92" w:type="dxa"/>
            <w:tcBorders/>
            <w:vAlign w:val="center"/>
          </w:tcPr>
          <w:p>
            <w:pPr>
              <w:pStyle w:val="TableContents"/>
              <w:bidi w:val="0"/>
              <w:spacing w:before="0" w:after="283"/>
              <w:jc w:val="both"/>
              <w:rPr>
                <w:u w:val="single"/>
              </w:rPr>
            </w:pPr>
            <w:r>
              <w:rPr>
                <w:u w:val="single"/>
              </w:rPr>
              <w:t>Discharge and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but not including, the Maturity Date or Redemption Date, as the case may be.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05"/>
        <w:gridCol w:w="8834"/>
      </w:tblGrid>
      <w:tr>
        <w:trPr/>
        <w:tc>
          <w:tcPr>
            <w:tcW w:w="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834" w:type="dxa"/>
            <w:tcBorders/>
            <w:vAlign w:val="center"/>
          </w:tcPr>
          <w:p>
            <w:pPr>
              <w:pStyle w:val="TableContents"/>
              <w:bidi w:val="0"/>
              <w:spacing w:before="0" w:after="283"/>
              <w:jc w:val="both"/>
              <w:rPr>
                <w:u w:val="single"/>
              </w:rPr>
            </w:pPr>
            <w:r>
              <w:rPr>
                <w:u w:val="single"/>
              </w:rPr>
              <w:t>Amendment,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the Skyworks Notes” in the prospectus, dated May 20, 2026, as amended, relating to the Senior Notes; and (xii) to reflect the issuance of additional Notes as permitted by Section 2.01 and Section 2.02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06"/>
        <w:gridCol w:w="8947"/>
      </w:tblGrid>
      <w:tr>
        <w:trPr/>
        <w:tc>
          <w:tcPr>
            <w:tcW w:w="15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947" w:type="dxa"/>
            <w:tcBorders/>
            <w:vAlign w:val="center"/>
          </w:tcPr>
          <w:p>
            <w:pPr>
              <w:pStyle w:val="TableContents"/>
              <w:bidi w:val="0"/>
              <w:spacing w:before="0" w:after="283"/>
              <w:jc w:val="both"/>
              <w:rPr>
                <w:u w:val="single"/>
              </w:rPr>
            </w:pPr>
            <w:r>
              <w:rPr>
                <w:u w:val="single"/>
              </w:rPr>
              <w:t>Defaults and 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certain events of bankruptcy, insolvency or reorganization of the Issuer occurs, then the principal amount of all the Senior Notes then Outstanding and interest accrued thereon, if any, will become and be immediately due and payable without any declaration or other act on the part of the Trustee or the Holders of the Senior Notes,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Holders of a majority in aggregate principal amount of the Outstanding Senior Notes may rescind and annul any such acceleration with respect to the Senior Notes and its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27"/>
        <w:gridCol w:w="9264"/>
      </w:tblGrid>
      <w:tr>
        <w:trPr/>
        <w:tc>
          <w:tcPr>
            <w:tcW w:w="1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264" w:type="dxa"/>
            <w:tcBorders/>
            <w:vAlign w:val="center"/>
          </w:tcPr>
          <w:p>
            <w:pPr>
              <w:pStyle w:val="TableContents"/>
              <w:bidi w:val="0"/>
              <w:spacing w:before="0" w:after="283"/>
              <w:jc w:val="both"/>
              <w:rPr>
                <w:u w:val="single"/>
              </w:rPr>
            </w:pPr>
            <w:r>
              <w:rPr>
                <w:u w:val="single"/>
              </w:rPr>
              <w:t>Trustee Dealings with the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10"/>
        <w:gridCol w:w="8373"/>
      </w:tblGrid>
      <w:tr>
        <w:trPr/>
        <w:tc>
          <w:tcPr>
            <w:tcW w:w="22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373" w:type="dxa"/>
            <w:tcBorders/>
            <w:vAlign w:val="center"/>
          </w:tcPr>
          <w:p>
            <w:pPr>
              <w:pStyle w:val="TableContents"/>
              <w:bidi w:val="0"/>
              <w:spacing w:before="0" w:after="283"/>
              <w:jc w:val="both"/>
              <w:rPr>
                <w:u w:val="single"/>
              </w:rPr>
            </w:pPr>
            <w:r>
              <w:rPr>
                <w:u w:val="single"/>
              </w:rPr>
              <w:t>Authentication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shall not be valid until an authorized signatory of the Trustee (or an authenticating agent) manually signs the certificate of authentication on the other side of this Senior Note.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491" w:type="dxa"/>
            <w:tcBorders/>
            <w:vAlign w:val="center"/>
          </w:tcPr>
          <w:p>
            <w:pPr>
              <w:pStyle w:val="TableContents"/>
              <w:bidi w:val="0"/>
              <w:spacing w:before="0" w:after="283"/>
              <w:jc w:val="both"/>
              <w:rPr>
                <w:u w:val="single"/>
              </w:rPr>
            </w:pPr>
            <w:r>
              <w:rPr>
                <w:u w:val="single"/>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SENIOR NOTE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69"/>
        <w:gridCol w:w="9103"/>
      </w:tblGrid>
      <w:tr>
        <w:trPr/>
        <w:tc>
          <w:tcPr>
            <w:tcW w:w="13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103" w:type="dxa"/>
            <w:tcBorders/>
            <w:vAlign w:val="center"/>
          </w:tcPr>
          <w:p>
            <w:pPr>
              <w:pStyle w:val="TableContents"/>
              <w:bidi w:val="0"/>
              <w:spacing w:before="0" w:after="283"/>
              <w:jc w:val="both"/>
              <w:rPr>
                <w:u w:val="single"/>
              </w:rPr>
            </w:pPr>
            <w:r>
              <w:rPr>
                <w:u w:val="single"/>
              </w:rPr>
              <w:t>CUSIP and ISIN Numbers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shall furnish to any Holder of this Senior Note upon written request and without charge to the Holder a copy of the Indenture which has in it the text of this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14566</Words>
  <Characters>72391</Characters>
  <CharactersWithSpaces>87529</CharactersWithSpaces>
  <Paragraphs>1229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