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286385</wp:posOffset>
            </wp:positionH>
            <wp:positionV relativeFrom="page">
              <wp:posOffset>243205</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-157480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4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27, 2019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__________to__________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20" w:type="dxa"/>
            <w:vAlign w:val="bottom"/>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spacing w:after="0"/>
              <w:rPr>
                <w:sz w:val="20"/>
                <w:szCs w:val="20"/>
                <w:color w:val="auto"/>
              </w:rPr>
            </w:pPr>
          </w:p>
        </w:tc>
        <w:tc>
          <w:tcPr>
            <w:tcW w:w="3500" w:type="dxa"/>
            <w:vAlign w:val="bottom"/>
          </w:tcPr>
          <w:p>
            <w:pPr>
              <w:jc w:val="center"/>
              <w:ind w:right="479"/>
              <w:spacing w:after="0"/>
              <w:rPr>
                <w:sz w:val="20"/>
                <w:szCs w:val="20"/>
                <w:color w:val="auto"/>
              </w:rPr>
            </w:pPr>
            <w:r>
              <w:rPr>
                <w:rFonts w:ascii="Times New Roman" w:cs="Times New Roman" w:eastAsia="Times New Roman" w:hAnsi="Times New Roman"/>
                <w:sz w:val="18"/>
                <w:szCs w:val="18"/>
                <w:b w:val="1"/>
                <w:bCs w:val="1"/>
                <w:color w:val="auto"/>
                <w:w w:val="98"/>
              </w:rPr>
              <w:t>04-2302115</w:t>
            </w:r>
          </w:p>
        </w:tc>
      </w:tr>
      <w:tr>
        <w:trPr>
          <w:trHeight w:val="251"/>
        </w:trPr>
        <w:tc>
          <w:tcPr>
            <w:tcW w:w="440" w:type="dxa"/>
            <w:vAlign w:val="bottom"/>
          </w:tcPr>
          <w:p>
            <w:pPr>
              <w:spacing w:after="0"/>
              <w:rPr>
                <w:sz w:val="21"/>
                <w:szCs w:val="21"/>
                <w:color w:val="auto"/>
              </w:rPr>
            </w:pPr>
          </w:p>
        </w:tc>
        <w:tc>
          <w:tcPr>
            <w:tcW w:w="5540" w:type="dxa"/>
            <w:vAlign w:val="bottom"/>
            <w:gridSpan w:val="3"/>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41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Sylvan Road,</w:t>
            </w:r>
          </w:p>
        </w:tc>
        <w:tc>
          <w:tcPr>
            <w:tcW w:w="20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Woburn</w:t>
            </w:r>
          </w:p>
        </w:tc>
        <w:tc>
          <w:tcPr>
            <w:tcW w:w="2560" w:type="dxa"/>
            <w:vAlign w:val="bottom"/>
          </w:tcPr>
          <w:p>
            <w:pPr>
              <w:jc w:val="right"/>
              <w:ind w:right="125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00" w:type="dxa"/>
            <w:vAlign w:val="bottom"/>
          </w:tcPr>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01801</w:t>
            </w:r>
          </w:p>
        </w:tc>
      </w:tr>
      <w:tr>
        <w:trPr>
          <w:trHeight w:val="251"/>
        </w:trPr>
        <w:tc>
          <w:tcPr>
            <w:tcW w:w="440" w:type="dxa"/>
            <w:vAlign w:val="bottom"/>
          </w:tcPr>
          <w:p>
            <w:pPr>
              <w:spacing w:after="0"/>
              <w:rPr>
                <w:sz w:val="21"/>
                <w:szCs w:val="21"/>
                <w:color w:val="auto"/>
              </w:rPr>
            </w:pPr>
          </w:p>
        </w:tc>
        <w:tc>
          <w:tcPr>
            <w:tcW w:w="5540" w:type="dxa"/>
            <w:vAlign w:val="bottom"/>
            <w:gridSpan w:val="3"/>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3500" w:type="dxa"/>
            <w:vAlign w:val="bottom"/>
          </w:tcPr>
          <w:p>
            <w:pPr>
              <w:jc w:val="center"/>
              <w:ind w:right="47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06"/>
        </w:trPr>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60" w:type="dxa"/>
            <w:vAlign w:val="bottom"/>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(781) 376-3000</w:t>
            </w:r>
          </w:p>
        </w:tc>
        <w:tc>
          <w:tcPr>
            <w:tcW w:w="350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80" w:type="dxa"/>
            <w:vAlign w:val="bottom"/>
            <w:gridSpan w:val="3"/>
          </w:tcPr>
          <w:p>
            <w:pPr>
              <w:jc w:val="center"/>
              <w:ind w:right="899"/>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355"/>
        </w:trPr>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80" w:type="dxa"/>
            <w:vAlign w:val="bottom"/>
            <w:gridSpan w:val="3"/>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29"/>
        </w:trPr>
        <w:tc>
          <w:tcPr>
            <w:tcW w:w="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ind w:right="53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tcBorders>
              <w:bottom w:val="single" w:sz="8" w:color="auto"/>
            </w:tcBorders>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440" w:type="dxa"/>
            <w:vAlign w:val="bottom"/>
          </w:tcPr>
          <w:p>
            <w:pPr>
              <w:spacing w:after="0"/>
              <w:rPr>
                <w:sz w:val="16"/>
                <w:szCs w:val="16"/>
                <w:color w:val="auto"/>
              </w:rPr>
            </w:pPr>
          </w:p>
        </w:tc>
        <w:tc>
          <w:tcPr>
            <w:tcW w:w="2980" w:type="dxa"/>
            <w:vAlign w:val="bottom"/>
            <w:gridSpan w:val="2"/>
          </w:tcPr>
          <w:p>
            <w:pPr>
              <w:jc w:val="center"/>
              <w:ind w:left="282"/>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560" w:type="dxa"/>
            <w:vAlign w:val="bottom"/>
          </w:tcPr>
          <w:p>
            <w:pPr>
              <w:jc w:val="center"/>
              <w:ind w:left="799"/>
              <w:spacing w:after="0"/>
              <w:rPr>
                <w:sz w:val="20"/>
                <w:szCs w:val="20"/>
                <w:color w:val="auto"/>
              </w:rPr>
            </w:pPr>
            <w:r>
              <w:rPr>
                <w:rFonts w:ascii="Times New Roman" w:cs="Times New Roman" w:eastAsia="Times New Roman" w:hAnsi="Times New Roman"/>
                <w:sz w:val="14"/>
                <w:szCs w:val="14"/>
                <w:color w:val="auto"/>
              </w:rPr>
              <w:t>SWKS</w:t>
            </w:r>
          </w:p>
        </w:tc>
        <w:tc>
          <w:tcPr>
            <w:tcW w:w="3500" w:type="dxa"/>
            <w:vAlign w:val="bottom"/>
          </w:tcPr>
          <w:p>
            <w:pPr>
              <w:jc w:val="center"/>
              <w:ind w:left="439"/>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96" w:lineRule="exact"/>
        <w:rPr>
          <w:sz w:val="24"/>
          <w:szCs w:val="24"/>
          <w:color w:val="auto"/>
        </w:rPr>
      </w:pPr>
    </w:p>
    <w:p>
      <w:pPr>
        <w:ind w:right="39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o No Indicate by check mark if the registrant is not required to file reports pursuant to Section 13 or 15(d) of the Act. o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4"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o No</w:t>
      </w:r>
    </w:p>
    <w:p>
      <w:pPr>
        <w:spacing w:after="0" w:line="1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o No</w:t>
      </w:r>
    </w:p>
    <w:p>
      <w:pPr>
        <w:spacing w:after="0" w:line="1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p>
      <w:pPr>
        <w:jc w:val="center"/>
        <w:spacing w:after="0" w:line="161" w:lineRule="exact"/>
        <w:tabs>
          <w:tab w:leader="none" w:pos="120" w:val="left"/>
          <w:tab w:leader="none" w:pos="260" w:val="left"/>
          <w:tab w:leader="none" w:pos="300" w:val="left"/>
          <w:tab w:leader="none" w:pos="400" w:val="left"/>
          <w:tab w:leader="none" w:pos="1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5" w:lineRule="exact"/>
        <w:rPr>
          <w:sz w:val="24"/>
          <w:szCs w:val="24"/>
          <w:color w:val="auto"/>
        </w:rPr>
      </w:pPr>
    </w:p>
    <w:p>
      <w:pPr>
        <w:jc w:val="both"/>
        <w:ind w:right="20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March 29, 2019) was approximately $14.2 billion. The number of outstanding shares of the registrant’s common stock, par value $0.25 per share, as of November 12, 2019, was 170,375,324.</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r>
      <w:tr>
        <w:trPr>
          <w:trHeight w:val="397"/>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Part of Form 10-K</w:t>
            </w:r>
          </w:p>
        </w:tc>
        <w:tc>
          <w:tcPr>
            <w:tcW w:w="120" w:type="dxa"/>
            <w:vAlign w:val="bottom"/>
          </w:tcPr>
          <w:p>
            <w:pPr>
              <w:spacing w:after="0"/>
              <w:rPr>
                <w:sz w:val="24"/>
                <w:szCs w:val="24"/>
                <w:color w:val="auto"/>
              </w:rPr>
            </w:pPr>
          </w:p>
        </w:tc>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Documents from which portions are incorporated by reference</w:t>
            </w:r>
          </w:p>
        </w:tc>
      </w:tr>
      <w:tr>
        <w:trPr>
          <w:trHeight w:val="151"/>
        </w:trPr>
        <w:tc>
          <w:tcPr>
            <w:tcW w:w="16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color w:val="auto"/>
              </w:rPr>
              <w:t>Part III</w:t>
            </w:r>
          </w:p>
        </w:tc>
        <w:tc>
          <w:tcPr>
            <w:tcW w:w="980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Portions of the Registrant’s Proxy Statement relating to the Registrant’s 2020 Annual Meeting of Stockholders (to be filed) are incorporated by reference into Items 10,</w:t>
            </w: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 12, 13 and 14 of this Annual Report on Form 10-K.</w:t>
            </w:r>
          </w:p>
        </w:tc>
      </w:tr>
    </w:tbl>
    <w:p>
      <w:pPr>
        <w:sectPr>
          <w:pgSz w:w="11900" w:h="16838" w:orient="portrait"/>
          <w:cols w:equalWidth="0" w:num="1">
            <w:col w:w="11420"/>
          </w:cols>
          <w:pgMar w:left="240" w:top="527"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gridSpan w:val="9"/>
          </w:tcPr>
          <w:p>
            <w:pPr>
              <w:jc w:val="center"/>
              <w:ind w:right="3380"/>
              <w:spacing w:after="0"/>
              <w:rPr>
                <w:sz w:val="20"/>
                <w:szCs w:val="20"/>
                <w:color w:val="auto"/>
              </w:rPr>
            </w:pPr>
            <w:r>
              <w:rPr>
                <w:rFonts w:ascii="Times New Roman" w:cs="Times New Roman" w:eastAsia="Times New Roman" w:hAnsi="Times New Roman"/>
                <w:sz w:val="16"/>
                <w:szCs w:val="16"/>
                <w:color w:val="auto"/>
              </w:rPr>
              <w:t>SKYWORKS SOLUTIONS, INC.</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9"/>
          </w:tcPr>
          <w:p>
            <w:pPr>
              <w:jc w:val="center"/>
              <w:ind w:right="3360"/>
              <w:spacing w:after="0"/>
              <w:rPr>
                <w:sz w:val="20"/>
                <w:szCs w:val="20"/>
                <w:color w:val="auto"/>
              </w:rPr>
            </w:pPr>
            <w:r>
              <w:rPr>
                <w:rFonts w:ascii="Times New Roman" w:cs="Times New Roman" w:eastAsia="Times New Roman" w:hAnsi="Times New Roman"/>
                <w:sz w:val="16"/>
                <w:szCs w:val="16"/>
                <w:color w:val="auto"/>
              </w:rPr>
              <w:t>ANNUAL REPORT ON FORM 10-K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80" w:type="dxa"/>
            <w:vAlign w:val="bottom"/>
            <w:gridSpan w:val="11"/>
          </w:tcPr>
          <w:p>
            <w:pPr>
              <w:jc w:val="center"/>
              <w:ind w:right="2280"/>
              <w:spacing w:after="0"/>
              <w:rPr>
                <w:sz w:val="20"/>
                <w:szCs w:val="20"/>
                <w:color w:val="auto"/>
              </w:rPr>
            </w:pPr>
            <w:r>
              <w:rPr>
                <w:rFonts w:ascii="Times New Roman" w:cs="Times New Roman" w:eastAsia="Times New Roman" w:hAnsi="Times New Roman"/>
                <w:sz w:val="16"/>
                <w:szCs w:val="16"/>
                <w:color w:val="auto"/>
              </w:rPr>
              <w:t>FOR THE YEAR ENDED SEPTEMBER 27, 2019</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20" w:type="dxa"/>
            <w:vAlign w:val="bottom"/>
            <w:gridSpan w:val="8"/>
          </w:tcPr>
          <w:p>
            <w:pPr>
              <w:jc w:val="center"/>
              <w:ind w:right="3840"/>
              <w:spacing w:after="0"/>
              <w:rPr>
                <w:sz w:val="20"/>
                <w:szCs w:val="20"/>
                <w:color w:val="auto"/>
              </w:rPr>
            </w:pPr>
            <w:r>
              <w:rPr>
                <w:rFonts w:ascii="Times New Roman" w:cs="Times New Roman" w:eastAsia="Times New Roman" w:hAnsi="Times New Roman"/>
                <w:sz w:val="16"/>
                <w:szCs w:val="16"/>
                <w:color w:val="auto"/>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PAGE NO.</w:t>
            </w:r>
          </w:p>
        </w:tc>
        <w:tc>
          <w:tcPr>
            <w:tcW w:w="0" w:type="dxa"/>
            <w:vAlign w:val="bottom"/>
          </w:tcPr>
          <w:p>
            <w:pPr>
              <w:spacing w:after="0"/>
              <w:rPr>
                <w:sz w:val="1"/>
                <w:szCs w:val="1"/>
                <w:color w:val="auto"/>
              </w:rPr>
            </w:pPr>
          </w:p>
        </w:tc>
      </w:tr>
      <w:tr>
        <w:trPr>
          <w:trHeight w:val="33"/>
        </w:trPr>
        <w:tc>
          <w:tcPr>
            <w:tcW w:w="480" w:type="dxa"/>
            <w:vAlign w:val="bottom"/>
            <w:vMerge w:val="restart"/>
          </w:tcPr>
          <w:p>
            <w:pPr>
              <w:spacing w:after="0"/>
              <w:rPr>
                <w:rFonts w:ascii="Times New Roman" w:cs="Times New Roman" w:eastAsia="Times New Roman" w:hAnsi="Times New Roman"/>
                <w:sz w:val="16"/>
                <w:szCs w:val="16"/>
                <w:color w:val="0000EE"/>
                <w:w w:val="91"/>
              </w:rPr>
            </w:pPr>
            <w:hyperlink w:anchor="page5">
              <w:r>
                <w:rPr>
                  <w:rFonts w:ascii="Times New Roman" w:cs="Times New Roman" w:eastAsia="Times New Roman" w:hAnsi="Times New Roman"/>
                  <w:sz w:val="16"/>
                  <w:szCs w:val="16"/>
                  <w:color w:val="0000EE"/>
                  <w:w w:val="91"/>
                </w:rPr>
                <w:t>PART I</w:t>
              </w:r>
            </w:hyperlink>
          </w:p>
        </w:tc>
        <w:tc>
          <w:tcPr>
            <w:tcW w:w="9880" w:type="dxa"/>
            <w:vAlign w:val="bottom"/>
            <w:gridSpan w:val="26"/>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80" w:type="dxa"/>
            <w:vAlign w:val="bottom"/>
            <w:tcBorders>
              <w:bottom w:val="single" w:sz="8" w:color="0000EE"/>
            </w:tcBorders>
            <w:vMerge w:val="continue"/>
          </w:tcPr>
          <w:p>
            <w:pPr>
              <w:spacing w:after="0"/>
              <w:rPr>
                <w:sz w:val="17"/>
                <w:szCs w:val="17"/>
                <w:color w:val="auto"/>
              </w:rPr>
            </w:pPr>
          </w:p>
        </w:tc>
        <w:tc>
          <w:tcPr>
            <w:tcW w:w="9880" w:type="dxa"/>
            <w:vAlign w:val="bottom"/>
            <w:gridSpan w:val="26"/>
            <w:vMerge w:val="continue"/>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ITEM 1: BUSINESS.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5</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80" w:type="dxa"/>
            <w:vAlign w:val="bottom"/>
            <w:gridSpan w:val="8"/>
          </w:tcPr>
          <w:p>
            <w:pPr>
              <w:spacing w:after="0"/>
              <w:rPr>
                <w:rFonts w:ascii="Times New Roman" w:cs="Times New Roman" w:eastAsia="Times New Roman" w:hAnsi="Times New Roman"/>
                <w:sz w:val="16"/>
                <w:szCs w:val="16"/>
                <w:color w:val="0000EE"/>
                <w:w w:val="99"/>
              </w:rPr>
            </w:pPr>
            <w:hyperlink w:anchor="page10">
              <w:r>
                <w:rPr>
                  <w:rFonts w:ascii="Times New Roman" w:cs="Times New Roman" w:eastAsia="Times New Roman" w:hAnsi="Times New Roman"/>
                  <w:sz w:val="16"/>
                  <w:szCs w:val="16"/>
                  <w:color w:val="0000EE"/>
                  <w:w w:val="99"/>
                </w:rPr>
                <w:t>ITEM 1A: RISK FACTORS.</w:t>
              </w:r>
            </w:hyperlink>
          </w:p>
        </w:tc>
        <w:tc>
          <w:tcPr>
            <w:tcW w:w="8480" w:type="dxa"/>
            <w:vAlign w:val="bottom"/>
            <w:gridSpan w:val="19"/>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10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ITEM 1B: UNRESOLVED STAFF COMMENTS.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21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80" w:type="dxa"/>
            <w:vAlign w:val="bottom"/>
            <w:gridSpan w:val="16"/>
          </w:tcPr>
          <w:p>
            <w:pPr>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ITEM 2: PROPERTIES.</w:t>
              </w:r>
            </w:hyperlink>
          </w:p>
        </w:tc>
        <w:tc>
          <w:tcPr>
            <w:tcW w:w="708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21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ITEM 3: LEGAL PROCEEDINGS.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22</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ITEM 4: MINE SAFETY DISCLOSURES</w:t>
              </w:r>
            </w:hyperlink>
            <w:r>
              <w:rPr>
                <w:rFonts w:ascii="Times New Roman" w:cs="Times New Roman" w:eastAsia="Times New Roman" w:hAnsi="Times New Roman"/>
                <w:sz w:val="16"/>
                <w:szCs w:val="16"/>
                <w:color w:val="000000"/>
              </w:rPr>
              <w:t>.</w:t>
            </w: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22</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EE"/>
                <w:w w:val="93"/>
              </w:rPr>
            </w:pPr>
            <w:hyperlink w:anchor="page23">
              <w:r>
                <w:rPr>
                  <w:rFonts w:ascii="Times New Roman" w:cs="Times New Roman" w:eastAsia="Times New Roman" w:hAnsi="Times New Roman"/>
                  <w:sz w:val="16"/>
                  <w:szCs w:val="16"/>
                  <w:color w:val="0000EE"/>
                  <w:w w:val="93"/>
                </w:rPr>
                <w:t>PART II</w:t>
              </w:r>
            </w:hyperlink>
          </w:p>
        </w:tc>
        <w:tc>
          <w:tcPr>
            <w:tcW w:w="2260" w:type="dxa"/>
            <w:vAlign w:val="bottom"/>
            <w:tcBorders>
              <w:top w:val="single" w:sz="8" w:color="0000EE"/>
            </w:tcBorders>
            <w:gridSpan w:val="10"/>
          </w:tcPr>
          <w:p>
            <w:pPr>
              <w:spacing w:after="0"/>
              <w:rPr>
                <w:sz w:val="24"/>
                <w:szCs w:val="24"/>
                <w:color w:val="auto"/>
              </w:rPr>
            </w:pPr>
          </w:p>
        </w:tc>
        <w:tc>
          <w:tcPr>
            <w:tcW w:w="756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ITEM 5: MARKET FOR REGISTRANT’S COMMON EQUITY, RELATED STOCKHOLDER MATTERS AND ISSUER PURCHASES OF EQUITY</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0000EE"/>
            </w:tcBorders>
            <w:gridSpan w:val="5"/>
          </w:tcPr>
          <w:p>
            <w:pPr>
              <w:spacing w:after="0" w:line="183" w:lineRule="exact"/>
              <w:rPr>
                <w:rFonts w:ascii="Times New Roman" w:cs="Times New Roman" w:eastAsia="Times New Roman" w:hAnsi="Times New Roman"/>
                <w:sz w:val="16"/>
                <w:szCs w:val="16"/>
                <w:color w:val="0000EE"/>
                <w:w w:val="97"/>
              </w:rPr>
            </w:pPr>
            <w:hyperlink w:anchor="page23">
              <w:r>
                <w:rPr>
                  <w:rFonts w:ascii="Times New Roman" w:cs="Times New Roman" w:eastAsia="Times New Roman" w:hAnsi="Times New Roman"/>
                  <w:sz w:val="16"/>
                  <w:szCs w:val="16"/>
                  <w:color w:val="0000EE"/>
                  <w:w w:val="97"/>
                </w:rPr>
                <w:t>SECURITIES.</w:t>
              </w:r>
            </w:hyperlink>
          </w:p>
        </w:tc>
        <w:tc>
          <w:tcPr>
            <w:tcW w:w="8940" w:type="dxa"/>
            <w:vAlign w:val="bottom"/>
            <w:tcBorders>
              <w:top w:val="single" w:sz="8" w:color="0000EE"/>
            </w:tcBorders>
            <w:gridSpan w:val="20"/>
          </w:tcPr>
          <w:p>
            <w:pPr>
              <w:spacing w:after="0"/>
              <w:rPr>
                <w:sz w:val="15"/>
                <w:szCs w:val="15"/>
                <w:color w:val="auto"/>
              </w:rPr>
            </w:pPr>
          </w:p>
        </w:tc>
        <w:tc>
          <w:tcPr>
            <w:tcW w:w="460" w:type="dxa"/>
            <w:vAlign w:val="bottom"/>
            <w:gridSpan w:val="2"/>
          </w:tcPr>
          <w:p>
            <w:pPr>
              <w:spacing w:after="0"/>
              <w:rPr>
                <w:sz w:val="15"/>
                <w:szCs w:val="15"/>
                <w:color w:val="auto"/>
              </w:rPr>
            </w:pPr>
          </w:p>
        </w:tc>
        <w:tc>
          <w:tcPr>
            <w:tcW w:w="1020" w:type="dxa"/>
            <w:vAlign w:val="bottom"/>
            <w:gridSpan w:val="4"/>
          </w:tcPr>
          <w:p>
            <w:pPr>
              <w:jc w:val="right"/>
              <w:ind w:right="20"/>
              <w:spacing w:after="0" w:line="183" w:lineRule="exact"/>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23</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ITEM 6: SELECTED FINANCIAL DATA.</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24</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25</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660" w:type="dxa"/>
            <w:vAlign w:val="bottom"/>
            <w:gridSpan w:val="23"/>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ITEM 7A: QUANTITATIVE AND QUALITATIVE DISCLOSURES ABOUT MARKET RISK.</w:t>
              </w:r>
            </w:hyperlink>
          </w:p>
        </w:tc>
        <w:tc>
          <w:tcPr>
            <w:tcW w:w="1700" w:type="dxa"/>
            <w:vAlign w:val="bottom"/>
            <w:gridSpan w:val="4"/>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30</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40" w:type="dxa"/>
            <w:vAlign w:val="bottom"/>
            <w:gridSpan w:val="19"/>
          </w:tcPr>
          <w:p>
            <w:pPr>
              <w:spacing w:after="0"/>
              <w:rPr>
                <w:rFonts w:ascii="Times New Roman" w:cs="Times New Roman" w:eastAsia="Times New Roman" w:hAnsi="Times New Roman"/>
                <w:sz w:val="16"/>
                <w:szCs w:val="16"/>
                <w:color w:val="0000EE"/>
                <w:w w:val="99"/>
              </w:rPr>
            </w:pPr>
            <w:hyperlink w:anchor="page32">
              <w:r>
                <w:rPr>
                  <w:rFonts w:ascii="Times New Roman" w:cs="Times New Roman" w:eastAsia="Times New Roman" w:hAnsi="Times New Roman"/>
                  <w:sz w:val="16"/>
                  <w:szCs w:val="16"/>
                  <w:color w:val="0000EE"/>
                  <w:w w:val="99"/>
                </w:rPr>
                <w:t>ITEM 8: FINANCIAL STATEMENTS AND SUPPLEMENTARY DATA.</w:t>
              </w:r>
            </w:hyperlink>
          </w:p>
        </w:tc>
        <w:tc>
          <w:tcPr>
            <w:tcW w:w="1440" w:type="dxa"/>
            <w:vAlign w:val="bottom"/>
            <w:gridSpan w:val="2"/>
          </w:tcPr>
          <w:p>
            <w:pPr>
              <w:spacing w:after="0"/>
              <w:rPr>
                <w:sz w:val="24"/>
                <w:szCs w:val="24"/>
                <w:color w:val="auto"/>
              </w:rPr>
            </w:pPr>
          </w:p>
        </w:tc>
        <w:tc>
          <w:tcPr>
            <w:tcW w:w="4080" w:type="dxa"/>
            <w:vAlign w:val="bottom"/>
            <w:gridSpan w:val="6"/>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32</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ITEM 9: CHANGES IN AND DISAGREEMENTS WITH ACCOUNTANTS ON ACCOUNTING AND FINANCIAL DISCLOSURE.</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00" w:type="dxa"/>
            <w:vAlign w:val="bottom"/>
            <w:gridSpan w:val="15"/>
          </w:tcPr>
          <w:p>
            <w:pPr>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ITEM 9A: CONTROLS AND PROCEDURES.</w:t>
              </w:r>
            </w:hyperlink>
          </w:p>
        </w:tc>
        <w:tc>
          <w:tcPr>
            <w:tcW w:w="5720" w:type="dxa"/>
            <w:vAlign w:val="bottom"/>
            <w:gridSpan w:val="9"/>
          </w:tcPr>
          <w:p>
            <w:pPr>
              <w:spacing w:after="0"/>
              <w:rPr>
                <w:sz w:val="24"/>
                <w:szCs w:val="24"/>
                <w:color w:val="auto"/>
              </w:rPr>
            </w:pPr>
          </w:p>
        </w:tc>
        <w:tc>
          <w:tcPr>
            <w:tcW w:w="154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00" w:type="dxa"/>
            <w:vAlign w:val="bottom"/>
            <w:gridSpan w:val="15"/>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ITEM 9B: OTHER INFORMATION.</w:t>
              </w:r>
            </w:hyperlink>
          </w:p>
        </w:tc>
        <w:tc>
          <w:tcPr>
            <w:tcW w:w="7260" w:type="dxa"/>
            <w:vAlign w:val="bottom"/>
            <w:gridSpan w:val="12"/>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412"/>
        </w:trPr>
        <w:tc>
          <w:tcPr>
            <w:tcW w:w="244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PART III</w:t>
              </w:r>
            </w:hyperlink>
          </w:p>
        </w:tc>
        <w:tc>
          <w:tcPr>
            <w:tcW w:w="792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40" w:type="dxa"/>
            <w:vAlign w:val="bottom"/>
            <w:gridSpan w:val="20"/>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ITEM 10: DIRECTORS, EXECUTIVE OFFICERS AND CORPORATE GOVERNANCE.</w:t>
              </w:r>
            </w:hyperlink>
          </w:p>
        </w:tc>
        <w:tc>
          <w:tcPr>
            <w:tcW w:w="442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920" w:type="dxa"/>
            <w:vAlign w:val="bottom"/>
            <w:gridSpan w:val="14"/>
          </w:tcPr>
          <w:p>
            <w:pPr>
              <w:spacing w:after="0"/>
              <w:rPr>
                <w:rFonts w:ascii="Times New Roman" w:cs="Times New Roman" w:eastAsia="Times New Roman" w:hAnsi="Times New Roman"/>
                <w:sz w:val="16"/>
                <w:szCs w:val="16"/>
                <w:color w:val="0000EE"/>
                <w:w w:val="99"/>
              </w:rPr>
            </w:pPr>
            <w:hyperlink w:anchor="page60">
              <w:r>
                <w:rPr>
                  <w:rFonts w:ascii="Times New Roman" w:cs="Times New Roman" w:eastAsia="Times New Roman" w:hAnsi="Times New Roman"/>
                  <w:sz w:val="16"/>
                  <w:szCs w:val="16"/>
                  <w:color w:val="0000EE"/>
                  <w:w w:val="99"/>
                </w:rPr>
                <w:t>ITEM 11: EXECUTIVE COMPENSATION.</w:t>
              </w:r>
            </w:hyperlink>
          </w:p>
        </w:tc>
        <w:tc>
          <w:tcPr>
            <w:tcW w:w="3020" w:type="dxa"/>
            <w:vAlign w:val="bottom"/>
            <w:gridSpan w:val="6"/>
          </w:tcPr>
          <w:p>
            <w:pPr>
              <w:spacing w:after="0"/>
              <w:rPr>
                <w:sz w:val="24"/>
                <w:szCs w:val="24"/>
                <w:color w:val="auto"/>
              </w:rPr>
            </w:pPr>
          </w:p>
        </w:tc>
        <w:tc>
          <w:tcPr>
            <w:tcW w:w="442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940" w:type="dxa"/>
            <w:vAlign w:val="bottom"/>
            <w:gridSpan w:val="26"/>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ITEM 12: SECURITY OWNERSHIP OF CERTAIN BENEFICIAL OWNERS AND MANAGEMENT AND RELATED STOCKHOLDER MATTERS.</w:t>
              </w:r>
            </w:hyperlink>
          </w:p>
        </w:tc>
        <w:tc>
          <w:tcPr>
            <w:tcW w:w="420" w:type="dxa"/>
            <w:vAlign w:val="bottom"/>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60" w:type="dxa"/>
            <w:vAlign w:val="bottom"/>
            <w:gridSpan w:val="22"/>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ITEM 13: CERTAIN RELATIONSHIPS AND RELATED TRANSACTIONS, AND DIRECTOR INDEPENDENCE.</w:t>
              </w:r>
            </w:hyperlink>
          </w:p>
        </w:tc>
        <w:tc>
          <w:tcPr>
            <w:tcW w:w="22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60" w:type="dxa"/>
            <w:vAlign w:val="bottom"/>
            <w:gridSpan w:val="17"/>
          </w:tcPr>
          <w:p>
            <w:pPr>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ITEM 14: PRINCIPAL ACCOUNTING FEES AND SERVICES.</w:t>
              </w:r>
            </w:hyperlink>
          </w:p>
        </w:tc>
        <w:tc>
          <w:tcPr>
            <w:tcW w:w="3400" w:type="dxa"/>
            <w:vAlign w:val="bottom"/>
            <w:gridSpan w:val="5"/>
          </w:tcPr>
          <w:p>
            <w:pPr>
              <w:spacing w:after="0"/>
              <w:rPr>
                <w:sz w:val="24"/>
                <w:szCs w:val="24"/>
                <w:color w:val="auto"/>
              </w:rPr>
            </w:pPr>
          </w:p>
        </w:tc>
        <w:tc>
          <w:tcPr>
            <w:tcW w:w="270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60</w:t>
              </w:r>
            </w:hyperlink>
          </w:p>
        </w:tc>
        <w:tc>
          <w:tcPr>
            <w:tcW w:w="0" w:type="dxa"/>
            <w:vAlign w:val="bottom"/>
          </w:tcPr>
          <w:p>
            <w:pPr>
              <w:spacing w:after="0"/>
              <w:rPr>
                <w:sz w:val="1"/>
                <w:szCs w:val="1"/>
                <w:color w:val="auto"/>
              </w:rPr>
            </w:pPr>
          </w:p>
        </w:tc>
      </w:tr>
      <w:tr>
        <w:trPr>
          <w:trHeight w:val="412"/>
        </w:trPr>
        <w:tc>
          <w:tcPr>
            <w:tcW w:w="6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3"/>
              </w:rPr>
            </w:pPr>
            <w:hyperlink w:anchor="page61">
              <w:r>
                <w:rPr>
                  <w:rFonts w:ascii="Times New Roman" w:cs="Times New Roman" w:eastAsia="Times New Roman" w:hAnsi="Times New Roman"/>
                  <w:sz w:val="16"/>
                  <w:szCs w:val="16"/>
                  <w:color w:val="0000EE"/>
                  <w:w w:val="93"/>
                </w:rPr>
                <w:t>PART IV</w:t>
              </w:r>
            </w:hyperlink>
          </w:p>
        </w:tc>
        <w:tc>
          <w:tcPr>
            <w:tcW w:w="3660" w:type="dxa"/>
            <w:vAlign w:val="bottom"/>
            <w:tcBorders>
              <w:top w:val="single" w:sz="8" w:color="0000EE"/>
            </w:tcBorders>
            <w:gridSpan w:val="13"/>
          </w:tcPr>
          <w:p>
            <w:pPr>
              <w:spacing w:after="0"/>
              <w:rPr>
                <w:sz w:val="24"/>
                <w:szCs w:val="24"/>
                <w:color w:val="auto"/>
              </w:rPr>
            </w:pPr>
          </w:p>
        </w:tc>
        <w:tc>
          <w:tcPr>
            <w:tcW w:w="610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360" w:type="dxa"/>
            <w:vAlign w:val="bottom"/>
            <w:gridSpan w:val="27"/>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ITEM 15: EXHIBITS, FINANCIAL STATEMENT SCHEDULES.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61</w:t>
              </w:r>
            </w:hyperlink>
          </w:p>
        </w:tc>
        <w:tc>
          <w:tcPr>
            <w:tcW w:w="0" w:type="dxa"/>
            <w:vAlign w:val="bottom"/>
          </w:tcPr>
          <w:p>
            <w:pPr>
              <w:spacing w:after="0"/>
              <w:rPr>
                <w:sz w:val="1"/>
                <w:szCs w:val="1"/>
                <w:color w:val="auto"/>
              </w:rPr>
            </w:pPr>
          </w:p>
        </w:tc>
      </w:tr>
      <w:tr>
        <w:trPr>
          <w:trHeight w:val="20"/>
        </w:trPr>
        <w:tc>
          <w:tcPr>
            <w:tcW w:w="960" w:type="dxa"/>
            <w:vAlign w:val="bottom"/>
            <w:gridSpan w:val="5"/>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gridSpan w:val="18"/>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ITEM 16: FORM 10-K SUMMARY</w:t>
              </w:r>
            </w:hyperlink>
          </w:p>
        </w:tc>
        <w:tc>
          <w:tcPr>
            <w:tcW w:w="600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61</w:t>
              </w:r>
            </w:hyperlink>
          </w:p>
        </w:tc>
        <w:tc>
          <w:tcPr>
            <w:tcW w:w="0" w:type="dxa"/>
            <w:vAlign w:val="bottom"/>
          </w:tcPr>
          <w:p>
            <w:pPr>
              <w:spacing w:after="0"/>
              <w:rPr>
                <w:sz w:val="1"/>
                <w:szCs w:val="1"/>
                <w:color w:val="auto"/>
              </w:rPr>
            </w:pPr>
          </w:p>
        </w:tc>
      </w:tr>
      <w:tr>
        <w:trPr>
          <w:trHeight w:val="20"/>
        </w:trPr>
        <w:tc>
          <w:tcPr>
            <w:tcW w:w="960" w:type="dxa"/>
            <w:vAlign w:val="bottom"/>
            <w:gridSpan w:val="5"/>
            <w:shd w:val="clear" w:color="auto" w:fill="0000EE"/>
          </w:tcPr>
          <w:p>
            <w:pPr>
              <w:spacing w:after="0" w:line="20" w:lineRule="exact"/>
              <w:rPr>
                <w:sz w:val="1"/>
                <w:szCs w:val="1"/>
                <w:color w:val="auto"/>
              </w:rPr>
            </w:pPr>
          </w:p>
        </w:tc>
        <w:tc>
          <w:tcPr>
            <w:tcW w:w="1420" w:type="dxa"/>
            <w:vAlign w:val="bottom"/>
            <w:tcBorders>
              <w:left w:val="single" w:sz="8" w:color="0000EE"/>
            </w:tcBorders>
            <w:gridSpan w:val="5"/>
            <w:shd w:val="clear" w:color="auto" w:fill="0000EE"/>
          </w:tcPr>
          <w:p>
            <w:pPr>
              <w:spacing w:after="0" w:line="20" w:lineRule="exact"/>
              <w:rPr>
                <w:sz w:val="1"/>
                <w:szCs w:val="1"/>
                <w:color w:val="auto"/>
              </w:rPr>
            </w:pPr>
          </w:p>
        </w:tc>
        <w:tc>
          <w:tcPr>
            <w:tcW w:w="798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380" w:type="dxa"/>
            <w:vAlign w:val="bottom"/>
            <w:gridSpan w:val="10"/>
          </w:tcPr>
          <w:p>
            <w:pPr>
              <w:spacing w:after="0"/>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SIGNATURES</w:t>
              </w:r>
            </w:hyperlink>
          </w:p>
        </w:tc>
        <w:tc>
          <w:tcPr>
            <w:tcW w:w="7980" w:type="dxa"/>
            <w:vAlign w:val="bottom"/>
            <w:gridSpan w:val="17"/>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64</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80" w:top="369" w:right="23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spacing w:after="0" w:line="188"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market new products, enhancements or technologies and the timing of these development and marketing plans;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future revenues and profitability;</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the markets for our products and services;</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rate and degree of market acceptance of our products; and</w:t>
      </w:r>
    </w:p>
    <w:p>
      <w:pPr>
        <w:spacing w:after="0" w:line="11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success of other competing technologies that may become available.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document, the words “we”, “our”, “ours”, “us”, “Skyworks”, and “the Company” refer only to Skyworks Solutions, Inc., and its consolidated subsidiaries and not any other person or entity. In addition, the following is a list of industry standards that may be referenced throughout the document:</w:t>
      </w:r>
    </w:p>
    <w:p>
      <w:pPr>
        <w:spacing w:after="0" w:line="54" w:lineRule="exact"/>
        <w:rPr>
          <w:sz w:val="20"/>
          <w:szCs w:val="20"/>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5G (Fifth Generation): next-generation cellular network technology</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ASoC (Analog System on Chip): combines the required electronic circuits of various computer components into a single, integrated chip.</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BAW (Bulk Acoustic Wave): electrical input signal is converted to an acoustic wave for filtering and converted back into an electrical signal by a metal-piezo-metal vertical structure</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BiFET (Bipolar Field Effect Transistor): integrates indium gallium phosphide based heterojunction bipolar transistors with field effect transistors on the same gallium arsenide substrate</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 (Direct Current): unidirectional flow of an electrical charge</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(Complementary Metal Oxide Semiconductor): a technology of constructing integrated circuits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GaAs (Gallium Arsenide): a compound of the elements gallium and arsenic that is used in the production of semiconductors</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HBT (Heterojunction Bipolar Transistor): a type of bipolar junction transistor which uses differing semiconductor materials for the emitter and base regions, creating a heterojunction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52" w:lineRule="exact"/>
        <w:rPr>
          <w:sz w:val="20"/>
          <w:szCs w:val="20"/>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(Internet of Things): is the interconnection of uniquely identifiable embedded computing devices within the existing internet infrastructure</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(Light Emitting Diode): a two-lead semiconductor light source</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LTE (Long Term Evolution): 4th generation (“4G”) radio technologies designed to increase the capacity and speed of mobile telephone networks</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MIMO (Multiple In, Multiple Out): a method for multiplying the capacity of a radio link using multiple transmission and receiving antennas to exploit multipath propagation; more commonly, it refers to LTE, 5G, and Wi-Fi techniques to send more than one data signal (also known as data layers) with encoded information to increase capacity in modern telecommunications systems</w:t>
      </w:r>
    </w:p>
    <w:p>
      <w:pPr>
        <w:spacing w:after="0" w:line="176"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pHEMT (Pseudomorphic High Electron Mobility Transistor): a type of field effect transistor incorporating a junction between two materials with different band gaps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 (Radio Frequency): electromagnetic wave frequencies that lie in the range extending from around 3 kHz to 300 GHz</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SAW (Surface Acoustic Wave): electrical input signal is converted to an acoustic wave for filtering and converted back into an electrical signal by interdigitated transducers on a piezoelectric substrate.</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SOI (Silicon On Insulator): technology refers to the use of layered silicon-insulator-silicon substrate in place of conventional silicon substrates in semiconductor manufacturing</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TC-SAW (Temperature Compensated Surface Acoustic Wave): SAW filters that have been designed to reduce shift in frequency over temperature.</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empowering the wireless networking revolution. The Company’s highly innovative analog semiconductors are connecting people, places, and things, spanning a number of new and previously unimagined applications within the aerospace, automotive, broadband, cellular infrastructure, connected home, industrial, medical, military, smartphone, tablet and wearable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key customers include Amazon, Apple, Arris, Bose, Cisco, DJI, Ericsson, Foxconn, Garmin, Gemalto (a Thales company), General Electric, Google, Honeywell, HTC, Huawei, Itron, Lenovo, LG Electronics, Microsoft, Motorola, Netgear, Northrop Grumman, OPPO, Rockwell Collins, Samsung, Sierra Wireless, Sonos, Technicolor, VIVO, Xiaomi and ZTE. Our competitors include Analog Devices, Broadcom, Cirrus Logic, Maxim Integrated Products, Murata Manufacturing, NXP Semiconductors, Qorvo and Qualcomm.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Delaware corporation that was formed in 1962. We changed our corporate name from Alpha Industries, Inc. to Skyworks Solutions, Inc. on June 25, 2002, following a business combination. 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practicable after we electronically submit such material to the SEC. The information contained on our website is not incorporated by reference in this Annual Report. Our SEC filings are also available to the public at www.sec.gov.</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we acquired Avnera Corporation (“Avnera”) and expanded our leadership in wireless connectivity by adding ultra-low power analog circuits to enable smart interfaces via acoustic signal processing, sensors, and integrated software. The acquisition of Avnera enables us to capitalize on the rapid proliferation of audio functionality and its convergence with our advanced connectivity solutions. With our global sales channels, strong customer relationships and operational scale, we are leveraging Avnera’s innovative product portfolio and systems expertise to increase our footprint in automotive, industrial, home automation, enterprise and high-end consumer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Wireless connectivity is exploding on a global basis. 5G is dramatically altering the world, creating an ecosystem where everyone is connected to everything, all the time—changing how individuals live, work, play, and learn. More importantly, 5G goes well beyond simply making the mobile communications experience better by increasing reliability, adding new features, and enhancing data rates. It is creating a market for diverse and transformative applications driven by the ability to deliver greater speeds, bandwidth and capacity, significantly lower latency, and more secure connectivity.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fact, 5G connections will approach ten to 100 times faster than 4G speeds. To put this in perspective, downloading a full-length HD movie in 3G took one day; in 4G, the same file took minutes. On a 5G network, this content can be downloaded in mere seconds. 5G will also enable increasingly efficient and safe vehicle communication, paving the way for autonomous vehicles as well as networks that could make wireless healthcare a reality.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same time, connectivity is expanding into an adjacent set of IoT markets. From smart homes to the smart grid and from industrial to wearables, the number of connected devices is rapidly proliferating. IHS Markit Ltd. projects the IoT market to grow from an installed base of 15 billion units in 2015 to more than 75 billion units by 2025. Skyworks is enabling these opportunities with highly customized system solutions supporting a broad set of wireless protocols including cellular LTE, Wi-Fi, Bluetooth®, LoRa®, Thread, and Zigbee®.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forward, we see a market that presents a significant growth opportunity for our industry and for Skyworks. The key catalysts for Skyworks will continue to be the insatiable demand for data and the profitable usage model, as each connection becomes more valuable and the world embraces 5G. According to a June 2019 Ericsson “Mobility Report,” there are expected to be 1.9 billion mobile 5G subscriptions globally by the end of 2024 driven by “rapid early momentum and enthusiasm” in the global market. 5G technology will also support the tens of billions of connected devices, smart objects, and embedded sensors expected to come online as the IoT becomes mainstream.</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Solving Connectivity Challenges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highly integrated semiconductor solutions will play an increasingly pivotal role in the deployment of this next generation standard by resolving the daunting analog and RF complexities that are challenging the capabilities of existing hardware and the supporting network infrastructure. Meeting these design challenges requires broad competencies including signal transmission and conditioning, the ability to ensure seamless hand-offs between multiple standards, power management, voltage regulation, battery charging, advanced filtering, and tuning.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Skyworks is at the forefront of this sea change in connectivity, delivering the solutions that will enable the true potential of 5G and the IoT. We have a rich heritage in analog systems design and have spent the last decade investing in key technologies and resources. Our strength is underpinned by world-class performance and scale across a broad array of capabilities that include advanced TC-SAW and BAW filters, an expanded family of MIMO, ultra-high band, and diversity receive modules and expanding into emerging technologies including millimeter wave. From our breakthrough SKY5® unifying platform to our 5G small cell solutions, Skyworks’ approach across both infrastructure and user equipment facilitates powerful, high-speed end-to-end 5G connectivity.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SKYWORKS’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ambitious vision is to connect everyone and everything, all the time. To this end, key elements of our strategy include: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Industry-Leading Technology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industry migrates to more complex 5G architectures across a multitude of wireless applications, we are well positioned to help mobile device manufacturers handle growing levels of system complexity in the transmit and receive chain. The trend towards increasing front-end and analog design challenges in smartphones and other platforms plays directly into our core strengths and positions us to address these challenges. We believe that we offer the broadest portfolio of radio and analog solutions from the transceiver to the antenna as well as all required manufacturing process technologies. We also hold strong technology leadership positions in passive devices, advanced integration including proprietary shielding and 3-D die stacking as well as SAW, TC-SAW and BAW filters. Our product portfolio is reinforced by a library of approximately 3,500 worldwide patents and other intellectual property that we own and control. Together, our industry-leading technology enables us to deliver the highest levels of product performance and integration.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Relationships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our scale and technology leadership, we are engaged with key original equipment manufacturers (“OEMs”), smartphone providers and baseband reference design partners. Our customers value our supply chain strength, our innovative technology and our system engineering expertise, resulting in deep customer loyalty. We partner with our customers to support their long-term product road maps and are valued as a system solutions provider rather than just a point product vendor.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Diversification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diversifying our business in three areas: our addressed markets, our customer base and our product offerings. By leveraging core analog and mixed signal technologies, we are expanding our family of solutions to a set of increasingly diverse end markets and customers. With the adoption of 5G and the opportunity to enable more applications, we are steadily growing our business beyond just mobile devices (where we support all top-tier manufacturers, including the leading smartphone suppliers and key baseband vendors) into additional high-performance analog markets, including automotive, home and factory automation, infrastructure, medical, smart energy and wireless networking. In these markets we leverage our scale, intellectual property and worldwide distribution network, which spans over 3,200 customers and over 2,500 analog components.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Operational Excellence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vertically integrate our supply chain where we can differentiate with highly specialized internal manufacturing capabilities, or enter into alliances and strategic relationships for leading-edge technologies. This hybrid manufacturing model allows us to better balance our manufacturing capacity with the demand of the marketplace. Our internal capacity utilization remains high, resulting in an increase of our gross margin and the return on invested capital on a broader range of revenue.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Maintaining a Performance-Driven Culture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our people and corporate culture to be a major competitive advantage and a key driver of our overall strategy. We create key performance indicators that align employee efforts with corporate strategy and link responsibilities with performance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measurement. Accountability is paramount and we compensate our employees through a pay-for-performance methodology. We strive to be an employer-of-choice among peer companies and have created a work environment in which turnover is below geographic and industry averages.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Generating Superior Operating Results and Shareholder Returns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seek to generate financial returns that are comparable to a highly diversified analog semiconductor company. Given our product volume and overall utilization we strive to achieve a best-in-class return on investment and operating income to reward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portfolio consists of various solutions, including:</w:t>
      </w:r>
    </w:p>
    <w:p>
      <w:pPr>
        <w:spacing w:after="0" w:line="63"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Amplifiers: the modules that strengthen the signal so that it has sufficient energy to reach a base station</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Antenna Tuners: aperture and impedance tuning products that improve antenna performance across frequencies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Attenuators: circuits that allow a known source of power to be reduced by a predetermined factor (usually expressed as decibels)</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Circulators/Isolators: ferrite-based components commonly found on the output of high-power amplifiers used to protect receivers in wireless transmission systems</w:t>
      </w:r>
    </w:p>
    <w:p>
      <w:pPr>
        <w:ind w:left="820" w:hanging="488"/>
        <w:spacing w:after="0" w:line="250"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ASoC: an intelligent 2.4 GHz and 5GHz wireless radio integrated circuit that includes all the analog and digital functions optimized for building wireless audio headsets, headphones, and wireless speaker systems</w:t>
      </w: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DC/DC Converters: an electronic circuit which converts a source of direct current from one voltage level to another</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Demodulators: a device or an RF block used in receivers to extract the information that has been modulated onto a carrier or from the carrier itself</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Detectors: devices used to measure and control RF power in wireless systems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Diodes: semiconductor devices that pass current in one direction only</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Directional Couplers: transmission coupling devices for separately sampling the forward or backward wave in a transmission line</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Receive Modules: devices used to improve receiver sensitivity in high data rate applications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Filters: devices for recovering and separating mixed and modulated data in RF stages</w:t>
      </w:r>
    </w:p>
    <w:p>
      <w:pPr>
        <w:spacing w:after="0" w:line="9" w:lineRule="exact"/>
        <w:rPr>
          <w:rFonts w:ascii="Times New Roman" w:cs="Times New Roman" w:eastAsia="Times New Roman" w:hAnsi="Times New Roman"/>
          <w:sz w:val="18"/>
          <w:szCs w:val="18"/>
          <w:color w:val="auto"/>
        </w:rPr>
      </w:pPr>
    </w:p>
    <w:p>
      <w:pPr>
        <w:ind w:left="820" w:right="20" w:hanging="488"/>
        <w:spacing w:after="0" w:line="250"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Front-end Modules: two or more functions co-packaged to optimize the performance, cost and application suitability in products, including intermediate or radio frequency signal paths</w:t>
      </w: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a type of directional coupler used in radio and telecommunications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Drivers: devices which regulate the current through a light emitting diode or string of diodes for the purpose of creating light</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Noise Amplifiers: devices used to reduce system noise figure in the receive chain</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Mixers: devices that enable signals to be converted to a higher or lower frequency signal and thereby allowing the signals to be processed more effectively</w:t>
      </w: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Modulators: devices that take a baseband input signal and output a radio frequency modulated signal</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Optocouplers/Optoisolators: semiconductor devices that allow signals to be transferred between circuits or systems while ensuring that the circuits or systems are electrically isolated from each other</w:t>
      </w: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Locked Loops: closed-loop feedback control system that maintains a generated signal in a fixed phase relationship to a reference signal</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Shifters: designed for use in power amplifier distortion compensation circuits in base station applications</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Dividers/Combiners: utilized to equally split signals into in-phase signals as often found in balanced signal chains and local oscillator distribution networks</w:t>
      </w: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Receivers: electronic devices that change a radio signal from a transmitter into useful information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Switches: components that perform the change between the transmit and receive function, as well as the band function for cellular handsets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Synthesizers: devices that provide ultra-fine frequency resolution, fast switching speed, and low phase-noise performance</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Ceramics: polycrystalline oxide materials used for a wide variety of electrical, mechanical, thermal and magnetic applications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Voltage Controlled Oscillators/Synthesizers: fully integrated, high performance signal source for high dynamic range transceivers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Voltage Regulators: generate a fixed level which ideally remains constant over varying input voltage or load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possess broad technology capabilities and one of the most complete wireless communications product portfolios in the industry.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sold globally through a direct sales force, electronic component distributors and independent sales representatives. Certain distributors have agreements with us which allow for certain sales returns, stock rotations and price protection on certain inventory if we lower the price of those products (see “</w:t>
      </w:r>
      <w:r>
        <w:rPr>
          <w:rFonts w:ascii="Times New Roman" w:cs="Times New Roman" w:eastAsia="Times New Roman" w:hAnsi="Times New Roman"/>
          <w:sz w:val="18"/>
          <w:szCs w:val="18"/>
          <w:u w:val="single" w:color="auto"/>
          <w:color w:val="0000FF"/>
        </w:rPr>
        <w:t>Critical Accounting Estimates</w:t>
      </w:r>
      <w:r>
        <w:rPr>
          <w:rFonts w:ascii="Times New Roman" w:cs="Times New Roman" w:eastAsia="Times New Roman" w:hAnsi="Times New Roman"/>
          <w:sz w:val="18"/>
          <w:szCs w:val="18"/>
          <w:color w:val="auto"/>
        </w:rPr>
        <w:t xml:space="preserve">” in Part II, Item 7 - Management’s Discussion and Analysis of Financial Condition and Results of Operations and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Item 8 of this Annual Report on Form 10-K for further detail on revenue reserves). As is customary in the semiconductor industry, our distributors may also market other products that compete with ours.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technical and complex nature of our products and markets demand an extraordinary commitment to maintain close ongoing relationships with our customers. As such, we strive to expand the scope of our customer relationship to include design, engineering, manufacturing, procurement, logistics and project management.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21"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small number of OEMs historically has accounted for a significant portion of our net revenue. In the fiscal years ended September 27, 2019 (“fiscal 2019”), and September 28, 2018 (“fiscal 2018”), Apple Inc. (“Apple”), through sales to multiple distributors, contract manufacturers and direct sales for multiple applications including smartphones, tablets, desktop and notebook computers, watches, and other devices) constituted more than ten percent of our net revenue. In the fiscal year ended September 29, 2017 (“fiscal 2017”), three customers—Apple, Samsung Electronics (“Samsung”), and Huawei Technology Co., Ltd. (“Huawei”)—each constituted ten percent or more of our net revenue. For further information regarding customer concentrations see </w:t>
      </w:r>
      <w:hyperlink w:anchor="page56">
        <w:r>
          <w:rPr>
            <w:rFonts w:ascii="Times New Roman" w:cs="Times New Roman" w:eastAsia="Times New Roman" w:hAnsi="Times New Roman"/>
            <w:sz w:val="18"/>
            <w:szCs w:val="18"/>
            <w:u w:val="single" w:color="auto"/>
            <w:color w:val="0000EE"/>
          </w:rPr>
          <w:t>Note 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and protection of our intellectual property. We participate in highly competitive markets against numerous competitors that may be able to adapt more quickly than we can to new or emerging technologies and changes in customer requirements, or may be able to devote greater resources to the development, promotion and sale of their products than we can.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Erosion of average selling prices of established products is typical of the semiconductor industry. Consistent with trends in the industry, we anticipate that average selling prices for our established products will continue to decline over time. We mitigate the gross margin impact of declining average selling prices with efforts to increase unit volumes, reduce material costs and lower manufacturing costs of existing products and by introducing new and higher value-added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and markets demand rapid technological advancements requiring a continuous effort to enhance existing products and develop new products and technologies. Accordingly, we maintain a high level of research and development activity. We invested $424.1 million, $404.5 million and $355.2 million in research and development during fiscal 2019, fiscal 2018 and fiscal 2017, respectively. The growth in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 generation technologies and product opportunities. We maintain close collaborative relationships with many of our customers to help identify market demands and target our development efforts to meet those demands.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 source suppliers. We purchase materials and services primarily pursuant to individual purchase orders. However, we have entered into certain supply agreements for the purchase of raw materials or other manufacturing related services that specify minimum prices and purchase quantity based on our anticipated future requirements. Such amounts are reviewed and included in our contractual obligations and commitments as required. Certain of our suppliers consign raw materials to us at our manufacturing facilities to which we take title as needed in our manufacturing process. We believe we have adequate sources for the supply of raw materials and components for our manufacturing needs with suppliers located around the world.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INVENTORY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We also maintain Skyworks-owned finished goods inventory at certain customer “hub” locations. We do not recognize revenue until these customers consume the Skyworks-owned inventory from these hub locations.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state and local requirements relating to the discharge of substances into the environment, the disposal of hazardous wastes, and other activities affecting the environment have had, and will continue to have, an impact on our manufacturing operations. Most of our customers have mandated that our products comply with various local, regional and national “green” initiatives initiated by such customers or the locations in which they operate. We believe that our current expenditures for environmental capital investment and remediation necessary to comply with present regulations governing environmental protection, and other expenditures for the resolution of environmental claims, will not have a material adverse effect on our liquidity and capital resources, competitive position or financial condition. Environmental regulations are subject to change in the future, and accordingly we are unable to assess the possible effect of compliance with future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and the fourth fiscal quarter ending in September. The lowest demand for our handset products generally occurs in our second fiscal quarter ending in March and the third fiscal quarter ending in June.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27, 2019, we employed approximately 9,000 employees world-wide. Approximately 2,850 of our employees in Mexico, 315 employees in Singapore, and 320 employees in Japan are covered by collective bargaining and other union agreements.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impacted by any of these risks. The risks and uncertainties described below are not the only ones we face. Additional risks not currently known to us or other factors not perceived by us to present significant risks to our business at this time may impair our business operations,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the highly cyclical semiconductor industry, which is subject to significant downturns.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Uncertainty and economic weakness could result in a market contraction and, as a result, our business, financial condition and results of operations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affect our business, financial condition, and results of operations beyond our current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quarterly and annual fluctuations and market downturns.</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 among others:</w:t>
      </w:r>
    </w:p>
    <w:p>
      <w:pPr>
        <w:spacing w:after="0" w:line="27"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end-user demand for the products manufactured and sold by our customers,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competitive pricing pressures, including decreases in average selling prices of our products,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levels and fluctuations in manufacturing yields,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materials and services from our suppliers,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technology introductions by competitors,</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standards by standard-setting bodies and delays in the commercial deployment of certain technologies (including, but not limited to, 5G),</w:t>
      </w:r>
    </w:p>
    <w:p>
      <w:pPr>
        <w:ind w:left="820" w:right="20" w:hanging="488"/>
        <w:spacing w:after="0" w:line="250"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government regulators to restrict or delay the availability of sufficient spectrum for wireless technologies, including technologies that utilize unlicensed spectrum and/or shared spectrum,</w:t>
      </w: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consumers’ rates of replacement of smartphones and other devices that utilize our products,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industry consolidation among our competitors,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produced and sold,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 (including, but not limited to, market acceptance of 5G products), and</w:t>
      </w:r>
    </w:p>
    <w:p>
      <w:pPr>
        <w:spacing w:after="0" w:line="9" w:lineRule="exact"/>
        <w:rPr>
          <w:rFonts w:ascii="Times New Roman" w:cs="Times New Roman" w:eastAsia="Times New Roman" w:hAnsi="Times New Roman"/>
          <w:sz w:val="18"/>
          <w:szCs w:val="18"/>
          <w:color w:val="auto"/>
        </w:rPr>
      </w:pPr>
    </w:p>
    <w:p>
      <w:pPr>
        <w:ind w:left="820" w:hanging="488"/>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 including those concerning payments associated with the licensing and/or sale of intellectual property, and related remedies (e.g., monetary damages, injunctions, or exclusion orders affecting our or our customers’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certain methods, assumptions, estimates, and other subjective judgments in order to apply our accounting policies and to project future performance, projections which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 that differ significantly from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previous estimates and projections. If our operating results fail to meet the expectations of analysts or investors, it could materially and adversely affect the price of our common stock.</w:t>
      </w:r>
    </w:p>
    <w:p>
      <w:pPr>
        <w:spacing w:after="0" w:line="158" w:lineRule="exact"/>
        <w:rPr>
          <w:sz w:val="20"/>
          <w:szCs w:val="20"/>
          <w:color w:val="auto"/>
        </w:rPr>
      </w:pPr>
    </w:p>
    <w:p>
      <w:pPr>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reliance on a small number of customers for a large portion of our sales could have a material adverse effect on the results of our operations. </w:t>
      </w:r>
      <w:r>
        <w:rPr>
          <w:rFonts w:ascii="Times New Roman" w:cs="Times New Roman" w:eastAsia="Times New Roman" w:hAnsi="Times New Roman"/>
          <w:sz w:val="18"/>
          <w:szCs w:val="18"/>
          <w:color w:val="auto"/>
        </w:rPr>
        <w:t xml:space="preserve">Significant portions of our sales are concentrated among a limited number of customers. If we lost one or more of these major customers, or if one or more major customers significantly decreased its orders for our products, our business could be materially and adversely affected. In each of fiscal 2019 and fiscal 2018, one customer accounted for greater than ten percent of our net revenue. In fiscal 2017, three customers each accounted for ten percent or greater of our net revenue. For further discussion see </w:t>
      </w:r>
      <w:hyperlink w:anchor="page56">
        <w:r>
          <w:rPr>
            <w:rFonts w:ascii="Times New Roman" w:cs="Times New Roman" w:eastAsia="Times New Roman" w:hAnsi="Times New Roman"/>
            <w:sz w:val="18"/>
            <w:szCs w:val="18"/>
            <w:u w:val="single" w:color="auto"/>
            <w:color w:val="0000EE"/>
          </w:rPr>
          <w:t>Note 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fluctuate in the future.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common stock has and may continue to fluctuate significantly. Such fluctuations may be influenced by many factors, including:</w:t>
      </w:r>
    </w:p>
    <w:p>
      <w:pPr>
        <w:spacing w:after="0" w:line="9" w:lineRule="exact"/>
        <w:rPr>
          <w:sz w:val="20"/>
          <w:szCs w:val="20"/>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financial markets,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prospects of the domestic and foreign economies,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credit and financial markets,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and prospects,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prospects of our major customers and competitors,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concentrations with relatively few customers,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in which we operate,</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price targets, or buy/sell recommendations by analysts,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conditions,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tax, fiscal, and trade policy decisions,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acquire, and integrate acquisition candidates.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stock markets have experienced price and trading volume volatility. This volatility has affected, and could significantly and negatively affect, the market prices of securities of many technology companies, particularly the market price of our common stock. Such volatility could materially and adversely affect the market price of our common stock in future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Our company has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180"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wireless communications and analog semiconductor markets are characterized by significant competition which may cause pricing pressures, decreased gross margins and rapid loss of market share and may materially and adversely affect our business,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wireless communications semiconductor industry, in general, and the other analog markets in which we compete are very competitive. We compete with international and United States semiconductor manufacturers of all sizes in terms of resources and market share, including, but not limited to, Analog Devices, Broadcom, Cirrus Logic, Maxim Integrated Products, Murata Manufacturing, NXP Semiconductors, Qorvo, and Qualcomm.</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face significant competition in our markets and expect that intense price and product competition will continue.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communications electronics, the trend toward global expansion by foreign and domestic competitors and technological and public policy changes (including national or regional policies intended to develop and support localized competitors). We believe that the principal competitive factors for semiconductor suppliers in our markets include, among others:</w:t>
      </w: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time-to-market and product ramps (including, but not limited to, high-volume product ramps),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new product innovation,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capture design wins in new growth markets, such as 5G,</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reliability, and performance,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certain products, including “high reliability” solutions, to perform under stringent operating conditions,</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cost and selling price,</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available in products,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customer performance specifications,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 with customers,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and the protection and enforcement of, intellectual property,</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partner with or participate in reference designs of baseband vendors,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access to manufacturing capacity, raw materials, supplies, and services at a competitive cost.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might not be able to successfully address these factors. Many of our competitors benefit from:</w:t>
      </w:r>
    </w:p>
    <w:p>
      <w:pPr>
        <w:spacing w:after="0" w:line="27"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presence in key markets,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customer satisfaction,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integration,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baseband partnership/participation in reference designs,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product portfolio allowing them to bundle product offerings,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or control of key technology or intellectual property,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sales and marketing, manufacturing, distribution, technical, or other resources.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certain competitors may be able to adapt more quickly than we can to new or emerging technologies and changes in customer requirements or may be able to devote greater resources to the development, promotion, and sale of their products than we can. As a result of industry consolidation, certain competitors may be able to further exploit such benefits to strengthen their competitive position.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or if the interoperability of our solution with the partner’s baseband products were to be restricted, our business could be adversely impacted.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and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financial condition, and results of operations.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Original Equipment Manufacturers, or OEMs, and Original Design Manufacturers, or ODMs, of communications electronics products do not design our products into their equipment, we will have difficulty selling those products. Moreover, a “design win” from a customer does not guarantee future sales to that customer.</w:t>
      </w: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products are not sold directly to the end-user, but are components or subsystems of other products. As a result, we rely on OEMs and ODMs of wireless communications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doing business internationally.</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substantial majority of our net revenue is derived from shipments to customers located outside the United States, primarily in countries located in the Asia-Pacific region and Europe. We have suppliers located outside the United States, and third-party packaging, assembly, and test facilities and foundries located in the Asia-Pacific region. We maintain wafer fabrication facilities in Kadoma, Japan, and Osaka, Japan, as well as packaging, assembly, and test facilities in Mexicali, Mexico, and in Singapore. Our international</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operations are subject to a number of risks inherent in selling and operating abroad. These include, but are not limited to, risks regarding:</w:t>
      </w:r>
    </w:p>
    <w:p>
      <w:pPr>
        <w:spacing w:after="0" w:line="27" w:lineRule="exact"/>
        <w:rPr>
          <w:sz w:val="20"/>
          <w:szCs w:val="20"/>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including increases or decreases in commodities prices related to such fluctuations,</w:t>
      </w:r>
    </w:p>
    <w:p>
      <w:pPr>
        <w:spacing w:after="0" w:line="9" w:lineRule="exact"/>
        <w:rPr>
          <w:rFonts w:ascii="Times New Roman" w:cs="Times New Roman" w:eastAsia="Times New Roman" w:hAnsi="Times New Roman"/>
          <w:sz w:val="18"/>
          <w:szCs w:val="18"/>
          <w:color w:val="auto"/>
        </w:rPr>
      </w:pPr>
    </w:p>
    <w:p>
      <w:pPr>
        <w:jc w:val="both"/>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 including, but not limited to, social, economic, and political instability related to the uncertainty regarding the relationships between the United States and China, Russia, Mexico, North Korea, Middle Eastern countries, other foreign countries, and the international community at large, and related to the United Kingdom’s pending withdrawal from the European Union,</w:t>
      </w:r>
    </w:p>
    <w:p>
      <w:pPr>
        <w:spacing w:after="0" w:line="1" w:lineRule="exact"/>
        <w:rPr>
          <w:rFonts w:ascii="Times New Roman" w:cs="Times New Roman" w:eastAsia="Times New Roman" w:hAnsi="Times New Roman"/>
          <w:sz w:val="18"/>
          <w:szCs w:val="18"/>
          <w:color w:val="auto"/>
        </w:rPr>
      </w:pPr>
    </w:p>
    <w:p>
      <w:pPr>
        <w:jc w:val="both"/>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governmental actions (such as restrictions on transfer of funds and trade protection measures, including export duties, quotas, customs duties, border taxes, border closures, increased import or export controls, and tariffs), or actions by non-governmental individuals and groups (such as protests, insurgencies, and organized crime), that could negatively impact trade between, or increase the cost of operating in, the countries in which we do business,</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workers’ rights,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collect accounts receivable,</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non-compliance with, legal or regulatory import/export requirements, including restrictions on selling to certain customers or into certain jurisdictions,</w:t>
      </w: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terrorism, widespread illness, and war,</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other unauthorized transfers of our electronic information and breaches of our information systems, as well as the potential lack of adequate remedies in certain jurisdictions,</w:t>
      </w: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distribution and support,</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government actions, subsidies or policies aimed at supporting local industry,</w:t>
      </w:r>
    </w:p>
    <w:p>
      <w:pPr>
        <w:spacing w:after="0" w:line="9" w:lineRule="exact"/>
        <w:rPr>
          <w:rFonts w:ascii="Times New Roman" w:cs="Times New Roman" w:eastAsia="Times New Roman" w:hAnsi="Times New Roman"/>
          <w:sz w:val="18"/>
          <w:szCs w:val="18"/>
          <w:color w:val="auto"/>
        </w:rPr>
      </w:pPr>
    </w:p>
    <w:p>
      <w:pPr>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policies of the United States and other countries affecting trade, foreign investment and loans, foreign travel, and import or export licensing requirements,</w:t>
      </w:r>
    </w:p>
    <w:p>
      <w:pPr>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existing trade agreements by the United States (or other jurisdictions) potentially affecting Mexico, China, and other countries in which we do business,</w:t>
      </w:r>
    </w:p>
    <w:p>
      <w:pPr>
        <w:ind w:left="820" w:right="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tax law or regulations or new interpretations thereof, by federal or state agencies or foreign governments (including changes in certain countries in Europe and elsewhere regarding corporate taxes, transfer pricing, and tax treaty provisions),</w:t>
      </w: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effective tax rate as a result of our overall profitability and mix of earnings in countries with differing statutory tax rates,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audits and examination of previously filed tax returns,</w:t>
      </w:r>
    </w:p>
    <w:p>
      <w:pPr>
        <w:spacing w:after="0" w:line="9" w:lineRule="exact"/>
        <w:rPr>
          <w:rFonts w:ascii="Times New Roman" w:cs="Times New Roman" w:eastAsia="Times New Roman" w:hAnsi="Times New Roman"/>
          <w:sz w:val="18"/>
          <w:szCs w:val="18"/>
          <w:color w:val="auto"/>
        </w:rPr>
      </w:pPr>
    </w:p>
    <w:p>
      <w:pPr>
        <w:jc w:val="both"/>
        <w:ind w:left="820" w:hanging="488"/>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being exposed to legal proceedings and potential penalties in a foreign jurisdiction, and/or increased compliance expense, as a result of the numerous, and sometimes conflicting, legal regimes on matters as diverse as anti-corruption, anti-bribery, import/export controls, content requirements, trade restrictions, tariffs, taxation, sanctions, immigration, internal and disclosure control obligations, securities regulation, anti-competition, data privacy and protection (including, but not limited to, the European Union’s General Data Protection Regulation), employment, and labor relations,</w:t>
      </w:r>
    </w:p>
    <w:p>
      <w:pPr>
        <w:spacing w:after="0" w:line="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or enforce our intellectual property rights in a particular foreign jurisdiction,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repatriate foreign earnings and/or funds and the unfavorable tax impactions related to the same.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 Limitations or changes in policy on phone subsidies in the United States, South Korea, Japan, China, and other countries may have additional negative impacts on our revenues.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may establish legal and regulatory regimes that differ materially from United States laws and regulations. Compliance with diverse legal requirements is costly and time-consuming and requires significant resources. Violations of one or more of these regulations in the conduct of our business could result in significant fines or monetary damages, criminal sanctions against us or our officers, prohibitions on doing business, unfavorable publicity and other reputation damage, restrictions on our ability to process information, and allegations by our clients that we have not performed our contractual obligations.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particularly exposed to risks of doing business in China. Although we intend to expand our business and operations in China, our success in the Chinese markets may be adversely affected by China’s continuously evolving laws and regulations, including those relating to taxation, import and export tariffs, currency controls, anti-corruption, environmental regulations, indigenous innovation, and intellectual property rights and enforcement of those rights. Enforcement of existing laws or agreements may be inconsistent. In addition, changes in the political environment, governmental policies or United States-China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 In particular, the imposition by the United States of tariffs on goods imported from China or deemed to be of Chinese origin and other government actions that restrict our ability to sell our products to Chinese customers or to manufacture or source components in China, and countermeasures imposed by China in response, could directly or indirectly adversely impact our manufacturing costs and the sales of our products in China and elsewhere. For example, in May 2019, the U.S. Bureau of Industry and Security of the U.S. Department of Commerce placed Huawei and certain of its affiliates on the Bureau’s Entity List, which resulted in our temporarily suspending shipments to Huawei, and which is expected to adversely affect future demand for our products from this customer. Further, the evolving labor market and increasing labor unrest in China may have a negative impact on our customers, which would result in a negative impact on our business and results of operations. Finally, China’s stated policy of reducing its dependence on foreign semiconductor manufacturers and other technology companies could result in reduced demand for our products in China and other key markets as well as reduced supply of critical materials for our products.</w:t>
      </w:r>
    </w:p>
    <w:p>
      <w:pPr>
        <w:spacing w:after="0" w:line="19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processes are extremely complex and specialized, and disruptions could have a material adverse effect on our business, financial condition, and results of operations.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our operations may be affected by lengthy or recurring disruptions of operations at any of our production facilities, as well as disruptions at facilities operated by our subcontractors or customers. These disruptions may result from electrical power outages,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financial condition, and results of operations. Our key facilities include, but are not limited to, our semiconductor wafer fabrication facilities in Newbury Park, California, and Woburn, Massachusetts, our SAW, TC-SAW, and BAW filter wafer fabrication facilities in Kadoma, Japan, and Osaka, Japan, and our assembly and test facilities in Mexicali, Mexico, and in Singapore.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improve manufacturing yields that contribute positively to our gross margin and profitability.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Remaining competitive in the semiconductor industry depends upon our ability to develop new products, reduce costs in a timely manner, transition to smaller geometry process technologies, and achieve higher levels of design integration.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The successful development and commercialization of semiconductor devices and modules is highly complex and depends on numerous factors, including the ability:</w:t>
      </w:r>
    </w:p>
    <w:p>
      <w:pPr>
        <w:spacing w:after="0" w:line="3" w:lineRule="exact"/>
        <w:rPr>
          <w:sz w:val="20"/>
          <w:szCs w:val="20"/>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anticipate customer and market requirements and changes in technology and industry standards,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sufficient manufacturing capacity to meet customer demand,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define new products that meet customer and market requirements,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development of new products and bring products to market on a timely basis,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differentiate our products from offerings of our competitors,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achieve overall market acceptance of our products,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lengthen the time that a particular product is in demand,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adequate intellectual property protection for our new products.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manufacture current products, and to develop new products, depends on, among other factors, the viability and flexibility of our own internal information technology systems.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continually evaluate expenditures for planned product development and choose among alternatives based on our understanding of customer technical requirements, new industry standards, and expectations of future market growth. We may not be able to develop and introduce new or enhanced wireless communications and analog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and results of operations would be materially and adversely harmed.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and thereby remain competitive.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remain competitive, we expect to continue to transition many of our products to increasingly smaller geometries. This transition often requires us to upgrade our capital equipment, modify the manufacturing processes for our products, design new products to more stringent standards, and redesign some existing products. In the past,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to transition to smaller geometry processes successfully. Our foundries may not be able to effectively manage the transition or we may not be able to maintain our relationships with certain foundries. If our foundries or we experience significant delays in this transition or fail to efficiently implement this transition, our business, financial condition, and results of operations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warranty claims, product recalls, and liability claims.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invest significant resources in the testing of our products, we may discover from time to time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medical, and military markets. The potential liabilities associated with these, and similar, provisions in certain of our customer contracts are in some cases capped at significant amounts, and in other cases are uncapped. Depending on the nature of the product defects, we may not be able to recoup our losses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our third-party suppliers. These problems may divert our technical and other resources from other product development efforts and could result in claims against us by our customers or third parties, including liability for costs associated with product recalls, indemnification claims, or other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third parties for the manufacture, assembly, and testing of our products.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foundries to provide silicon-based products and to supplement our gallium arsenide wafer manufacturing capacity. There are significant risks associated with reliance on third-party foundries, including:</w:t>
      </w:r>
    </w:p>
    <w:p>
      <w:pPr>
        <w:spacing w:after="0" w:line="180" w:lineRule="exact"/>
        <w:rPr>
          <w:sz w:val="20"/>
          <w:szCs w:val="20"/>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wafer supply, potential wafer shortages, and higher wafer prices,</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respond to unanticipated changes in customer demand,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control over delivery schedules, manufacturing yields, production costs, and quality assurance,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inaccessibility of, or delays in obtaining access to, key process technologies, materials, and IP blocks.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third-party foundries may experience financial difficulties or changes in control, be unable to deliver products to us in a timely manner, or suffer damage or destruction to their facilities, particularly since some of them are located in areas prone to natural disasters. If any disruption of manufacturing capacity occurs, we may not have alternative manufacturing sources immediately available. We may therefore experience difficulties or delays in securing an adequate supply of our products, which could impair our ability to meet our customers’ needs and have a material adverse effect on our operating results.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own and operate assembly and test facilities, we still depend on subcontractors to package, assemble, and test certain of our products at cost-competitive rates. For those assembly and test subcontractors with whom we do not have long-term agreements, we typically procure services from these suppliers on a per-order basis. If any of our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assembly and test subcontractors, we could experience significant delays in product shipments if we are required to find alternative assembly and test subcontractors for our components. Any problems that we may encounter with the delivery, quality, or cost of our products could damage our customer relationships and materially and adversely affect our results of operations.</w:t>
      </w:r>
    </w:p>
    <w:p>
      <w:pPr>
        <w:spacing w:after="0" w:line="18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to contribute to the design, development, manufacture and sale of our products, we may not be able to effectively operate our business.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the source of our technological and product innovations, our key technical personnel represent a significant asset. Our success depends on our ability to continue to attract, retain, and motivate qualified personnel, including executive officers and other key management and technical personnel. The competition for management and technical personnel is intense in the semiconductor industry, and therefore we may not be able to continue to attract and retain the qualified management and other personnel necessary for the design, development, manufacture, and sale of our products. Our employees are highly sought after by our competitors and other companies. We may have particular difficulty attracting and retaining key personnel during periods of poor operating performance and/or declines in the price of our common stock, given among other factors, the use of equity-based compensation by us and our competitors. Further, existing immigration laws, together with any changes to immigration policies or regulations in the United States, make it more difficult for us to recruit and retain highly skilled foreign national graduates of universities in the United States, limiting the pool of available talent. Travel bans, difficulties obtaining visas and other restrictions on international travel make it more difficult to effectively manage our international operations, collaborate as a global company, or service our international customer base. 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would be adversely affected by the departure of existing members of our senior management team or if our senior management team is unable to effectively implement our strategy.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the continued contributions of our senior management team, none of whom is bound by a written employment contract to remain with us for a specified period. The loss of any of our senior management could harm our ability to implement our business strategy and respond to the rapidly changing market conditions in which we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involving the ordering and shipment of, and payment for, our products, could adversely affect our business.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sales are typically made pursuant to standard purchase orders and/or specified customer contracts for delivery of products and not under long-term supply arrangements with our customers. Our customers may cancel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This difficulty may be compounded when we sell to OEMs indirectly through distributors or contract manufacturers, or both, as our forecasts of demand will then be based on estimates provided by multiple parties. In addition, our customers and/or distributors may change their inventory practices on short notice for any reason. The cancellation or deferral of product orders, the return of previously sold products, or overproduction due to a change in anticipated order volumes could result in us holding excess or obsolete inventory, which could result in inventory write-downs and, in turn, could have a material adverse effect on our financial condition. Some of our customers have implemented vendor-managed inventory, consignment, or similar inventory programs which may result in an increase in the time between manufacture of, and payment for, our products.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a customer or distributor encounters financial difficulties of its own as a result of a change in demand or for any other reason, the customer’s or distributor’s ability to make timely payments against our accounts receivable could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third parties for the supply of raw materials and components.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precious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and we may not be able to purchase such supplies or material at a competitive cost. If a supplier were unable to meet our delivery schedules or if we lost a supplier or a supplier were unable to meet performance or quality specifications, our ability to satisfy customer obligations would be materially and adversely affected. 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information technology security breaches.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Security breaches, phishing, spoofing, attempts by others to gain unauthorized access to our information technology systems, and other cyberattacks are becoming more sophisticated and persistent and are sometimes successful. These incidents, which might be related to industrial or other espionage, include covertly introducing malware and spyware to our computers and networks (or to an electronic system operated by a third party for our benefit) and impersonating authorized users, among others. We seek to detect and investigate all security incidents and to prevent their recurrence, but in some cases, we might be unaware of an incident or its magnitude and effects. The theft, unauthorized use, transfer, or publication of our intellectual property, our confidential business information, or the personal data of our employees by third parties or by our employees could harm our competitive position, reduce the value of our investment in research and development and other strategic initiatives or otherwise adversely affect our business. To the extent that any security breach or other cybersecurity incident results in inappropriate disclosure of our customers’, suppliers’, licensees’ or employees’ confidential information, we may incur liability as a result. We expect to continue devoting significant resources to the security of our information technology systems and the training of our employees. However, we cannot ensure that our efforts will be sufficient to prevent or mitigate the damage caused by a cyberattack, cybersecurity incident, or network disruption.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protecting our intellectual property rights, our ability to compete successfully may be materially and adversely affected.</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patent, copyright, trademark, trade secret, and other intellectual property rights and laws, as well as nondisclosure and confidentiality agreements and other methods, to protect our proprietary technologies, inventions, information, data, devices, algorithms, processes, and other intellectual property. In addition, we often incorporate the intellectual property of our customers, suppliers, or other third parties into our designs, and we have obligations with respect to the non-use and non-disclosure of such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intellectual property. From time to time, it may be necessary to engage in litigation or like activities to enforce our intellectual property rights, to protect our trade secrets, or to determine the validity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180" w:lineRule="exact"/>
        <w:rPr>
          <w:sz w:val="20"/>
          <w:szCs w:val="20"/>
          <w:color w:val="auto"/>
        </w:rPr>
      </w:pPr>
    </w:p>
    <w:p>
      <w:pPr>
        <w:ind w:left="820" w:hanging="488"/>
        <w:spacing w:after="0" w:line="26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we take to prevent misappropriation, infringement, dilution, or other violation of our intellectual property or the intellectual property of our customers, suppliers, or other third parties may not be successful, and</w:t>
      </w:r>
    </w:p>
    <w:p>
      <w:pPr>
        <w:ind w:left="820" w:hanging="488"/>
        <w:spacing w:after="0" w:line="26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existing or future patents, copyrights, trademarks, trade secrets, or other intellectual property rights may be challenged, invalidated, deemed unenforceable, or circumvented.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third party could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attempt to control access to, and distribution of, our proprietary and confidential information through operational, technological, and legal safeguards. Despite our efforts, parties, including former or current employees, may attempt to copy, disclose, transfer, or obtain access to our information without our authorization. Furthermore, attempts by computer hackers to gain unauthorized access to our systems or information could result in our confidential and/or proprietary information being compromised or our operations being interrupted. While we attempt to prevent such unauthorized access or misappropriation we may be unable to anticipate the methods used, or be unable to prevent the release of our confidential and/or proprietary information or that of a third party.</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 or demands that we license third-party technology, which could result in significant expense and prevent us from using our technology.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enforcement, and pursuit of intellectual property rights. From time to time, third parties have asserted and may in the future assert patent, copyright, trademark, and other intellectual property rights against technologies that are important to our business and have demanded and may in the future demand that we license their technology or refrain from using it.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litigation to determine the validity of any allegations that our products infringe or may infringe intellectual property rights of another party, including indemnification claims arising from our contractual obligations of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If litigation were to result in an adverse ruling, we could be required to:</w:t>
      </w:r>
    </w:p>
    <w:p>
      <w:pPr>
        <w:spacing w:after="0" w:line="3"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import, use, sale, or offer for sale of infringing products or processes,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infringing technology,</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technology,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 party claiming infringement, which license may not be available on commercially reasonable terms.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or financial condition may be materially adversely affected if we, or one of our customers, were required to take any one or more of the foregoing 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currently incorporate technology licensed or acquired from third parties and we expect our products in the future to also require technology from third parties. If the licenses to such technology that we currently hold become unavailable or the terms on which they are available become commercially unreasonable, or if we are unable to acquire or license necessary technology for our products in the future, our business could be adversely affected.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products in markets that are characterized by rapid technological changes, evolving industry standards, frequent new product introductions, short product life cycles, and increasing levels of integration. Our ability to keep pace with this market depends on our ability to obtain technology from third parties on commercially reasonable terms to allow our products to remain competitive. If licenses to such technology are not available on commercially reasonable terms and conditions or at all, and we cannot otherwise acquire or integrate such technology, our products or our customers’ products could become unmarketable or obsolete, and we could lose market share. In such instances, we could also incur substantial unanticipated costs or scheduling delays to develop substitute technology to deliver competitive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declare cash dividends or repurchase our stock.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pay quarterly cash dividends subject to capital availability and periodic determinations by our Board of Directors that cash dividends are in the best interest of our stockholders. In addition, from time to time the Board of Directors approves stock repurchase programs, pursuant to which we are authorized to repurchase shares of common stock on the open market or in privately negotiated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cash dividends and the amount and timing of our stock repurchases may be affected by, among other factors:</w:t>
      </w:r>
    </w:p>
    <w:p>
      <w:pPr>
        <w:spacing w:after="0" w:line="27" w:lineRule="exact"/>
        <w:rPr>
          <w:sz w:val="20"/>
          <w:szCs w:val="20"/>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views on potential future capital requirements, including those related to acquisitions as well as research and development,</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earnings and cash flows,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to consummate various acquisition transactions,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 related to cash dividends and stock repurchase programs,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and state income tax laws or corporate laws,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business model.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dividend payments may change from time to time, and we cannot provide assurance that we will increase our cash dividend payment or declare cash dividends in any particular amounts or at all. A reduction in our cash dividend payments or a reduction in the level of our stock repurchases could have a negative effect on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worldwide could have an adverse impact on our operating results.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are subject to taxation in many different countries and localities worldwide. To the extent the tax laws and regulations in these various countries and localities could change, including the Base Erosion and Profit Shifting project being conducted by the Organization for Economic Co-operation and Development, our tax liability in general could increase.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legislation (the “Tax Reform Act”), enacted by the United States in December 2017, included several changes to U.S. tax laws that have had, and will continue to have, a significant impact on our operations, including a reduction in the U.S. corporate tax rate, base-erosion prevention measures on earnings of our non-U.S. subsidiaries, and a one-time mandatory deemed repatriation tax on earnings of certain foreign jurisdictions. Because these changes require a number of complex calculations that previously were not required, our actual tax liability may differ materially from our income tax provisions, estimates, and accruals. Changes in our interpretations and assumptions, as well as additional guidance issued, could increase income tax liabilities and/or reduce certain tax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that capital needed for our business will not be available when we need it.</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that our existing cash and cash equivalents and cash generated from operations are insufficient to fund our future activities,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strategic investments and acquisitions that we may make to help us grow our business may require additional capital resources. The capital required to fund these investments and acquisitions may not be available in the future.</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 be successful we may need to make certain investments and acquisitions, integrate companies we acquire, and/or enter into strategic alliances. </w:t>
      </w:r>
      <w:r>
        <w:rPr>
          <w:rFonts w:ascii="Times New Roman" w:cs="Times New Roman" w:eastAsia="Times New Roman" w:hAnsi="Times New Roman"/>
          <w:sz w:val="18"/>
          <w:szCs w:val="18"/>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securities dilutive to our stockholders,</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other impairment write-offs,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debt and assumption of unknown liabilities,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from the acquired company,</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additional liabilities known or unknown at the time of acquisition,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intangible assets,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integrating acquired organizations and their products and services may be difficult, expensive, time-consuming, and a strain on our resources and our relationship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Increasingly stringent environmental laws, rules, and regulations may require us to redesign our existing products and processes, and could adversely affect our ability to cost-effectively produce our products.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climate change,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which will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domestic and foreign jurisdictions restrict or may seek to restrict the use of various substances, a number of which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and other climate change-based rules and regulations, which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our organizational documents and Delaware law may make it difficult for someone to acquire control of us.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certain anti-takeover measures that may affect our common stock. Our certificate of incorporation, our by-laws, and the Delaware General Corporation Law contain several provisions that would make more difficult an acquisition of control of us in a transaction not approved by our Board of Directors. Our certificate of incorporation and by-laws include provisions such as:</w:t>
      </w:r>
    </w:p>
    <w:p>
      <w:pPr>
        <w:spacing w:after="0" w:line="1" w:lineRule="exact"/>
        <w:rPr>
          <w:sz w:val="20"/>
          <w:szCs w:val="20"/>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in one or more series without further authorization of stockholders,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9" w:lineRule="exact"/>
        <w:rPr>
          <w:rFonts w:ascii="Times New Roman" w:cs="Times New Roman" w:eastAsia="Times New Roman" w:hAnsi="Times New Roman"/>
          <w:sz w:val="18"/>
          <w:szCs w:val="18"/>
          <w:color w:val="auto"/>
        </w:rPr>
      </w:pPr>
    </w:p>
    <w:p>
      <w:pPr>
        <w:ind w:left="820" w:right="20" w:hanging="488"/>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w:t>
      </w:r>
    </w:p>
    <w:p>
      <w:pPr>
        <w:ind w:left="820" w:hanging="488"/>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jc w:val="both"/>
        <w:ind w:left="820" w:hanging="488"/>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price provision,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affirmative vote of at least 90% of our shares be obtained to amend or repeal the fair price provision.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executive offices in Irvine, California, and Woburn, Massachusetts. For information regarding property, plant and equipment by geographic region for each of the last three fiscal years, see </w:t>
      </w:r>
      <w:hyperlink w:anchor="page56">
        <w:r>
          <w:rPr>
            <w:rFonts w:ascii="Times New Roman" w:cs="Times New Roman" w:eastAsia="Times New Roman" w:hAnsi="Times New Roman"/>
            <w:sz w:val="18"/>
            <w:szCs w:val="18"/>
            <w:u w:val="single" w:color="auto"/>
            <w:color w:val="0000EE"/>
          </w:rPr>
          <w:t>Note 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 The following table sets forth our principal facilities: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Primary Function</w:t>
            </w:r>
          </w:p>
        </w:tc>
      </w:tr>
      <w:tr>
        <w:trPr>
          <w:trHeight w:val="249"/>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Mexicali, Mexico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380,000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Woburn, Massachusetts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158,000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Adamstown, Maryland</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Newbury Park, California</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111,600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Osaka, Japan</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405,300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Filter manufacturing</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Singapore, Singapore</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298,800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Filter manufacturing</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Irvine,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218,500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 and office space</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Mexicali, Mexico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179,000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Newbury Park,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115,700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Kadoma, Japan</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97,300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Filter 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Ottawa, Ontario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82,200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Hillsboro, Oregon</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center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Jose,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51,900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 and office space</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Cedar Rapids, Iowa</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Andover, Massachusetts</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Seoul, Korea</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Basking Ridge, New Jersey</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shd w:val="clear" w:color="auto" w:fill="CCEEFF"/>
          </w:tcPr>
          <w:p>
            <w:pPr>
              <w:spacing w:after="0"/>
              <w:rPr>
                <w:sz w:val="21"/>
                <w:szCs w:val="21"/>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under </w:t>
      </w:r>
      <w:hyperlink w:anchor="page55">
        <w:r>
          <w:rPr>
            <w:rFonts w:ascii="Times New Roman" w:cs="Times New Roman" w:eastAsia="Times New Roman" w:hAnsi="Times New Roman"/>
            <w:sz w:val="18"/>
            <w:szCs w:val="18"/>
            <w:u w:val="single" w:color="auto"/>
            <w:color w:val="0000EE"/>
          </w:rPr>
          <w:t>Note 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Notes to Consolidated Financial Statements in Item 8 of this Annual Report on Form 10-K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“SWKS”.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stockholders of record of our common stock as of November 12, 2019, was 11,174. On November 12, 2019, the Company announced that the Board of Directors had declared a cash dividend of $0.44 per share of common stock, payable on December 24, 2019, to stockholders of record as of December 3, 2019. We intend to continue to pay quarterly dividends subject to capital availability and our view that cash dividends are in the best interests of our stockholders. Future cash dividends may be affected by, among other items, our views on potential future capital requirements, including those relating to research and development, creation and expansion of sales distribution channels and investments and acquisitions, legal risks, stock repurchase programs, debt issuance, changes in federal and state income tax law and changes to our business model.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common stock made during the fiscal quarter ended September 27,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2260" w:type="dxa"/>
            <w:vAlign w:val="bottom"/>
            <w:vMerge w:val="continue"/>
          </w:tcPr>
          <w:p>
            <w:pPr>
              <w:spacing w:after="0"/>
              <w:rPr>
                <w:sz w:val="16"/>
                <w:szCs w:val="16"/>
                <w:color w:val="auto"/>
              </w:rPr>
            </w:pPr>
          </w:p>
        </w:tc>
        <w:tc>
          <w:tcPr>
            <w:tcW w:w="2260" w:type="dxa"/>
            <w:vAlign w:val="bottom"/>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Programs (1)</w:t>
            </w:r>
          </w:p>
        </w:tc>
        <w:tc>
          <w:tcPr>
            <w:tcW w:w="0" w:type="dxa"/>
            <w:vAlign w:val="bottom"/>
          </w:tcPr>
          <w:p>
            <w:pPr>
              <w:spacing w:after="0"/>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6/29/19-7/26/19</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1,277(2)</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$81.69</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$1.77 billion</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7/27/19-8/23/19</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780,814(3)</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$76.72</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772,437</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 billion</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8/24/19-9/27/19</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1,163,658(4)</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1,160,559</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$1.63 billion</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1,945,749</w:t>
            </w:r>
          </w:p>
        </w:tc>
        <w:tc>
          <w:tcPr>
            <w:tcW w:w="226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1,932,996</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180" w:hanging="10"/>
        <w:spacing w:after="0" w:line="255"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repurchase program approved by the Board of Directors on January 30, 2019, authorizes the repurchase of up to $2.0 billion of our common stock from time to time on the open market or in privately negotiated transactions as permitted by securities laws and other legal requirements. The January 30, 2019, stock repurchase program replaced in its entirety the January 31, 2018, plan and is scheduled to expire on January 30, 2021.</w:t>
      </w:r>
    </w:p>
    <w:p>
      <w:pPr>
        <w:spacing w:after="0" w:line="24" w:lineRule="exact"/>
        <w:rPr>
          <w:rFonts w:ascii="Times New Roman" w:cs="Times New Roman" w:eastAsia="Times New Roman" w:hAnsi="Times New Roman"/>
          <w:sz w:val="18"/>
          <w:szCs w:val="18"/>
          <w:color w:val="auto"/>
        </w:rPr>
      </w:pPr>
    </w:p>
    <w:p>
      <w:pPr>
        <w:ind w:left="180" w:hanging="10"/>
        <w:spacing w:after="0" w:line="281" w:lineRule="auto"/>
        <w:tabs>
          <w:tab w:leader="none" w:pos="4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by us at the fair market value of the common stock as of the applicable purchase date, in connection with the satisfaction of tax withholding obligations under equity award agreements.</w:t>
      </w:r>
    </w:p>
    <w:p>
      <w:pPr>
        <w:spacing w:after="0" w:line="1"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4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772,437 shares were repurchased at an average price of $76.73 per share as part of our stock repurchase program, and 8,377 shares were repurchased by us at the fair market value of the common stock as of the applicable purchase date, in connection with the satisfaction of tax withholding obligations under equity award agreements with an average price of $76.33 per share.</w:t>
      </w:r>
    </w:p>
    <w:p>
      <w:pPr>
        <w:spacing w:after="0" w:line="14"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1,160,559 shares were repurchased at an average price of $75.01 per share as part of our stock repurchase program, and 3,099 shares were repurchased by us at the fair market value of the common stock as of the applicable purchase date, in connection with the satisfaction of tax withholding obligations under equity award agreements with an average price of $74.95 per share.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set forth below for the five years ended September 27, 2019, is not necessarily indicative of results of future operations, and should be read in conjunction with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our consolidated financial statements and related notes included in Part II, Item 8 of this Annual Report on Form 10-K to fully understand factors that may affect the comparability of the information presented below. Our fiscal year ends on the Friday closest to September 30. Fiscal 2019, 2018, 2017, 2016, and 2015 each consisted of 52 weeks and ended on September 27, 2019, September 28, 2018, September 29, 2017, September 30, 2016, and October 2, 2015,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selected financial data (in millions, except per share data):</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27, 2019 (1)</w:t>
            </w:r>
          </w:p>
        </w:tc>
        <w:tc>
          <w:tcPr>
            <w:tcW w:w="1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28, 2018 (2)</w:t>
            </w:r>
          </w:p>
        </w:tc>
        <w:tc>
          <w:tcPr>
            <w:tcW w:w="140" w:type="dxa"/>
            <w:vAlign w:val="bottom"/>
          </w:tcPr>
          <w:p>
            <w:pPr>
              <w:spacing w:after="0"/>
              <w:rPr>
                <w:sz w:val="12"/>
                <w:szCs w:val="12"/>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1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2016 (3)</w:t>
            </w:r>
          </w:p>
        </w:tc>
        <w:tc>
          <w:tcPr>
            <w:tcW w:w="240" w:type="dxa"/>
            <w:vAlign w:val="bottom"/>
          </w:tcPr>
          <w:p>
            <w:pPr>
              <w:spacing w:after="0"/>
              <w:rPr>
                <w:sz w:val="12"/>
                <w:szCs w:val="12"/>
                <w:color w:val="auto"/>
              </w:rPr>
            </w:pPr>
          </w:p>
        </w:tc>
        <w:tc>
          <w:tcPr>
            <w:tcW w:w="132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2680" w:type="dxa"/>
            <w:vAlign w:val="bottom"/>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3,376.8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3,868.0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3,651.4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3,289.0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3,258.4</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952.0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1,319.3</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1,253.8</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1,118.7</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1,023.1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853.6</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918.4</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1,010.2</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995.2</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798.3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6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14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14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140" w:type="dxa"/>
            <w:vAlign w:val="bottom"/>
            <w:shd w:val="clear" w:color="auto" w:fill="CCEEFF"/>
          </w:tcPr>
          <w:p>
            <w:pPr>
              <w:spacing w:after="0"/>
              <w:rPr>
                <w:sz w:val="12"/>
                <w:szCs w:val="12"/>
                <w:color w:val="auto"/>
              </w:rPr>
            </w:pPr>
          </w:p>
        </w:tc>
        <w:tc>
          <w:tcPr>
            <w:tcW w:w="160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29, 2017</w:t>
            </w:r>
          </w:p>
        </w:tc>
        <w:tc>
          <w:tcPr>
            <w:tcW w:w="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0" w:type="dxa"/>
            <w:vAlign w:val="bottom"/>
          </w:tcPr>
          <w:p>
            <w:pPr>
              <w:spacing w:after="0"/>
              <w:rPr>
                <w:sz w:val="1"/>
                <w:szCs w:val="1"/>
                <w:color w:val="auto"/>
              </w:rPr>
            </w:pPr>
          </w:p>
        </w:tc>
      </w:tr>
      <w:tr>
        <w:trPr>
          <w:trHeight w:val="195"/>
        </w:trPr>
        <w:tc>
          <w:tcPr>
            <w:tcW w:w="2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2"/>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Working capital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1,860.6</w:t>
            </w:r>
          </w:p>
        </w:tc>
        <w:tc>
          <w:tcPr>
            <w:tcW w:w="1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1,872.5</w:t>
            </w:r>
          </w:p>
        </w:tc>
        <w:tc>
          <w:tcPr>
            <w:tcW w:w="1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2,245.8</w:t>
            </w:r>
          </w:p>
        </w:tc>
        <w:tc>
          <w:tcPr>
            <w:tcW w:w="180" w:type="dxa"/>
            <w:vAlign w:val="bottom"/>
          </w:tcPr>
          <w:p>
            <w:pPr>
              <w:spacing w:after="0"/>
              <w:rPr>
                <w:sz w:val="21"/>
                <w:szCs w:val="21"/>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1,791.9</w:t>
            </w:r>
          </w:p>
        </w:tc>
        <w:tc>
          <w:tcPr>
            <w:tcW w:w="18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1,450.8</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1,205.6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1,140.9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882.3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806.3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826.4</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4,839.6</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4,828.9</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4,573.6</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3,855.4</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3,719.4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4,122.3</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4,097.0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4,065.7</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3,541.4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3,159.2</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5" w:lineRule="exact"/>
        <w:rPr>
          <w:sz w:val="20"/>
          <w:szCs w:val="20"/>
          <w:color w:val="auto"/>
        </w:rPr>
      </w:pPr>
    </w:p>
    <w:p>
      <w:pPr>
        <w:ind w:firstLine="8"/>
        <w:spacing w:after="0" w:line="249"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2019 net revenue, net income, and earnings per share were adversely impacted as a result of the U.S. Bureau of Industry and Security of the U.S. Department of Commerce placing Huawei and certain of its affiliates on the Bureau’s Entity List (the “Entity List”) in May 2019.</w:t>
      </w:r>
    </w:p>
    <w:p>
      <w:pPr>
        <w:jc w:val="both"/>
        <w:ind w:firstLine="8"/>
        <w:spacing w:after="0" w:line="250" w:lineRule="auto"/>
        <w:tabs>
          <w:tab w:leader="none" w:pos="2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net income and earnings per share include a one-time charge of $224.6 million related to the mandatory deemed repatriation tax on foreign earnings and a one-time charge of $18.3 million related to the revaluation of deferred tax assets and liabilities at the new corporate tax rate, as a result of the Tax Reform Act.</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2016 net income and earnings per share include other income of $88.5 million related to the receipt of a merger termination fee in November 2015 in connection with the termination by PMC-Sierra, Inc. (“PMC”), of the Amended and Restated Agreement and Plan of Merger that we had entered into with PMC in 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w:t>
      </w:r>
      <w:hyperlink w:anchor="page10">
        <w:r>
          <w:rPr>
            <w:rFonts w:ascii="Times New Roman" w:cs="Times New Roman" w:eastAsia="Times New Roman" w:hAnsi="Times New Roman"/>
            <w:sz w:val="18"/>
            <w:szCs w:val="18"/>
            <w:i w:val="1"/>
            <w:iCs w:val="1"/>
            <w:u w:val="single" w:color="auto"/>
            <w:color w:val="0000EE"/>
          </w:rPr>
          <w:t>Risk Factors</w:t>
        </w:r>
      </w:hyperlink>
      <w:r>
        <w:rPr>
          <w:rFonts w:ascii="Times New Roman" w:cs="Times New Roman" w:eastAsia="Times New Roman" w:hAnsi="Times New Roman"/>
          <w:sz w:val="18"/>
          <w:szCs w:val="18"/>
          <w:i w:val="1"/>
          <w:iCs w:val="1"/>
          <w:color w:val="auto"/>
        </w:rPr>
        <w:t>” and elsewhere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together with our consolidated subsidiaries, are empowering the wireless networking revolution. Our highly innovative analog semiconductors are connecting people, places, and things spanning a number of new and previously unimagined applications within the aerospace, automotive, broadband, cellular infrastructure, connected home, industrial, medical, military, smartphone, tablet and wearable markets. Our key customers include Amazon, Apple, Arris, Bose, Cisco, DJI, Ericsson, Foxconn, Garmin, Gemalto (a Thales company), General Electric, Google, Honeywell, HTC, Huawei, Itron, Lenovo, LG Electronics, Microsoft, Motorola, Netgear, Northrop Grumman, OPPO, Rockwell Collins, Samsung, Sierra Wireless, Sonos, Technicolor, VIVO, Xiaomi and ZTE.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SEPTEMBER 27, 2019, SEPTEMBER 28, 2018, AND SEPTEMBER 29, 2017.</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results of our operations expressed as a percentage of net revenue. See Part II, Item 7 of our Annual Report on Form 10-K for the fiscal year ended September 28, 2018, filed with the SEC on November 15, 2018, as amended by Amendment No. 1 to such Annual Report on Form 10-K, filed with the SEC on January 25, 2019 (the “2018 10-K”), for Management’s Discussions and Analysis of Financial Condition and Results of Operations for the fiscal year ended September 29,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7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7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50.4</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6.7</w:t>
            </w:r>
          </w:p>
        </w:tc>
      </w:tr>
      <w:tr>
        <w:trPr>
          <w:trHeight w:val="257"/>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September 27, 2019, the following key factors contributed to our overall results of operations, financial position and cash flows:</w:t>
      </w:r>
    </w:p>
    <w:p>
      <w:pPr>
        <w:spacing w:after="0" w:line="225" w:lineRule="exact"/>
        <w:rPr>
          <w:sz w:val="20"/>
          <w:szCs w:val="20"/>
          <w:color w:val="auto"/>
        </w:rPr>
      </w:pPr>
    </w:p>
    <w:p>
      <w:pPr>
        <w:jc w:val="both"/>
        <w:ind w:left="820" w:hanging="488"/>
        <w:spacing w:after="0" w:line="26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12.7% to $3,376.8 million, as compared to fiscal 2018. This decrease in revenue was primarily driven by weakness in smartphone demand and Huawei being added to the Entity List, partially offset by the increasing number of IoT applications, our expanding analog product portfolio supporting new vertical markets including automotive, consumer, industrial, infrastructure, medical, and military, and our success in capturing a higher share of the increasing radio frequency and analog content per device as smartphone models continue to evolve.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52" w:lineRule="exact"/>
        <w:rPr>
          <w:sz w:val="20"/>
          <w:szCs w:val="20"/>
          <w:color w:val="auto"/>
        </w:rPr>
      </w:pPr>
    </w:p>
    <w:p>
      <w:pPr>
        <w:jc w:val="both"/>
        <w:ind w:left="820" w:hanging="488"/>
        <w:spacing w:after="0" w:line="26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ending cash, cash equivalents and marketable securities balance increased 3.1% to $1,082.2 million in fiscal 2019 from $1,050.2 million in fiscal 2018. This increase was primarily the result of a 8.5% increase in cash from operations to $1,367.4 million in fiscal 2019 from $1,260.6 million in fiscal 2018, partially offset by the repurchase of 8.9 million shares of our common stock for $657.6 million, capital expenditures of $398.4 million, and cash dividends of $273.9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2"/>
                <w:szCs w:val="12"/>
                <w:color w:val="auto"/>
              </w:rPr>
            </w:pPr>
          </w:p>
        </w:tc>
        <w:tc>
          <w:tcPr>
            <w:tcW w:w="1280" w:type="dxa"/>
            <w:vAlign w:val="bottom"/>
          </w:tcPr>
          <w:p>
            <w:pPr>
              <w:jc w:val="right"/>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2"/>
                <w:szCs w:val="12"/>
                <w:color w:val="auto"/>
              </w:rPr>
            </w:pPr>
          </w:p>
        </w:tc>
        <w:tc>
          <w:tcPr>
            <w:tcW w:w="12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3,376.8</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3,868.0</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3,651.4</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increased holiday sales, whereas our second and third fiscal quarters are typically lower and in line with seasonal industry trends.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$491.2 million decrease in net revenue in fiscal 2019, as compared to fiscal 2018, is primarily related to weakness in smartphone demand and Huawei being added to the Entity List, partially offset by the increasing number of IoT applications, our expanding analog product portfolio supporting new vertical markets including automotive, consumer, industrial, infrastructure, medical, and military, and our success in capturing a higher share of the increasing radio frequency and analog content per device as smartphone models continue to evolve.</w:t>
      </w:r>
    </w:p>
    <w:p>
      <w:pPr>
        <w:spacing w:after="0" w:line="180"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information regarding net revenue by geographic region and customer concentration, see </w:t>
      </w:r>
      <w:hyperlink w:anchor="page56">
        <w:r>
          <w:rPr>
            <w:rFonts w:ascii="Times New Roman" w:cs="Times New Roman" w:eastAsia="Times New Roman" w:hAnsi="Times New Roman"/>
            <w:sz w:val="18"/>
            <w:szCs w:val="18"/>
            <w:u w:val="single" w:color="auto"/>
            <w:color w:val="0000EE"/>
          </w:rPr>
          <w:t>Note 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340" w:type="dxa"/>
            <w:vAlign w:val="bottom"/>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4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1,603.8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4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1,950.7</w:t>
            </w:r>
          </w:p>
        </w:tc>
        <w:tc>
          <w:tcPr>
            <w:tcW w:w="7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1,841.8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net revenue</w:t>
            </w: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tcPr>
          <w:p>
            <w:pPr>
              <w:spacing w:after="0"/>
              <w:rPr>
                <w:sz w:val="21"/>
                <w:szCs w:val="21"/>
                <w:color w:val="auto"/>
              </w:rPr>
            </w:pP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50.4%</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represents net revenue less cost of goods sold. Our cost of goods sold consists primarily of purchased materials, labor and overhead (including depreciation and share-based compensation expense)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mitigate the gross margin impact of declining average selling prices with efforts to increase unit volumes, reduce material costs, improve manufacturing efficiencies, lower manufacturing costs of existing products and by introducing new and higher value-added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$346.9 million decrease in gross profit in fiscal 2019, as compared to fiscal 2018, was primarily the result of lower unit volumes and lower average selling prices with a gross profit impact of $546.5 million. In addition, we incurred a $66.1 million inventory-related charge due to lower expected demand as a result of Huawei being added to the Entity List. These negative impacts were partially offset by favorable product mix that positively impacted gross profit by $265.7 million. As a result of these impacts, gross profit margin decreased to 47.5% of net revenue for fiscal 2019 as compared to 50.4% in fiscal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142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260" w:type="dxa"/>
            <w:vAlign w:val="bottom"/>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424.1</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404.5</w:t>
            </w:r>
          </w:p>
        </w:tc>
        <w:tc>
          <w:tcPr>
            <w:tcW w:w="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of net revenue</w:t>
            </w:r>
          </w:p>
        </w:tc>
        <w:tc>
          <w:tcPr>
            <w:tcW w:w="20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12.5%</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direct personnel costs including share-based compensation expense, costs for pre-production evaluation and testing of new devices, masks, engineering prototypes and design tool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 in fiscal 2019, as compared to fiscal 2018, was primarily related to an increase in employee-related compensation expense and product development-related expenses. Research and development expense increased as a percentage of net revenue as a result of our increased investment in developing new technologies and products, as well as the decrease in net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2"/>
                <w:szCs w:val="12"/>
                <w:color w:val="auto"/>
              </w:rPr>
            </w:pPr>
          </w:p>
        </w:tc>
        <w:tc>
          <w:tcPr>
            <w:tcW w:w="1260" w:type="dxa"/>
            <w:vAlign w:val="bottom"/>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198.3</w:t>
            </w:r>
          </w:p>
        </w:tc>
        <w:tc>
          <w:tcPr>
            <w:tcW w:w="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(4.6)%   $</w:t>
            </w:r>
          </w:p>
        </w:tc>
        <w:tc>
          <w:tcPr>
            <w:tcW w:w="13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207.8</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43"/>
        </w:trPr>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of net revenue</w:t>
            </w:r>
          </w:p>
        </w:tc>
        <w:tc>
          <w:tcPr>
            <w:tcW w:w="20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tcPr>
          <w:p>
            <w:pPr>
              <w:spacing w:after="0"/>
              <w:rPr>
                <w:sz w:val="21"/>
                <w:szCs w:val="21"/>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in fiscal 2019, as compared to fiscal 2018, was primarily related to a decrease in share-based compensation expense. Selling, general and administrative expenses increased as a percentage of net revenue primarily due to the decrease in net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intangibles, cost of goods sold</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34.1</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305.4%   $</w:t>
            </w:r>
          </w:p>
        </w:tc>
        <w:tc>
          <w:tcPr>
            <w:tcW w:w="13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100.0%   $</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intangibles, operating expense</w:t>
            </w:r>
          </w:p>
        </w:tc>
        <w:tc>
          <w:tcPr>
            <w:tcW w:w="9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13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18.3</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21"/>
                <w:szCs w:val="21"/>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amortization of intangibles, including inventory step-up</w:t>
            </w:r>
          </w:p>
        </w:tc>
        <w:tc>
          <w:tcPr>
            <w:tcW w:w="9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56.7</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26.7</w:t>
            </w: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of net revenue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amortization for fiscal 2019, as compared to fiscal 2018, was primarily due to amortization attributable to the Avnera acquisition completed in the fourth quarter of fiscal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142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0.8</w:t>
            </w:r>
          </w:p>
        </w:tc>
        <w:tc>
          <w:tcPr>
            <w:tcW w:w="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of net revenue</w:t>
            </w:r>
          </w:p>
        </w:tc>
        <w:tc>
          <w:tcPr>
            <w:tcW w:w="200" w:type="dxa"/>
            <w:vAlign w:val="bottom"/>
          </w:tcPr>
          <w:p>
            <w:pPr>
              <w:spacing w:after="0"/>
              <w:rPr>
                <w:sz w:val="21"/>
                <w:szCs w:val="21"/>
                <w:color w:val="auto"/>
              </w:rPr>
            </w:pP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2"/>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and other charges incurred in fiscal 2019 were primarily related to employee severance and other termination benefits as well as charges on a leased facility resulting from restructuring plans initiated during the period. We do not anticipate any further significant charges associated with these restructuring activities and the remaining cash payments related to these restructuring plans are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charges incurred in fiscal 2018 are related to charges on a leased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260" w:type="dxa"/>
            <w:vAlign w:val="bottom"/>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5"/>
        </w:trPr>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107.4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42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413.7</w:t>
            </w:r>
          </w:p>
        </w:tc>
        <w:tc>
          <w:tcPr>
            <w:tcW w:w="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1"/>
                <w:szCs w:val="21"/>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effective tax rate for fiscal 2019 of 11.2% was less than the United States federal statutory rate of 21.0% primarily due to benefits of 12.0% related to foreign earnings taxed at a rate less than the United States federal rate, 4.3% related to benefits from the foreign derived intangible income (“FDII”) deduction, 0.2% related to stock windfall deductions, and 2.7% related to the recognition of federal research and development tax credits, partially offset by increases in income tax rate expense impact of 5.7% related to global intangible low-taxed income (“GILTI”) expense, 1.5% related to a change in our tax reserves, and 0.5% from the partial settlement of the Internal Revenue Service (“IRS”) audit of our fiscal 2015 and 2016 income tax returns.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fiscal 2019, as compared to the 31.1% effective rate for fiscal 2018, was primarily due to the enactment of the 2017 Tax Reform Act including a one-time charge related to the mandatory deemed repatriation tax on foreign earnings and a one-time charge related to the revaluation of our deferred tax assets and liabilities.</w:t>
      </w:r>
    </w:p>
    <w:p>
      <w:pPr>
        <w:spacing w:after="0" w:line="17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47">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 for additional information regarding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2"/>
                <w:szCs w:val="12"/>
                <w:color w:val="auto"/>
              </w:rPr>
            </w:pPr>
          </w:p>
        </w:tc>
        <w:tc>
          <w:tcPr>
            <w:tcW w:w="11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1,367.4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1,456.3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1,616.8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for the period adjusted for certain non-cash items and changes in certain operating assets and liabilities. The $106.8 million increase in cash provided by operating activities for fiscal 2019, as compared to fiscal 2018, was primarily related to favorable changes in working capital driven by higher cash collections and the timing of capital expenditures and vendor payments.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consists primarily of cash paid for acquisitions net of cash acquired, capital expenditures, purchased intangibles, cash received from the sale of capital assets, and cash related to the sale or maturity of investments. The $813.5 million decrease in cash used in investing activities for fiscal 2019, as compared to fiscal 2018, was primarily related to $404.0 million paid for the Avnera acquisition in fiscal 2018 and a $401.9 million difference in the net purchase and sale of marketable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consists primarily of cash transactions related to equity. The $81.2 million decrease in cash used in financing activities for fiscal 2019, as compared to fiscal 2018, was primarily related to $101.9 million decrease in stock repurchase activity, partially offset by an increase in dividend payments.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cash equivalents and marketable securities totaled $1,082.2 million as of September 27, 2019, representing an increase of $32.0 million from September 28, 2018. The increase resulted from $1,367.4 million in cash generated from operations, which was partially offset by $657.6 million used to repurchase 8.9 million shares of stock, $398.4 million in capital expenditures, and $273.9 million in cash dividend payments during fiscal 2019. Based on our historical results of operations, we expect that our cash, cash equivalents and marketable securities on hand and the cash we expect to generate from operations will be sufficient to fund our research and development, capital expenditures, potential acquisitions, working capital, quarterly cash dividend payments (if such dividends are declared by the Board of Directors), outstanding commitments and other liquidity requirements associated with existing operations for at least the next 12 months. However, we cannot be certain that our cash on hand and cash generated from operations will be available in the future to fund all of our capital and operating requirements. In addition, any future strategic investments and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invested cash balances primarily consist of highly liquid marketable securities that are available to meet near-term cash requirements including: term deposits, certificate of deposits, money market funds, U.S. Treasury securities, agency securities, other government securities, corporate debt securities and commercial paper.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contractual obligations are recorded on our consolidated balance sheet or fully disclosed in the notes to our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arrangements as defined in SEC Regulation S-K Item 303(a)(4)(ii).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summary of our contractual payment obligations related to our operating leases, other commitments and long-term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2019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3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(1)</w:t>
            </w:r>
          </w:p>
        </w:tc>
        <w:tc>
          <w:tcPr>
            <w:tcW w:w="1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commitments (2)</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554.7</w:t>
            </w:r>
          </w:p>
        </w:tc>
        <w:tc>
          <w:tcPr>
            <w:tcW w:w="140" w:type="dxa"/>
            <w:vAlign w:val="bottom"/>
          </w:tcPr>
          <w:p>
            <w:pPr>
              <w:spacing w:after="0"/>
              <w:rPr>
                <w:sz w:val="22"/>
                <w:szCs w:val="22"/>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hanging="970"/>
        <w:spacing w:after="0" w:line="250"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liabilities primarily include our gross unrecognized tax benefits, repatriation tax payable, and executive deferred compensation. Gross unrecognized tax benefits and executive deferred compensation are both classified as beyond five years due to the uncertain nature of the liabilities.</w:t>
      </w:r>
    </w:p>
    <w:p>
      <w:pPr>
        <w:spacing w:after="0" w:line="1" w:lineRule="exact"/>
        <w:rPr>
          <w:rFonts w:ascii="Times New Roman" w:cs="Times New Roman" w:eastAsia="Times New Roman" w:hAnsi="Times New Roman"/>
          <w:sz w:val="18"/>
          <w:szCs w:val="18"/>
          <w:color w:val="auto"/>
        </w:rPr>
      </w:pPr>
    </w:p>
    <w:p>
      <w:pPr>
        <w:ind w:left="1140" w:hanging="970"/>
        <w:spacing w:after="0" w:line="261"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commitments consist of contractual license and royalty payments and other purchase obligations. See </w:t>
      </w:r>
      <w:hyperlink w:anchor="page55">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discussion and analysis of our financial condition and results of operations are based upon our consolidated financial statements, which have been prepared in accordance with generally accepted accounting principles, or GAAP. The preparation of these financial statements requires us to make estimates and judgments in applying our most critical accounting policies that can have a significant impact on the results we report in our financial statements. The SEC has defined critical accounting policies as those that are both most important to the portrayal of our financial condition and results and which require our most difficult, complex or subjective judgments or estimates. Based on this definition, our most critical accounting policies include revenue recognition, which impacts the recording of net revenue; inventory valuation, which impacts the cost of goods sold and gross margin; assessment of goodwill and long-lived assets, which impacts the impairment of the respective assets; share-based compensation, which impacts cost of goods sold and operating expenses; loss contingencies, which impacts operating expenses; and income taxes, which impacts the income tax provision. These policies and significant judgments involved are discussed further below. We have other significant accounting policies that do not generally require subjective estimates or judgments or would not have a material impact on our results of operations. Our significant accounting policies are described in </w:t>
      </w:r>
      <w:hyperlink w:anchor="page40">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Item 8 of this Annual Report on Form 10-K.</w:t>
      </w:r>
    </w:p>
    <w:p>
      <w:pPr>
        <w:spacing w:after="0" w:line="19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in accordance with the Financial Accounting Standards Board’s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net of estimated reserves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revenue reserves contain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uncertainties because they require management to make assumptions and to apply judgment to estimate the value of future credits to customers for product returns, price protection and stock rotation for products sold to certain electronic component distributors. We base these estimates on the expected value method considering all reasonably available information, including our historical experience and current expectations, and is reflected in the transaction price when sales are recorded.</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Inventory Valuation. </w:t>
      </w:r>
      <w:r>
        <w:rPr>
          <w:rFonts w:ascii="Times New Roman" w:cs="Times New Roman" w:eastAsia="Times New Roman" w:hAnsi="Times New Roman"/>
          <w:sz w:val="18"/>
          <w:szCs w:val="18"/>
          <w:color w:val="auto"/>
        </w:rPr>
        <w:t>We value our inventory at the lower of cost or net realizable value. Reserves for excess and obsolete inventory are established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Long-Lived Assets. </w:t>
      </w:r>
      <w:r>
        <w:rPr>
          <w:rFonts w:ascii="Times New Roman" w:cs="Times New Roman" w:eastAsia="Times New Roman" w:hAnsi="Times New Roman"/>
          <w:sz w:val="18"/>
          <w:szCs w:val="18"/>
          <w:color w:val="auto"/>
        </w:rPr>
        <w:t>We evaluate goodwill and long-lived assets for impairment annually on the first day of the fourth fiscal quarter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events or circumstances arise that may indicate that the carrying value of the goodwill or other intangibles may not be recoverable.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impairment analysis contains uncertainties because it requires management to make assumptions and to apply judgment to items such as: determination of the reporting unit and asset groupings, estimated control premiums, discount rates, future cash flows, the profitability of future business strategies and useful lives.</w:t>
      </w:r>
    </w:p>
    <w:p>
      <w:pPr>
        <w:spacing w:after="0" w:line="134" w:lineRule="exact"/>
        <w:rPr>
          <w:sz w:val="20"/>
          <w:szCs w:val="20"/>
          <w:color w:val="auto"/>
        </w:rPr>
      </w:pPr>
    </w:p>
    <w:p>
      <w:pPr>
        <w:jc w:val="both"/>
        <w:ind w:right="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We have share-based compensation plans which include non-qualified stock options, restricted and performance share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units, as well as an employee stock purchase plan and other special share-based awards. </w:t>
      </w:r>
      <w:hyperlink w:anchor="page50">
        <w:r>
          <w:rPr>
            <w:rFonts w:ascii="Times New Roman" w:cs="Times New Roman" w:eastAsia="Times New Roman" w:hAnsi="Times New Roman"/>
            <w:sz w:val="18"/>
            <w:szCs w:val="18"/>
            <w:u w:val="single" w:color="auto"/>
            <w:color w:val="0000EE"/>
          </w:rPr>
          <w:t>Note 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Item 8 of this Annual Report on Form 10-K details our current share-based compensation programs.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the fair value of our share-based compensation items with pricing models as of the date of grant using a number of subjective variables and assumptions including, but not limited to: our expected stock price volatility over the term of the award, correlation coefficients, risk-free rate, the expected life of the award, dividend yield, and estimated performance against metrics. Compensation expense is recognized over the requisite service period of the underlying awards. Management periodically evaluates these assumptions and updates share-based compensation expense accordingly.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We record an estimate for loss contingencies such as a legal proceeding or claims if it is probable that an asset has been impaired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has been incurred and the amount of the loss or range of loss can be reasonably estimated. We disclose material loss contingencies if there is at least a reasonable possibility that a loss has been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loss contingency analysis contains uncertainties because it requires management to assess the degree of probability of an unfavorable outcome and to make a reasonable estimate of the amount of potential loss.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method, under which deferred tax assets and liabilities are recognized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future tax consequences of temporary differences between tax and financial reporting. We record a valuation allowance to reduce deferred tax assets to the amount that is believed more likely than not to be realized. Significant management judgment is required in developing our provision for income taxes, including the determination of deferred tax assets and liabilities and any valuation allowances that might be required against the deferred tax assets.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did not have a material impact on our results of operations during the three-year period ended September 27,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overall financial market risks, such as changes in market liquidity, credit quality, investment risk, interest rate risk and foreign exchange rate risk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Interest Rate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interest rate and general market risks relates principally to our investment portfolio, which consists of cash and cash equivalents (money market funds and marketable securities purchased with less than ninety days until maturity) that total approximately $851.3 million and marketable securities (U.S. Treasury and government securities, corporate bonds and notes, municipal bonds, other government securities) that total approximately $203.3 million and $27.6 million within short-term and long-term marketable securities, respectively, as of September 27, 2019.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consist of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results of operations for the fiscal year ended September 27, 2019, a hypothetical reduction in the interest rates on our cash, cash equivalents, and other investments to zero would result in an immaterial reduction of interest income with a de minimis impact on income before taxes.</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Given the low interest rate environment, the objectives of our investment activities, and the relatively low interest income generated from our cash, cash equivalents, and other investments, we do not believe that investment or interest rate risks pose material exposures to our current business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September 27, 2019, September 28, 2018, and September 29, 2017, we had foreign exchange losses of $6.2 million, $5.5 million and $3.1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foreign currency forward and option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fiscal year ended September 27, 2019, we had no outstanding foreign currency forward or option contracts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7480" w:type="dxa"/>
            <w:vAlign w:val="bottom"/>
            <w:gridSpan w:val="8"/>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66"/>
        </w:trPr>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8640" w:type="dxa"/>
            <w:vAlign w:val="bottom"/>
            <w:gridSpan w:val="10"/>
          </w:tcPr>
          <w:p>
            <w:pPr>
              <w:ind w:left="220"/>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are included herewith:</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8"/>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w:t>
            </w:r>
          </w:p>
        </w:tc>
        <w:tc>
          <w:tcPr>
            <w:tcW w:w="7920" w:type="dxa"/>
            <w:vAlign w:val="bottom"/>
            <w:gridSpan w:val="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Report of Independent Registered Public Accounting Firm</w:t>
              </w:r>
            </w:hyperlink>
          </w:p>
        </w:tc>
        <w:tc>
          <w:tcPr>
            <w:tcW w:w="2280" w:type="dxa"/>
            <w:vAlign w:val="bottom"/>
            <w:gridSpan w:val="4"/>
          </w:tcPr>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3">
              <w:r>
                <w:rPr>
                  <w:rFonts w:ascii="Times New Roman" w:cs="Times New Roman" w:eastAsia="Times New Roman" w:hAnsi="Times New Roman"/>
                  <w:sz w:val="18"/>
                  <w:szCs w:val="18"/>
                  <w:color w:val="0000EE"/>
                </w:rPr>
                <w:t>33</w:t>
              </w:r>
            </w:hyperlink>
          </w:p>
        </w:tc>
      </w:tr>
      <w:tr>
        <w:trPr>
          <w:trHeight w:val="20"/>
        </w:trPr>
        <w:tc>
          <w:tcPr>
            <w:tcW w:w="7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gridSpan w:val="5"/>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Consolidated Statements of Operations for the three years ended September 27, 2019</w:t>
              </w:r>
            </w:hyperlink>
          </w:p>
        </w:tc>
        <w:tc>
          <w:tcPr>
            <w:tcW w:w="1780" w:type="dxa"/>
            <w:vAlign w:val="bottom"/>
            <w:gridSpan w:val="4"/>
          </w:tcPr>
          <w:p>
            <w:pPr>
              <w:spacing w:after="0"/>
              <w:rPr>
                <w:sz w:val="24"/>
                <w:szCs w:val="24"/>
                <w:color w:val="auto"/>
              </w:rPr>
            </w:pPr>
          </w:p>
        </w:tc>
        <w:tc>
          <w:tcPr>
            <w:tcW w:w="2280" w:type="dxa"/>
            <w:vAlign w:val="bottom"/>
            <w:gridSpan w:val="4"/>
          </w:tcPr>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5">
              <w:r>
                <w:rPr>
                  <w:rFonts w:ascii="Times New Roman" w:cs="Times New Roman" w:eastAsia="Times New Roman" w:hAnsi="Times New Roman"/>
                  <w:sz w:val="18"/>
                  <w:szCs w:val="18"/>
                  <w:color w:val="0000EE"/>
                </w:rPr>
                <w:t>35</w:t>
              </w:r>
            </w:hyperlink>
          </w:p>
        </w:tc>
      </w:tr>
      <w:tr>
        <w:trPr>
          <w:trHeight w:val="20"/>
        </w:trPr>
        <w:tc>
          <w:tcPr>
            <w:tcW w:w="7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w:t>
            </w:r>
          </w:p>
        </w:tc>
        <w:tc>
          <w:tcPr>
            <w:tcW w:w="7060" w:type="dxa"/>
            <w:vAlign w:val="bottom"/>
            <w:gridSpan w:val="8"/>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Consolidated Statements of Comprehensive Income for the three years ended September 27, 2019</w:t>
              </w:r>
            </w:hyperlink>
          </w:p>
        </w:tc>
        <w:tc>
          <w:tcPr>
            <w:tcW w:w="860" w:type="dxa"/>
            <w:vAlign w:val="bottom"/>
          </w:tcPr>
          <w:p>
            <w:pPr>
              <w:spacing w:after="0"/>
              <w:rPr>
                <w:sz w:val="24"/>
                <w:szCs w:val="24"/>
                <w:color w:val="auto"/>
              </w:rPr>
            </w:pPr>
          </w:p>
        </w:tc>
        <w:tc>
          <w:tcPr>
            <w:tcW w:w="2280" w:type="dxa"/>
            <w:vAlign w:val="bottom"/>
            <w:gridSpan w:val="4"/>
          </w:tcPr>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6">
              <w:r>
                <w:rPr>
                  <w:rFonts w:ascii="Times New Roman" w:cs="Times New Roman" w:eastAsia="Times New Roman" w:hAnsi="Times New Roman"/>
                  <w:sz w:val="18"/>
                  <w:szCs w:val="18"/>
                  <w:color w:val="0000EE"/>
                </w:rPr>
                <w:t>36</w:t>
              </w:r>
            </w:hyperlink>
          </w:p>
        </w:tc>
      </w:tr>
      <w:tr>
        <w:trPr>
          <w:trHeight w:val="20"/>
        </w:trPr>
        <w:tc>
          <w:tcPr>
            <w:tcW w:w="7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w:t>
            </w:r>
          </w:p>
        </w:tc>
        <w:tc>
          <w:tcPr>
            <w:tcW w:w="5600" w:type="dxa"/>
            <w:vAlign w:val="bottom"/>
            <w:gridSpan w:val="4"/>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Consolidated Balance Sheets at September 27, 2019, and September 28, 2018</w:t>
              </w:r>
            </w:hyperlink>
          </w:p>
        </w:tc>
        <w:tc>
          <w:tcPr>
            <w:tcW w:w="146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gridSpan w:val="4"/>
          </w:tcPr>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7">
              <w:r>
                <w:rPr>
                  <w:rFonts w:ascii="Times New Roman" w:cs="Times New Roman" w:eastAsia="Times New Roman" w:hAnsi="Times New Roman"/>
                  <w:sz w:val="18"/>
                  <w:szCs w:val="18"/>
                  <w:color w:val="0000EE"/>
                </w:rPr>
                <w:t>37</w:t>
              </w:r>
            </w:hyperlink>
          </w:p>
        </w:tc>
      </w:tr>
      <w:tr>
        <w:trPr>
          <w:trHeight w:val="20"/>
        </w:trPr>
        <w:tc>
          <w:tcPr>
            <w:tcW w:w="7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gridSpan w:val="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Statements of Cash Flows for the three years ended September 27, 2019</w:t>
              </w:r>
            </w:hyperlink>
          </w:p>
        </w:tc>
        <w:tc>
          <w:tcPr>
            <w:tcW w:w="2280" w:type="dxa"/>
            <w:vAlign w:val="bottom"/>
            <w:gridSpan w:val="4"/>
          </w:tcPr>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8">
              <w:r>
                <w:rPr>
                  <w:rFonts w:ascii="Times New Roman" w:cs="Times New Roman" w:eastAsia="Times New Roman" w:hAnsi="Times New Roman"/>
                  <w:sz w:val="18"/>
                  <w:szCs w:val="18"/>
                  <w:color w:val="0000EE"/>
                </w:rPr>
                <w:t>38</w:t>
              </w:r>
            </w:hyperlink>
          </w:p>
        </w:tc>
      </w:tr>
      <w:tr>
        <w:trPr>
          <w:trHeight w:val="20"/>
        </w:trPr>
        <w:tc>
          <w:tcPr>
            <w:tcW w:w="7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gridSpan w:val="9"/>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Consolidated Statements of Stockholders’ Equity for the three years ended September 27, 2019</w:t>
              </w:r>
            </w:hyperlink>
          </w:p>
        </w:tc>
        <w:tc>
          <w:tcPr>
            <w:tcW w:w="2280" w:type="dxa"/>
            <w:vAlign w:val="bottom"/>
            <w:gridSpan w:val="4"/>
          </w:tcPr>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9">
              <w:r>
                <w:rPr>
                  <w:rFonts w:ascii="Times New Roman" w:cs="Times New Roman" w:eastAsia="Times New Roman" w:hAnsi="Times New Roman"/>
                  <w:sz w:val="18"/>
                  <w:szCs w:val="18"/>
                  <w:color w:val="0000EE"/>
                </w:rPr>
                <w:t>39</w:t>
              </w:r>
            </w:hyperlink>
          </w:p>
        </w:tc>
      </w:tr>
      <w:tr>
        <w:trPr>
          <w:trHeight w:val="20"/>
        </w:trPr>
        <w:tc>
          <w:tcPr>
            <w:tcW w:w="7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7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(7)</w:t>
            </w:r>
          </w:p>
        </w:tc>
        <w:tc>
          <w:tcPr>
            <w:tcW w:w="3160" w:type="dxa"/>
            <w:vAlign w:val="bottom"/>
            <w:gridSpan w:val="2"/>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Notes to Consolidated Financial Statements</w:t>
              </w:r>
            </w:hyperlink>
          </w:p>
        </w:tc>
        <w:tc>
          <w:tcPr>
            <w:tcW w:w="3700" w:type="dxa"/>
            <w:vAlign w:val="bottom"/>
            <w:gridSpan w:val="5"/>
          </w:tcPr>
          <w:p>
            <w:pPr>
              <w:spacing w:after="0"/>
              <w:rPr>
                <w:sz w:val="24"/>
                <w:szCs w:val="24"/>
                <w:color w:val="auto"/>
              </w:rPr>
            </w:pPr>
          </w:p>
        </w:tc>
        <w:tc>
          <w:tcPr>
            <w:tcW w:w="1060" w:type="dxa"/>
            <w:vAlign w:val="bottom"/>
            <w:gridSpan w:val="2"/>
          </w:tcPr>
          <w:p>
            <w:pPr>
              <w:spacing w:after="0"/>
              <w:rPr>
                <w:sz w:val="24"/>
                <w:szCs w:val="24"/>
                <w:color w:val="auto"/>
              </w:rPr>
            </w:pPr>
          </w:p>
        </w:tc>
        <w:tc>
          <w:tcPr>
            <w:tcW w:w="2280" w:type="dxa"/>
            <w:vAlign w:val="bottom"/>
            <w:gridSpan w:val="4"/>
          </w:tcPr>
          <w:p>
            <w:pPr>
              <w:ind w:left="880"/>
              <w:spacing w:after="0"/>
              <w:rPr>
                <w:rFonts w:ascii="Times New Roman" w:cs="Times New Roman" w:eastAsia="Times New Roman" w:hAnsi="Times New Roman"/>
                <w:sz w:val="18"/>
                <w:szCs w:val="18"/>
                <w:color w:val="auto"/>
                <w:w w:val="98"/>
              </w:rPr>
            </w:pPr>
            <w:r>
              <w:rPr>
                <w:rFonts w:ascii="Times New Roman" w:cs="Times New Roman" w:eastAsia="Times New Roman" w:hAnsi="Times New Roman"/>
                <w:sz w:val="18"/>
                <w:szCs w:val="18"/>
                <w:color w:val="auto"/>
                <w:w w:val="98"/>
              </w:rPr>
              <w:t xml:space="preserve">Page </w:t>
            </w:r>
            <w:hyperlink w:anchor="page40">
              <w:r>
                <w:rPr>
                  <w:rFonts w:ascii="Times New Roman" w:cs="Times New Roman" w:eastAsia="Times New Roman" w:hAnsi="Times New Roman"/>
                  <w:sz w:val="18"/>
                  <w:szCs w:val="18"/>
                  <w:color w:val="0000EE"/>
                  <w:w w:val="98"/>
                </w:rPr>
                <w:t>40</w:t>
              </w:r>
              <w:r>
                <w:rPr>
                  <w:rFonts w:ascii="Times New Roman" w:cs="Times New Roman" w:eastAsia="Times New Roman" w:hAnsi="Times New Roman"/>
                  <w:sz w:val="18"/>
                  <w:szCs w:val="18"/>
                  <w:color w:val="auto"/>
                  <w:w w:val="98"/>
                </w:rPr>
                <w:t xml:space="preserve"> </w:t>
              </w:r>
            </w:hyperlink>
            <w:r>
              <w:rPr>
                <w:rFonts w:ascii="Times New Roman" w:cs="Times New Roman" w:eastAsia="Times New Roman" w:hAnsi="Times New Roman"/>
                <w:sz w:val="18"/>
                <w:szCs w:val="18"/>
                <w:color w:val="auto"/>
                <w:w w:val="98"/>
              </w:rPr>
              <w:t xml:space="preserve">through </w:t>
            </w:r>
            <w:hyperlink w:anchor="page57">
              <w:r>
                <w:rPr>
                  <w:rFonts w:ascii="Times New Roman" w:cs="Times New Roman" w:eastAsia="Times New Roman" w:hAnsi="Times New Roman"/>
                  <w:sz w:val="18"/>
                  <w:szCs w:val="18"/>
                  <w:color w:val="0000EE"/>
                  <w:w w:val="98"/>
                </w:rPr>
                <w:t>57</w:t>
              </w:r>
            </w:hyperlink>
          </w:p>
        </w:tc>
      </w:tr>
      <w:tr>
        <w:trPr>
          <w:trHeight w:val="979"/>
        </w:trPr>
        <w:tc>
          <w:tcPr>
            <w:tcW w:w="720" w:type="dxa"/>
            <w:vAlign w:val="bottom"/>
          </w:tcPr>
          <w:p>
            <w:pPr>
              <w:spacing w:after="0"/>
              <w:rPr>
                <w:sz w:val="24"/>
                <w:szCs w:val="24"/>
                <w:color w:val="auto"/>
              </w:rPr>
            </w:pPr>
          </w:p>
        </w:tc>
        <w:tc>
          <w:tcPr>
            <w:tcW w:w="3160" w:type="dxa"/>
            <w:vAlign w:val="bottom"/>
            <w:tcBorders>
              <w:top w:val="single" w:sz="8" w:color="0000EE"/>
            </w:tcBorders>
            <w:gridSpan w:val="2"/>
          </w:tcPr>
          <w:p>
            <w:pPr>
              <w:spacing w:after="0"/>
              <w:rPr>
                <w:sz w:val="24"/>
                <w:szCs w:val="24"/>
                <w:color w:val="auto"/>
              </w:rPr>
            </w:pPr>
          </w:p>
        </w:tc>
        <w:tc>
          <w:tcPr>
            <w:tcW w:w="2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0920"/>
          </w:cols>
          <w:pgMar w:left="240" w:top="118" w:right="73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8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We have audited the accompanying consolidated balance sheets of Skyworks Solutions, Inc. and subsidiaries (the Company) as of September 27, 2019 and September 28, 2018, the related consolidated statements of operations, comprehensive income, cash flows and stockholders’ equity for each of the years in the three-year period ended September 27, 2019 and the related notes (collectively, the consolidated financial statements). We also have audited the Company’s internal control over financial reporting as of September 27,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September 27, 2019 and September 28, 2018, and the results of its operations and its cash flows for each of the years in the three-year period ended September 27, 2019, in conformity with U.S. generally accepted accounting principles. Also in our opinion, the Company maintained, in all material respects, effective internal control over financial reporting as of September 27,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Annual Report on Internal Control over Financial Reporting</w:t>
      </w:r>
      <w:r>
        <w:rPr>
          <w:rFonts w:ascii="Arial" w:cs="Arial" w:eastAsia="Arial" w:hAnsi="Arial"/>
          <w:sz w:val="18"/>
          <w:szCs w:val="18"/>
          <w:color w:val="auto"/>
        </w:rPr>
        <w:t>. Our responsibility is to express an opinion on the Company’s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discussed in Notes 2 and 8 to the consolidated financial statements, the Company has recorded gross unrecognized tax benefits of $103.3 million in domestic and foreign jurisdictions as of September 27, 2019. The Company records unrecognized tax benefits when there is more than a 50% likelihood that its tax positions will not be sustained upon examination by the taxing authorities. This determination requires the Company’s judgement in the interpretation of domestic and international tax laws and regulations.</w:t>
      </w:r>
    </w:p>
    <w:p>
      <w:pPr>
        <w:spacing w:after="0" w:line="8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identified the assessment of the gross unrecognized tax benefits as a critical audit matter because of the high degree of auditor judgement involved in evaluating the Company’s interpretation of domestic and international tax laws and regulations.</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unrecognized tax benefit process, including controls over the interpretation of domestic and international tax laws and regulations. We involved domestic and international tax professionals with specialized skills and knowledge, who assisted in:</w:t>
      </w:r>
    </w:p>
    <w:p>
      <w:pPr>
        <w:spacing w:after="0" w:line="12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assessing the Company’s ongoing compliance with applicable domestic and international tax laws and regulations,</w:t>
      </w:r>
    </w:p>
    <w:p>
      <w:pPr>
        <w:spacing w:after="0" w:line="30"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reading the Company’s documentation that provided the basis for its tax positions and evaluating the impact of changes in the Company’s tax structure, changes in domestic and international tax laws and regulations, and similar settlements with applicable taxing authorities, and</w:t>
      </w:r>
    </w:p>
    <w:p>
      <w:pPr>
        <w:ind w:left="660" w:right="800" w:hanging="328"/>
        <w:spacing w:after="0" w:line="264" w:lineRule="auto"/>
        <w:tabs>
          <w:tab w:leader="none" w:pos="6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evaluating the Company’s interpretation of domestic and international tax laws and regulations by developing an independent assessment based on our understanding and interpretation of the domestic and international tax laws and regulations.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2019</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2"/>
                <w:szCs w:val="12"/>
                <w:color w:val="auto"/>
              </w:rPr>
            </w:pPr>
          </w:p>
        </w:tc>
        <w:tc>
          <w:tcPr>
            <w:tcW w:w="118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3,651.4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1,809.6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1,841.8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588.0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1,257.0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51"/>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311"/>
        </w:trPr>
        <w:tc>
          <w:tcPr>
            <w:tcW w:w="5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and paid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219"/>
          </w:cols>
          <w:pgMar w:left="240" w:top="126" w:right="1440"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1,010.2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adjustments</w:t>
            </w:r>
          </w:p>
        </w:tc>
        <w:tc>
          <w:tcPr>
            <w:tcW w:w="2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918.1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1,012.6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2"/>
                <w:szCs w:val="12"/>
                <w:color w:val="auto"/>
              </w:rPr>
            </w:pPr>
          </w:p>
        </w:tc>
        <w:tc>
          <w:tcPr>
            <w:tcW w:w="1280" w:type="dxa"/>
            <w:vAlign w:val="bottom"/>
          </w:tcPr>
          <w:p>
            <w:pPr>
              <w:jc w:val="right"/>
              <w:ind w:right="23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733.3</w:t>
            </w:r>
          </w:p>
        </w:tc>
        <w:tc>
          <w:tcPr>
            <w:tcW w:w="0" w:type="dxa"/>
            <w:vAlign w:val="bottom"/>
          </w:tcPr>
          <w:p>
            <w:pPr>
              <w:spacing w:after="0"/>
              <w:rPr>
                <w:sz w:val="1"/>
                <w:szCs w:val="1"/>
                <w:color w:val="auto"/>
              </w:rPr>
            </w:pPr>
          </w:p>
        </w:tc>
      </w:tr>
      <w:tr>
        <w:trPr>
          <w:trHeight w:val="243"/>
        </w:trPr>
        <w:tc>
          <w:tcPr>
            <w:tcW w:w="83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Receivables, net of allowance for doubtful accounts of $0.8 and $0.6,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43"/>
        </w:trPr>
        <w:tc>
          <w:tcPr>
            <w:tcW w:w="83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7"/>
        </w:trPr>
        <w:tc>
          <w:tcPr>
            <w:tcW w:w="8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2,262.2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1,140.9</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1,189.8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4,828.9</w:t>
            </w:r>
          </w:p>
        </w:tc>
        <w:tc>
          <w:tcPr>
            <w:tcW w:w="0" w:type="dxa"/>
            <w:vAlign w:val="bottom"/>
          </w:tcPr>
          <w:p>
            <w:pPr>
              <w:spacing w:after="0"/>
              <w:rPr>
                <w:sz w:val="1"/>
                <w:szCs w:val="1"/>
                <w:color w:val="auto"/>
              </w:rPr>
            </w:pPr>
          </w:p>
        </w:tc>
      </w:tr>
      <w:tr>
        <w:trPr>
          <w:trHeight w:val="20"/>
        </w:trPr>
        <w:tc>
          <w:tcPr>
            <w:tcW w:w="83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83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Long-term tax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7"/>
        </w:trPr>
        <w:tc>
          <w:tcPr>
            <w:tcW w:w="8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 (</w:t>
            </w:r>
            <w:hyperlink w:anchor="page55">
              <w:r>
                <w:rPr>
                  <w:rFonts w:ascii="Times New Roman" w:cs="Times New Roman" w:eastAsia="Times New Roman" w:hAnsi="Times New Roman"/>
                  <w:sz w:val="18"/>
                  <w:szCs w:val="18"/>
                  <w:color w:val="0000EE"/>
                </w:rPr>
                <w:t>Note 10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w:anchor="page55">
              <w:r>
                <w:rPr>
                  <w:rFonts w:ascii="Times New Roman" w:cs="Times New Roman" w:eastAsia="Times New Roman" w:hAnsi="Times New Roman"/>
                  <w:sz w:val="18"/>
                  <w:szCs w:val="18"/>
                  <w:color w:val="0000EE"/>
                </w:rPr>
                <w:t>Note 11</w:t>
              </w:r>
            </w:hyperlink>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5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3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no par value: 25.0 shares authorized, no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Common stock, $0.25 par value: 525.0 shares authorized; 230.2 shares issued and 170.1 shares outstanding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September 27, 2019, and 228.4 shares issued and 177.4 shares outstanding at September 28, 2018</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3,061.0</w:t>
            </w:r>
          </w:p>
        </w:tc>
        <w:tc>
          <w:tcPr>
            <w:tcW w:w="0" w:type="dxa"/>
            <w:vAlign w:val="bottom"/>
          </w:tcPr>
          <w:p>
            <w:pPr>
              <w:spacing w:after="0"/>
              <w:rPr>
                <w:sz w:val="1"/>
                <w:szCs w:val="1"/>
                <w:color w:val="auto"/>
              </w:rPr>
            </w:pPr>
          </w:p>
        </w:tc>
      </w:tr>
      <w:tr>
        <w:trPr>
          <w:trHeight w:val="243"/>
        </w:trPr>
        <w:tc>
          <w:tcPr>
            <w:tcW w:w="83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Treasury stock, at cost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3,732.9</w:t>
            </w:r>
          </w:p>
        </w:tc>
        <w:tc>
          <w:tcPr>
            <w:tcW w:w="0" w:type="dxa"/>
            <w:vAlign w:val="bottom"/>
          </w:tcPr>
          <w:p>
            <w:pPr>
              <w:spacing w:after="0"/>
              <w:rPr>
                <w:sz w:val="1"/>
                <w:szCs w:val="1"/>
                <w:color w:val="auto"/>
              </w:rPr>
            </w:pPr>
          </w:p>
        </w:tc>
      </w:tr>
      <w:tr>
        <w:trPr>
          <w:trHeight w:val="243"/>
        </w:trPr>
        <w:tc>
          <w:tcPr>
            <w:tcW w:w="83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4,097.0</w:t>
            </w:r>
          </w:p>
        </w:tc>
        <w:tc>
          <w:tcPr>
            <w:tcW w:w="0" w:type="dxa"/>
            <w:vAlign w:val="bottom"/>
          </w:tcPr>
          <w:p>
            <w:pPr>
              <w:spacing w:after="0"/>
              <w:rPr>
                <w:sz w:val="1"/>
                <w:szCs w:val="1"/>
                <w:color w:val="auto"/>
              </w:rPr>
            </w:pPr>
          </w:p>
        </w:tc>
      </w:tr>
      <w:tr>
        <w:trPr>
          <w:trHeight w:val="257"/>
        </w:trPr>
        <w:tc>
          <w:tcPr>
            <w:tcW w:w="8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4,828.9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60" w:type="dxa"/>
            <w:vAlign w:val="bottom"/>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918.4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227.2</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 including inventory step-up</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Excess tax benefit from share-based compensation</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Receivables, net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1,456.3</w:t>
            </w: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Purchased intangibles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for acquisitions, net of cash</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1"/>
        </w:trPr>
        <w:tc>
          <w:tcPr>
            <w:tcW w:w="674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 - payroll tax withholdings on equity awards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 - stock repurchase program</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payments for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Excess tax benefit from share-based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7"/>
        </w:trPr>
        <w:tc>
          <w:tcPr>
            <w:tcW w:w="67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1,083.8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1,616.8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type w:val="continuous"/>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91440</wp:posOffset>
            </wp:positionV>
            <wp:extent cx="5659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0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Par value of</w:t>
            </w:r>
          </w:p>
        </w:tc>
        <w:tc>
          <w:tcPr>
            <w:tcW w:w="10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1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Value of treasury</w:t>
            </w:r>
          </w:p>
        </w:tc>
        <w:tc>
          <w:tcPr>
            <w:tcW w:w="11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Additional paid-</w:t>
            </w:r>
          </w:p>
        </w:tc>
        <w:tc>
          <w:tcPr>
            <w:tcW w:w="18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60" w:type="dxa"/>
            <w:vAlign w:val="bottom"/>
          </w:tcPr>
          <w:p>
            <w:pPr>
              <w:spacing w:after="0"/>
              <w:rPr>
                <w:sz w:val="11"/>
                <w:szCs w:val="11"/>
                <w:color w:val="auto"/>
              </w:rPr>
            </w:pPr>
          </w:p>
        </w:tc>
        <w:tc>
          <w:tcPr>
            <w:tcW w:w="880" w:type="dxa"/>
            <w:vAlign w:val="bottom"/>
          </w:tcPr>
          <w:p>
            <w:pPr>
              <w:jc w:val="right"/>
              <w:ind w:right="368"/>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 capital</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stockholders</w:t>
            </w:r>
            <w:r>
              <w:rPr>
                <w:rFonts w:ascii="Arial" w:cs="Arial" w:eastAsia="Arial" w:hAnsi="Arial"/>
                <w:sz w:val="13"/>
                <w:szCs w:val="13"/>
                <w:b w:val="1"/>
                <w:bCs w:val="1"/>
                <w:color w:val="auto"/>
                <w:w w:val="96"/>
              </w:rPr>
              <w:t>’</w:t>
            </w:r>
            <w:r>
              <w:rPr>
                <w:rFonts w:ascii="Times New Roman" w:cs="Times New Roman" w:eastAsia="Times New Roman" w:hAnsi="Times New Roman"/>
                <w:sz w:val="13"/>
                <w:szCs w:val="13"/>
                <w:b w:val="1"/>
                <w:bCs w:val="1"/>
                <w:color w:val="auto"/>
                <w:w w:val="96"/>
              </w:rPr>
              <w:t xml:space="preserve"> equity</w:t>
            </w:r>
          </w:p>
        </w:tc>
        <w:tc>
          <w:tcPr>
            <w:tcW w:w="0" w:type="dxa"/>
            <w:vAlign w:val="bottom"/>
          </w:tcPr>
          <w:p>
            <w:pPr>
              <w:spacing w:after="0"/>
              <w:rPr>
                <w:sz w:val="1"/>
                <w:szCs w:val="1"/>
                <w:color w:val="auto"/>
              </w:rPr>
            </w:pPr>
          </w:p>
        </w:tc>
      </w:tr>
      <w:tr>
        <w:trPr>
          <w:trHeight w:val="268"/>
        </w:trPr>
        <w:tc>
          <w:tcPr>
            <w:tcW w:w="2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Balance at September 30, 2016</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2,263.6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3,541.4</w:t>
            </w:r>
          </w:p>
        </w:tc>
        <w:tc>
          <w:tcPr>
            <w:tcW w:w="0" w:type="dxa"/>
            <w:vAlign w:val="bottom"/>
          </w:tcPr>
          <w:p>
            <w:pPr>
              <w:spacing w:after="0"/>
              <w:rPr>
                <w:sz w:val="1"/>
                <w:szCs w:val="1"/>
                <w:color w:val="auto"/>
              </w:rPr>
            </w:pPr>
          </w:p>
        </w:tc>
      </w:tr>
      <w:tr>
        <w:trPr>
          <w:trHeight w:val="26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1,010.2</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and settlement of share-based</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awards and related tax benefit, net of</w:t>
            </w:r>
          </w:p>
        </w:tc>
        <w:tc>
          <w:tcPr>
            <w:tcW w:w="9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shares withheld for taxes</w:t>
            </w: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repurchase program</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(432.3)</w:t>
            </w:r>
          </w:p>
        </w:tc>
        <w:tc>
          <w:tcPr>
            <w:tcW w:w="0" w:type="dxa"/>
            <w:vAlign w:val="bottom"/>
          </w:tcPr>
          <w:p>
            <w:pPr>
              <w:spacing w:after="0"/>
              <w:rPr>
                <w:sz w:val="1"/>
                <w:szCs w:val="1"/>
                <w:color w:val="auto"/>
              </w:rPr>
            </w:pPr>
          </w:p>
        </w:tc>
      </w:tr>
      <w:tr>
        <w:trPr>
          <w:trHeight w:val="26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5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at September 29, 2017</w:t>
            </w:r>
          </w:p>
        </w:tc>
        <w:tc>
          <w:tcPr>
            <w:tcW w:w="9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183.1</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21"/>
                <w:szCs w:val="21"/>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(1,925.0)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2,893.8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3,059.6</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21"/>
                <w:szCs w:val="21"/>
                <w:color w:val="auto"/>
              </w:rPr>
            </w:pP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4,065.7</w:t>
            </w:r>
          </w:p>
        </w:tc>
        <w:tc>
          <w:tcPr>
            <w:tcW w:w="0" w:type="dxa"/>
            <w:vAlign w:val="bottom"/>
          </w:tcPr>
          <w:p>
            <w:pPr>
              <w:spacing w:after="0"/>
              <w:rPr>
                <w:sz w:val="1"/>
                <w:szCs w:val="1"/>
                <w:color w:val="auto"/>
              </w:rPr>
            </w:pPr>
          </w:p>
        </w:tc>
      </w:tr>
      <w:tr>
        <w:trPr>
          <w:trHeight w:val="275"/>
        </w:trPr>
        <w:tc>
          <w:tcPr>
            <w:tcW w:w="2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918.4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918.4</w:t>
            </w:r>
          </w:p>
        </w:tc>
        <w:tc>
          <w:tcPr>
            <w:tcW w:w="0" w:type="dxa"/>
            <w:vAlign w:val="bottom"/>
          </w:tcPr>
          <w:p>
            <w:pPr>
              <w:spacing w:after="0"/>
              <w:rPr>
                <w:sz w:val="1"/>
                <w:szCs w:val="1"/>
                <w:color w:val="auto"/>
              </w:rPr>
            </w:pPr>
          </w:p>
        </w:tc>
      </w:tr>
      <w:tr>
        <w:trPr>
          <w:trHeight w:val="144"/>
        </w:trPr>
        <w:tc>
          <w:tcPr>
            <w:tcW w:w="23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Exercise and settlement of share-based</w:t>
            </w: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9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awards, net of shares withheld for taxes</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26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repurchase program</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(759.5)</w:t>
            </w:r>
          </w:p>
        </w:tc>
        <w:tc>
          <w:tcPr>
            <w:tcW w:w="0" w:type="dxa"/>
            <w:vAlign w:val="bottom"/>
          </w:tcPr>
          <w:p>
            <w:pPr>
              <w:spacing w:after="0"/>
              <w:rPr>
                <w:sz w:val="1"/>
                <w:szCs w:val="1"/>
                <w:color w:val="auto"/>
              </w:rPr>
            </w:pPr>
          </w:p>
        </w:tc>
      </w:tr>
      <w:tr>
        <w:trPr>
          <w:trHeight w:val="2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(243.2)</w:t>
            </w:r>
          </w:p>
        </w:tc>
        <w:tc>
          <w:tcPr>
            <w:tcW w:w="0" w:type="dxa"/>
            <w:vAlign w:val="bottom"/>
          </w:tcPr>
          <w:p>
            <w:pPr>
              <w:spacing w:after="0"/>
              <w:rPr>
                <w:sz w:val="1"/>
                <w:szCs w:val="1"/>
                <w:color w:val="auto"/>
              </w:rPr>
            </w:pPr>
          </w:p>
        </w:tc>
      </w:tr>
      <w:tr>
        <w:trPr>
          <w:trHeight w:val="144"/>
        </w:trPr>
        <w:tc>
          <w:tcPr>
            <w:tcW w:w="23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Pre-combination service on replacement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47"/>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at September 28, 2018</w:t>
            </w:r>
          </w:p>
        </w:tc>
        <w:tc>
          <w:tcPr>
            <w:tcW w:w="9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177.4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21"/>
                <w:szCs w:val="21"/>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3,061.0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3,732.9</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1"/>
                <w:szCs w:val="21"/>
                <w:color w:val="auto"/>
              </w:rPr>
            </w:pP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4,097.0</w:t>
            </w:r>
          </w:p>
        </w:tc>
        <w:tc>
          <w:tcPr>
            <w:tcW w:w="0" w:type="dxa"/>
            <w:vAlign w:val="bottom"/>
          </w:tcPr>
          <w:p>
            <w:pPr>
              <w:spacing w:after="0"/>
              <w:rPr>
                <w:sz w:val="1"/>
                <w:szCs w:val="1"/>
                <w:color w:val="auto"/>
              </w:rPr>
            </w:pPr>
          </w:p>
        </w:tc>
      </w:tr>
      <w:tr>
        <w:trPr>
          <w:trHeight w:val="278"/>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853.6</w:t>
            </w:r>
          </w:p>
        </w:tc>
        <w:tc>
          <w:tcPr>
            <w:tcW w:w="0" w:type="dxa"/>
            <w:vAlign w:val="bottom"/>
          </w:tcPr>
          <w:p>
            <w:pPr>
              <w:spacing w:after="0"/>
              <w:rPr>
                <w:sz w:val="1"/>
                <w:szCs w:val="1"/>
                <w:color w:val="auto"/>
              </w:rPr>
            </w:pPr>
          </w:p>
        </w:tc>
      </w:tr>
      <w:tr>
        <w:trPr>
          <w:trHeight w:val="144"/>
        </w:trPr>
        <w:tc>
          <w:tcPr>
            <w:tcW w:w="23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Exercise and settlement of share-based</w:t>
            </w: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9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awards, net of shares withheld for taxes</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26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repurchase program</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(657.6)</w:t>
            </w:r>
          </w:p>
        </w:tc>
        <w:tc>
          <w:tcPr>
            <w:tcW w:w="0" w:type="dxa"/>
            <w:vAlign w:val="bottom"/>
          </w:tcPr>
          <w:p>
            <w:pPr>
              <w:spacing w:after="0"/>
              <w:rPr>
                <w:sz w:val="1"/>
                <w:szCs w:val="1"/>
                <w:color w:val="auto"/>
              </w:rPr>
            </w:pPr>
          </w:p>
        </w:tc>
      </w:tr>
      <w:tr>
        <w:trPr>
          <w:trHeight w:val="2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(273.9)</w:t>
            </w:r>
          </w:p>
        </w:tc>
        <w:tc>
          <w:tcPr>
            <w:tcW w:w="0" w:type="dxa"/>
            <w:vAlign w:val="bottom"/>
          </w:tcPr>
          <w:p>
            <w:pPr>
              <w:spacing w:after="0"/>
              <w:rPr>
                <w:sz w:val="1"/>
                <w:szCs w:val="1"/>
                <w:color w:val="auto"/>
              </w:rPr>
            </w:pPr>
          </w:p>
        </w:tc>
      </w:tr>
      <w:tr>
        <w:trPr>
          <w:trHeight w:val="265"/>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40"/>
        </w:trPr>
        <w:tc>
          <w:tcPr>
            <w:tcW w:w="23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Balance at September 27, 2019</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4,122.3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00"/>
          </w:cols>
          <w:pgMar w:left="240" w:top="126" w:right="35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empowering the wireless networking revolution. The Company’s analog semiconductors are connecting people, places, and things, spanning a number of new applications within the aerospace, automotive, broadband, cellular infrastructure, connected home, industrial, medical, military, smartphone, tablet and wearable markets.</w:t>
      </w:r>
    </w:p>
    <w:p>
      <w:pPr>
        <w:spacing w:after="0" w:line="172"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Skyworks subsidiaries are included in the Company’s consolidated financial statements and all intercompany balances are eliminated in consolidation.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Friday closest to September 30. Fiscal 2019, 2018, and 2017 each consisted of 52 weeks and ended on September 27, 2019, September 28, 2018, and September 29, 2017,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of assets, liabilities, revenue, expenses, comprehensive income and accumulated other comprehensive loss during the reporting period. The Company evaluates its estimates on an ongoing basis using historical experience and other factors, including the current economic environment. Significant judgment is required in determining the reserves for and fair value of items such as overall fair value assessments of assets and liabilities, inventory, intangible assets associated with business combinations, share-based compensation, loss contingencies, and income taxes. In addition, significant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invests excess cash in time deposits, certificate of deposits, money market funds, U.S. Treasury securities, agency securities, other government securities, corporate debt securities and commercial paper. The Company considers highly liquid investments as cash equivalents including money market funds and investments with maturities of 90 days or less when purchased.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general allowances for doubtful accounts related to potential losses that could arise due to customers’ inability to make required payments. These reserves require management to apply judgment in deriving these estimates. In addition, the Company performs ongoing credit evaluations of its customers’ financial condition and if it becomes aware of any specific receivables which may be uncollectable, it performs additional analysis including, but not limited to, factors such as a customer’s credit worthiness, intent and ability to pay and overall financial position, and reserves are recorded if deemed necessary. If the data the Company uses to calculate the allowance for doubtful accounts does not reflect the future ability to collect outstanding receivables, additional provisions for doubtful accounts may be needed and results of operations could be materially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820" w:hanging="4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14"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derived from valuation techniques in which one or more significant inputs are unobservable, including assumptions and judgments made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other current assets, accounts payable and accrued liabilities approximates fair value due to the short-term maturities of these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the estimated useful lives, which range from five to thirty years for buildings and improvements and three to ten years for machinery and equipment. Leasehold improvements are depreciated over the lesser of the economic life or the life of the associated 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LONG-LIVED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Definite lived intangible assets are carried at cost less accumulated amortization. Amortization is calculated based on the pattern of benefit to be recognized from the underlying asset over its estimated useful life. Carrying values for long-lived assets 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 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Financial Accounting Standards Board (“FASB”) Accounting Standards Codification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 As of September 27, 2019, the amount of remaining performance obligation that has not been recognized as revenue is not material.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 net revenue excluding taxes collected on its sales to trade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share-based payment awards is amortized over the requisite service period, which is defined as the period during which an employee is required to provide service in exchange for an award. The Company uses a straight-line attribution method for all grants that include only a service condition. Awards with both performance and service conditions are expensed over the service period for each separately vesting tranche.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recognized during the period includes actual expense on vested awards and expense associated with unvested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recorded as incurred.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share-based option awards based on the Company’s closing stock price on the date of grant using a Black-Scholes options pricing model. Under the Black-Scholes model, a number of variables are used including, but not limited to: the expected stock price volatility over the term of the award, the risk-free rate, the expected life of the award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yield. The determination of fair value of restricted and certain performance share awards and units is based on the value of the Company’s stock on the date of grant with performance awards and units adjusted for the actual outcome of the underlying performance condition.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complex performance awards including units with market-based performance conditions the Company employs a Monte Carlo simulation valuation method to calculate the fair value of the awards based on the most likely outcome. Under the Monte Carlo simulation, a number of subjective variables and assumptions are used including, but not limited to: the expected stock price volatility over the term of the award, a correlation coefficient, the risk-free rate, and dividend yield.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Loss contingencies are disclosed if there is at least a reasonable possibility that a loss or an additional loss may have been incurred and include estimated legal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A liability for post-employment benefits is recorded when payment is probable and the amount is reasonably estimable. Contract exit costs include contract termination fees and future contractual commitments for lease payments. A liability for contract exit costs is recognized in the period in which the Company terminates the contract or on the cease-use date for leased facilities.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is the United States dollar. Gains and losses related to foreign currency transactions and conversion of foreign denominated cash balances are included in current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recording or releasing tax valuation allowances is made, in part, pursuant to an assessment performed by management regarding the likelihood that the Company will generate future taxable income against which benefits of its deferred tax assets may or may not be realized. This assessment requires management to exercise significant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Basic earnings per share are computed using the weighted average number of common shares outstanding during the period. Diluted earnings per share incorporate the potentially dilutive incremental shares issuable upon the assumed exercise of stock options, the assumed vesting of outstanding restricted stock units, and the assumed issuance of common stock under the stock purchase plan using the treasury share method.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2014-09, Revenue from Contracts with Customers (Topic 606), (“ASU 2014-09”), which outlines a single comprehensive model for entities to use in accounting for revenue arising from contracts with customers. The Company adopted ASU 2014-09 at the beginning of the first quarter of fiscal 2019 using the modified retrospective approach, with the cumulative effect of applying the new guidance recognized as an adjustment to the opening retained earnings balance. The Company determined the impact of adopting the new revenue standard on its business processes, systems, controls and consolidated financial statements during fiscal 2019 was not material, except for an increase in accounts receivable and other current liabilities in the amount of $29.1 million to reflect customer credits as a liability.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2016-16, Income Taxes (Topic 740), Intra-entity Transfers of an Asset Other than Inventory (“ASU 2016-16”). This ASU provides guidance that changes the accounting for income tax effects of intra-entity transfers of assets other than inventory. Under the new guidance, the selling (transferring) entity is required to recognize a current tax expense or benefit upon transfer of the asset. Similarly, the purchasing (receiving) entity is required to recognize a deferred tax asset or deferred tax liability, as well as the related deferred tax benefit or expense, upon receipt of the asset. The Company adopted ASU 2016-16 during the first quarter of fiscal 2019. The adoption of this standard did not have a material impact on the Company’s consolidated financial statements.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(Topic 320), (“ASU 2016-13”). This ASU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expected increases or decreases of expected credit losses that have taken place during the period. This ASU requires that credit losses of debt securities designated as available-for-sale be recorded through an allowance for credit losses. The ASU also limits the credit loss to the amount by which fair value is below amortized cost. The Company adopted ASU 2016-13 during the first quarter of fiscal 2019. The adoption of this standard did not have a material impact on the Company’s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(Topic 320), (“ASU 2016-01”). This ASU provides guidance for the recognition, measurement, presentation, and disclosure of financial assets and liabilities. The Company adopted ASU 2016-01 during the first quarter of fiscal 2019. The adoption of this standard did not have a material impact on the Company’s consolidated financial statements.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FASB issued ASU 2018-07, Compensation-Stock Compensation (Topic 718), Improvements to Nonemployee Share-based Payments (“ASU 2018-07”). This ASU expands the scope of Topic 718 to include share-based payment transactions for acquiring goods and services from nonemployees. The Company adopted ASU 2018-07 during the second quarter of fiscal 2019. The adoption of this standard did not have a material impact on the Company’s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(Topic 350), Customer’s Accounting for Implementation Costs Incurred in a Cloud Computing Arrangement That Is a Service Contract (“ASU 2018-15”). The new guidance clarifies the accounting for implementation costs in cloud computing arrangements. The Company adopted ASU 2018-15, on a prospective basis, during the second quarter of fiscal 2019. The adoption of this standard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This ASU requires lessees to reflect leases with a term greater than one year on their balance sheet as assets and obligations. The Company plans to adopt the new guidance in the first quarter of fiscal 2020. The Company will utilize the modified retrospective method and will recognize any cumulative effect adjustment in retained earnings at the beginning of the period of adoption. The Company plans to elect the package of three practical expedients that permits the Company to maintain its historical conclusions about lease identification, lease classification and initial direct costs for leases that exist at the date of adoption. Further, upon implementation of the new guidance, the Company intends to elect the practical expedient to not separate lease and non-lease components. The Company has performed an assessment of the impact that the adoption of ASU 2016-02 will have on the consolidated financial statements and related disclosures. Based on that assessment, the Company has estimated that the adoption of ASU 2016-02 will result in the recognition of approximately $160 million to $180 million of right-of-use assets and lease liabilities based on the present value of future minimum lease payments for currently executed leases. The Company does not expect the adoption of this new guidance to have a significant impact on its Consolidated Statements of Operations or its Consolidated Statements of Cash Flows.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or changes in accounting pronouncements that are of significance, or potential significance, to the Company.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available-for-sale marketable securities consists of the following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4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and government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government</w:t>
            </w:r>
          </w:p>
        </w:tc>
        <w:tc>
          <w:tcPr>
            <w:tcW w:w="2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contractual maturities of noncurrent available-for-sale marketable securities were due within two years or less. There were gross unrealized gains of $0.1 million on U.S. Treasury securities, $0.1 million on corporate bonds and notes, and $0.1 million on municipal bonds at September 27, 2019, and $0.1 million in gross unrealized losses on corporate bonds and notes at September 28, 2018.</w:t>
      </w:r>
    </w:p>
    <w:p>
      <w:pPr>
        <w:spacing w:after="0" w:line="1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and Recorded at Fair Value on a Recurring Basis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such as its financial instruments. There have been no transfers between Level 1, 2 or 3 assets or liabilities during the fiscal year ended September 27, 2019. The decrease of $3.1 million in Level 3 liabilities included in earnings during fiscal 2019 relates to a reversal of the fair value of the contingent consideration liability, which was included in selling, general and administrative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consisted of the following (in millions):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27, 2019</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28, 2018</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r>
      <w:tr>
        <w:trPr>
          <w:trHeight w:val="51"/>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7"/>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22"/>
                <w:szCs w:val="22"/>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22"/>
                <w:szCs w:val="2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2"/>
                <w:szCs w:val="22"/>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Treasury and government securities</w:t>
            </w:r>
          </w:p>
        </w:tc>
        <w:tc>
          <w:tcPr>
            <w:tcW w:w="2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government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1,082.2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244.3</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1,050.2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698.7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37"/>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ind w:right="200" w:firstLine="8"/>
        <w:spacing w:after="0" w:line="261" w:lineRule="auto"/>
        <w:tabs>
          <w:tab w:leader="none" w:pos="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included in Levels 1 and 2 consist of money market funds and corporate bonds and notes, foreign government bonds, commercial paper, and agency securities purchased with less than ninety days until maturity.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and Recorded at Fair Value on a Nonrecurring Basis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millions):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22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Finished goods held on consignment by customers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CCEEFF"/>
          </w:tcPr>
          <w:p>
            <w:pPr>
              <w:spacing w:after="0"/>
              <w:rPr>
                <w:sz w:val="22"/>
                <w:szCs w:val="22"/>
                <w:color w:val="auto"/>
              </w:rPr>
            </w:pPr>
          </w:p>
        </w:tc>
        <w:tc>
          <w:tcPr>
            <w:tcW w:w="8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(in millions):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22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2,089.6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2,549.7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1,140.9</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20" w:type="dxa"/>
            <w:vAlign w:val="bottom"/>
            <w:vMerge w:val="continue"/>
          </w:tcPr>
          <w:p>
            <w:pPr>
              <w:spacing w:after="0"/>
              <w:rPr>
                <w:sz w:val="24"/>
                <w:szCs w:val="24"/>
                <w:color w:val="auto"/>
              </w:rPr>
            </w:pPr>
          </w:p>
        </w:tc>
        <w:tc>
          <w:tcPr>
            <w:tcW w:w="8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type w:val="continuous"/>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goodwill balance was $1,189.8 million as of September 27, 2019, and September 28, 2018. The Company performed an impairment test of its goodwill as of the first day of the fourth fiscal quarter in accordance with its regularly scheduled testing. The results of this test indicated that the Company’s goodwill was not impaired. There were no other indicators of impairment noted during the fiscal year ended September 27,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060" w:type="dxa"/>
            <w:vAlign w:val="bottom"/>
            <w:vMerge w:val="restart"/>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 2018</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8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 and other</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Trademarks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software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 licenses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IPR&amp;D</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182.4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107.9</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187.2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143.7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the gross amount of intangible assets is primarily related to fully amortized intangible assets have been eliminated from both the gross and accumulated amortization amounts, partially offset by current period additions to technology licenses.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amortization expense for the next five fiscal years related to intangible assets, excluding IPR&amp;D, is expected to be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42"/>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42.2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consists of the following components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681.2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575.8</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961.0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1,257.0</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240.4</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67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246.8</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expense at United States statutory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439.9</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on deemed repatriation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stock compensation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of tax rate on 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tax reserve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246.8</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foreign jurisdictions with income tax rates lower than the United States tax rate for the fiscal years ended September 27, 2019, and September 28, 2018, which were 21.0% and 24.6%, respectively. The Company’s tax benefits related to foreign earnings taxed at a rate less than the United States federal rate were $115.3 million and $111.9 million for the fiscal years ended September 27, 2019, and September 28, 2018,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Tax Reform Act includes, among other things, a reduction of the United States corporate tax rate from 35.0% to 21.0%, a mandatory deemed repatriation tax on foreign earnings, repeal of the corporate alternative minimum tax and the domestic production activities deduction, and expensing of certain capital investments. The law makes fundamental changes to the taxation of multinational entities, including a shift from worldwide taxation with deferral to a hybrid territorial system, featuring a participation exemption regime, a minimum tax on low-taxed foreign earnings, and new measures to deter base erosion and promote export from the United States. As a result of this legislation, during fiscal 2018 the Company recognized a one-time transition tax related to the deemed repatriation of foreign earnings of $224.6 million and a charge related to the revaluation of its deferred tax assets at the new corporate tax rate of $18.3 million. During fiscal 2019, the Company completed its analysis of the impact of the Tax Reform Act and recorded a discrete income tax expense adjustment of $8.1 million to the prior year provisional estimates. The $232.7 million deemed repatriation tax is payable over the next eight years. The Company had accrued $195.9 million and $206.6 million of the deemed repatriation tax in long-term liabilities within the consolidated balance sheet as of September 27, 2019, and September 28, 2018, respectively.</w:t>
      </w:r>
    </w:p>
    <w:p>
      <w:pPr>
        <w:sectPr>
          <w:pgSz w:w="11900" w:h="16838" w:orient="portrait"/>
          <w:cols w:equalWidth="0" w:num="1">
            <w:col w:w="11420"/>
          </w:cols>
          <w:pgMar w:left="240" w:top="126"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type w:val="continuous"/>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introduction of a modified territorial tax system, the Tax Reform Act includes new sets of provisions aimed at preventing or decreasing U.S. tax base erosion: the global intangible low-taxed income (“GILTI”) provisions, the base erosion and anti-abuse tax (“BEAT”) provisions, and the foreign derived intangible income (“FDII”) provisions. The GILTI provisions impose a tax on foreign income in excess of a deemed return on tangible assets of foreign corporations. The Company has made an accounting policy election to account for taxes due on GILTI inclusions as a component of current-period tax expense. The BEAT provisions eliminate the deduction of certain base-erosion payments made to related foreign corporations and impose a minimum tax if greater than regular tax. The FDII provisions allow a U.S. corporation an immediate deduction for a portion of its FDII. The amount of the deduction will depend in part on the Company’s U.S. taxable income. The GILTI and FDII provisions became effective for the Company in fiscal 2019 and resulted in a $54.3 million tax expense and a $41.5 million tax benefit, respectively. The Company has analyzed the BEAT provisions for the year ended September 27, 2019, and has determined that it is not subject to the minimum tax imposed by the BEAT provisions.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federal income tax returns for fiscal 2015 and fiscal 2016 are currently under IRS examination. During the year ended September 27, 2019, the Company effectively settled a portion of this IRS examination. As a result, the Company accrued a tax payable of $4.3 million, including interest.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2010, the Company expanded its presence in Asia by launching operations in Singapore. The Company operates under a tax holiday in Singapore, which was originally effective through September 30, 2020. The Company has obtained an extension of this tax holiday through September 30, 2030. The original tax holiday and the extension are both conditioned upon the Company’s compliance with certain employment and investment thresholds in Singapore. The impact of the tax holiday decreased Singapore’s taxes by $32.8 million, $38.4 million, and $37.4 million for the fiscal years ended September 27, 2019, September 28, 2018, and September 29, 2017, respectively, which resulted in tax benefits of $0.19, $0.21, and $0.20 of diluted earnings per share,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consist of the tax effects of temporary differences related to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Fiscal Years Ended</w:t>
            </w:r>
          </w:p>
        </w:tc>
      </w:tr>
      <w:tr>
        <w:trPr>
          <w:trHeight w:val="149"/>
        </w:trPr>
        <w:tc>
          <w:tcPr>
            <w:tcW w:w="8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2"/>
                <w:szCs w:val="12"/>
                <w:color w:val="auto"/>
              </w:rPr>
            </w:pPr>
          </w:p>
        </w:tc>
        <w:tc>
          <w:tcPr>
            <w:tcW w:w="128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Bad debts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returns, allowances and warranty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and other 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Non-United States tax credits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tax credits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7"/>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GAAP, management has determined that it is more likely than not that a portion of its historic and current year income tax benefits will not be realized. As of September 27, 2019, the Company has a valuation allowance of $129.1 million. This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valuation allowance is comprised of $109.8 million related to United States state tax credits and $19.3 million are related to foreign deferred tax assets. The Company does not anticipate sufficient taxable income or tax liability to utilize these state and foreign credits. If these benefits are recognized in a future period the valuation allowance on deferred tax assets will be reversed and up to a $129.1 million income tax benefit may be recognized. The Company will need to generate $106.4 million of future United States federal taxable income to utilize its United States deferred tax assets as of September 27, 2019.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$10.5 million and $27.7 million in fiscal 2019 and fiscal 2018, respectively, primarily related to increases for foreign and state net operating loss and tax credit carryovers.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27, 2019, the Company has United States federal net operating loss carry forwards of approximately $18.2 million, including $10.3 million related to the acquisition of Avnera. The utilization of these net operating losses is subject to certain annual limitations as required under Internal Revenue Code section 382 and similar state income tax provisions. The United States federal net operating loss carry forwards expire at various dates through 2035. The Company also has state income tax credit carry forwards of $106.4 million, net of federal benefits, for which the Company has provided a valuation allowance. The state tax credits relate primarily to California research tax credits that can be carried forward indefinitely.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Unrecognized tax</w:t>
            </w:r>
          </w:p>
        </w:tc>
      </w:tr>
      <w:tr>
        <w:trPr>
          <w:trHeight w:val="195"/>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49"/>
        </w:trPr>
        <w:tc>
          <w:tcPr>
            <w:tcW w:w="9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September 28,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93.4</w:t>
            </w:r>
          </w:p>
        </w:tc>
      </w:tr>
      <w:tr>
        <w:trPr>
          <w:trHeight w:val="243"/>
        </w:trPr>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 based on positions related to prior years</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 based on positions related to prior years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 based on positions related to current year</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 relating to settlements with taxing authorities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Decreases relating to lapses of applicable statutes of limitations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September 27,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total unrecognized tax benefits at September 27, 2019, $87.6 million would impact the effective tax rate, if recognized. The remaining unrecognized tax benefits would not impact the effective tax rate, if recognized, due to the Company’s valuation allowance and certain positions that were required to be capitalized.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anticipates reversals within the next 12 months related to items such as the lapse of the statute of limitations, audit closures, and other items that occur in the normal course of business. Due to open examinations, an estimate of anticipated reversals within the next 12 months cannot be made. During the fiscal years 2019, 2018, and 2017, the Company recognized $6.0 million, $4.1 million and $2.6 million, respectively, of interest or penalties related to unrecognized tax benefits. Accrued interest and penalties of $12.7 million and $7.5 million related to uncertain tax positions have been included in long-term tax liabilities within the consolidated balance sheet as of September 27, 2019, and September 28, 2018, respectively.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major tax jurisdictions as of September 27, 2019, are the United States, California, Canada, Luxembourg, Mexico, Japan, and Singapore. For the United States, the Company has open tax years dating back to fiscal 2000 due to the carry forward of tax attributes. For California, the Company has open tax years dating back to fiscal 1999 due to the carry forward of tax attributes. For Canada, the Company has open tax years dating back to fiscal 2013. For Luxembourg, the Company has open tax years back to fiscal 2013. For Mexico, the Company has open tax years back to fiscal 2013. For Japan, the Company has open tax years back to fiscal 2014. For Singapore, the Company has open tax years dating back to fiscal 2013. The Company is subject to audit examinations by the respective taxing authorities on a periodic basis, of which the results could impact its financial position, results of operations or cash flows.</w:t>
      </w:r>
    </w:p>
    <w:p>
      <w:pPr>
        <w:spacing w:after="0" w:line="185" w:lineRule="exact"/>
        <w:rPr>
          <w:sz w:val="20"/>
          <w:szCs w:val="20"/>
          <w:color w:val="auto"/>
        </w:rPr>
      </w:pPr>
    </w:p>
    <w:p>
      <w:pPr>
        <w:ind w:right="8720" w:firstLine="8"/>
        <w:spacing w:after="0" w:line="503" w:lineRule="auto"/>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27, 2019, the Company is authorized to issue 525.0 million shares of common stock, par value $0.25 per share, of which 230.2 million shares are issued and 170.1 million shares are outstanding.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September 27, 2019, the Company had no shares of preferred stock issued or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30, 2019, the Board of Directors approved a stock repurchase program, pursuant to which the Company is authorized to repurchase up to $2.0 billion of its common stock from time to time prior to January 30, 2021, on the open market or in privately negotiated transactions as permitted by securities laws and other legal requirements. This authorized stock repurchase program replaced in its entirety the January 31, 2018, stock repurchase program. During the fiscal year ended September 27, 2019, the Company paid approximately $657.6 million (including commissions) in connection with the repurchase of 8.9 million shares of its common stock (paying an average price of $74.26 per share) under the January 30, 2019, stock repurchase plan and the January 31, 2018, stock repurchase plan. As of September 27, 2019, $1,626.4 million remained available under the January 30, 2019, stock repurchase plan.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28, 2018, the Company paid approximately $759.5 million (including commissions) in connection with the repurchase of 7.7 million shares of its common stock (paying an average price of $98.84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2019, the Company announced that the Board of Directors had declared a cash dividend on the Company’s common stock of $0.44 per share. This dividend is payable on December 24, 2019, to the Company’s stockholders of record as of the close of business on December 3, 2019. Future dividends are subject to declaration by the Board of Directors. The dividends charged to retained earnings in fiscal 2019 and 2018 were as follows (in millions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40" w:type="dxa"/>
            <w:vAlign w:val="bottom"/>
          </w:tcPr>
          <w:p>
            <w:pPr>
              <w:spacing w:after="0"/>
              <w:rPr>
                <w:sz w:val="12"/>
                <w:szCs w:val="12"/>
                <w:color w:val="auto"/>
              </w:rPr>
            </w:pPr>
          </w:p>
        </w:tc>
      </w:tr>
      <w:tr>
        <w:trPr>
          <w:trHeight w:val="19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7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BENEFIT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27, 2019, the Company has the following equity compensation plans under which its equity securities were authorized for issuance to its employees and/or directors:</w:t>
      </w:r>
    </w:p>
    <w:p>
      <w:pPr>
        <w:spacing w:after="0" w:line="216" w:lineRule="exact"/>
        <w:rPr>
          <w:sz w:val="20"/>
          <w:szCs w:val="20"/>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2002 Employee Stock Purchase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Non-Qualified Employee Stock Purchase Plan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2005 Long-Term Incentive Plan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AATI 2005 Equity Incentive Plan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2008 Director Long-Term Incentive Plan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2015 Long-Term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Non-Qualified Employee Stock Purchase Plan, each of the foregoing equity compensation plans was approved by the Company’s stockholders.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27, 2019, a total of 85.3 million shares are authorized for grant under the Company’s share-based compensation plans, with 1.3 million options outstanding. The number of common shares reserved for future awards to employees and directors under these plans was 12.4 million at September 27, 2019. The Company currently grants new equity awards to employees under the 2015 Long-Term Incentive Plan and to non-employee directors under the 2008 Director Long-Term Incentive Plan.</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2015 Long-Term Incentive Plan. </w:t>
      </w:r>
      <w:r>
        <w:rPr>
          <w:rFonts w:ascii="Times New Roman" w:cs="Times New Roman" w:eastAsia="Times New Roman" w:hAnsi="Times New Roman"/>
          <w:sz w:val="18"/>
          <w:szCs w:val="18"/>
          <w:color w:val="auto"/>
        </w:rPr>
        <w:t>Under this plan, officers, employees, and certain consultants may be granted stock options, restricted stock awards and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stock awards and units and other share-based awards. The plan has been approved by the stockholders. Under the plan, up to 19.4 million shares have been authorized for grant. A total of 11.7 million shares are available for new grants as of September 27, 2019. The maximum contractual term of options under the plan is seven years from the date of grant. Options granted under the plan at the determination of the compensation committee generally vest ratably over four years. Restricted stock awards and units granted under the plan at the determination of the compensation committee generally vest over four or more years. With respect to restricted stock awards, dividends are accumulated and paid when the underlying shares vest. If the underlying shares are forfeited for any reason, the rights to the dividends with respect to such shares are also forfeited. No dividends or dividend equivalents are paid or accrued with respect to restricted stock unit awards or other awards until the shares underlying such awards become vested and are issued to the award holder. Performance stock awards and units are contingently granted depending on the achievement of certain predetermined performance goals and generally vest over two or more years.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2008 Director Long-Term Incentive Plan. </w:t>
      </w:r>
      <w:r>
        <w:rPr>
          <w:rFonts w:ascii="Times New Roman" w:cs="Times New Roman" w:eastAsia="Times New Roman" w:hAnsi="Times New Roman"/>
          <w:sz w:val="18"/>
          <w:szCs w:val="18"/>
          <w:color w:val="auto"/>
        </w:rPr>
        <w:t>Under this plan, non-employee directors may be granted stock options, restricted stock awards, and other share-based awards. The plan has been approved by the stockholders. Under the plan a total of 1.5 million shares have been authorized for grant. A total of 0.6 million shares are available for new grants as of September 27, 2019. The maximum contractual term of options granted under the plan is ten years from the date of grant. Options granted under the plan are generally exercisable over four years. Restricted stock awards and units granted under the plan generally vest over one or more years. With respect to restricted stock awards, dividends are accumulated and paid when the underlying shares vest. If the underlying shares are forfeited for any reason, the rights to the dividends with respect to such shares are also forfeited.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Plans. </w:t>
      </w:r>
      <w:r>
        <w:rPr>
          <w:rFonts w:ascii="Times New Roman" w:cs="Times New Roman" w:eastAsia="Times New Roman" w:hAnsi="Times New Roman"/>
          <w:sz w:val="18"/>
          <w:szCs w:val="18"/>
          <w:color w:val="auto"/>
        </w:rPr>
        <w:t>The Company maintains a domestic and an international employee stock purchase plan. Under these plans,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may purchase common stock through payroll deductions of up to 10% of their compensation. The price per share is the lower of 85% of the fair market value of the common stock at the beginning or end of each offering period (six months). The plans provide for purchases by employees of up to an aggregate of 9.7 million shares. Shares of common stock purchased under these plans in the fiscal years ended September 27, 2019, September 28, 2018, and September 29, 2017, were 0.3 million, 0.2 million, and 0.2 million, respectively. At September 27, 2019, there are 0.2 million shares available for purchase. The Company recognized compensation expense of $5.8 million, $5.2 million and $4.5 million for the fiscal years ended September 27, 2019, September 28, 2018, and September 29, 2017, respectively, related to the employee stock purchase plan. The unrecognized compensation expense on the employee stock purchase plan at September 27, 2019, was $1.9 million. The weighted average period over which the cost is expected to be recognized is approximately four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summary of the Company’s stock options: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360" w:type="dxa"/>
            <w:vAlign w:val="bottom"/>
            <w:gridSpan w:val="3"/>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300" w:type="dxa"/>
            <w:vAlign w:val="bottom"/>
          </w:tcPr>
          <w:p>
            <w:pPr>
              <w:spacing w:after="0"/>
              <w:rPr>
                <w:sz w:val="16"/>
                <w:szCs w:val="16"/>
                <w:color w:val="auto"/>
              </w:rPr>
            </w:pPr>
          </w:p>
        </w:tc>
        <w:tc>
          <w:tcPr>
            <w:tcW w:w="14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outstanding at September 28, 2018</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57.12</w:t>
            </w: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82.64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Canceled/forfeited</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Balance outstanding at September 27, 2019</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65.38</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Exercisable at September 27, 2019</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per share of employee stock options granted during the fiscal years ended September 27, 2019, September 28, 2018, and September 29, 2017, was $21.74, $68.32, and $23.25, respectively. The increase in the weighted-average grant date fair value per share of employee stock options granted during fiscal 2018 was due to replacement awards granted as a result of the Avnera acquisition completed during the period. The total grant date fair value of the options vested during the fiscal years ended September 27, 2019, September 28, 2018, and September 29, 2017, was $23.7 million, $22.6 million and $19.3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and Performance Awards and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summary of the Company’s restricted and performance awards and units: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60" w:type="dxa"/>
            <w:vAlign w:val="bottom"/>
          </w:tcPr>
          <w:p>
            <w:pPr>
              <w:spacing w:after="0"/>
              <w:rPr>
                <w:sz w:val="12"/>
                <w:szCs w:val="12"/>
                <w:color w:val="auto"/>
              </w:rPr>
            </w:pPr>
          </w:p>
        </w:tc>
        <w:tc>
          <w:tcPr>
            <w:tcW w:w="154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awards outstanding at September 28, 2018</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92.37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(1)</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awards outstanding at September 27, 2019</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87.22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240" w:hanging="205"/>
        <w:spacing w:after="0"/>
        <w:tabs>
          <w:tab w:leader="none" w:pos="2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includes performance shares granted and earned assuming maximum performance under the underlying performance metrics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awards granted during the fiscal years ended September 27, 2019, September 28, 2018, and September 29, 2017, was $78.41, $108.86, and $72.84, respectively. The total grant date fair value of the awards vested during the fiscal years ended September 27, 2019, September 28, 2018, and September 29, 2017, was $74.9 million, $81.1 million and $57.9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intrinsic value for stock options exercised and awards vested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137.8</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116.1</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pre-tax share-based compensation expense by financial statement line and related tax benefit (in millions):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39.6</w:t>
            </w:r>
          </w:p>
        </w:tc>
      </w:tr>
      <w:tr>
        <w:trPr>
          <w:trHeight w:val="297"/>
        </w:trPr>
        <w:tc>
          <w:tcPr>
            <w:tcW w:w="6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88.5</w:t>
            </w:r>
          </w:p>
        </w:tc>
      </w:tr>
      <w:tr>
        <w:trPr>
          <w:trHeight w:val="176"/>
        </w:trPr>
        <w:tc>
          <w:tcPr>
            <w:tcW w:w="6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tax benefit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 expense at period end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compensation costs related to unvested share-based awards not yet recognized and the weighted average period over which it is expected to be recognized at September 27,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49"/>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cost for unvested awards</w:t>
            </w:r>
          </w:p>
        </w:tc>
        <w:tc>
          <w:tcPr>
            <w:tcW w:w="1820" w:type="dxa"/>
            <w:vAlign w:val="bottom"/>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r>
      <w:tr>
        <w:trPr>
          <w:trHeight w:val="195"/>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restricted stock awards and units is equal to the closing market price of the Company’s common stock on the date of grant.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performance share units during fiscal 2019, fiscal 2018, and fiscal 2017 that contained market-based conditions. The fair value of these performance share units was estimated on the date of the grant using a Monte Carlo simulation with the following weighted average assumptions:</w:t>
      </w: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20" w:type="dxa"/>
            <w:vAlign w:val="bottom"/>
            <w:tcBorders>
              <w:bottom w:val="single" w:sz="8" w:color="auto"/>
            </w:tcBorders>
          </w:tcPr>
          <w:p>
            <w:pPr>
              <w:spacing w:after="0"/>
              <w:rPr>
                <w:sz w:val="16"/>
                <w:szCs w:val="16"/>
                <w:color w:val="auto"/>
              </w:rPr>
            </w:pPr>
          </w:p>
        </w:tc>
      </w:tr>
      <w:tr>
        <w:trPr>
          <w:trHeight w:val="149"/>
        </w:trPr>
        <w:tc>
          <w:tcPr>
            <w:tcW w:w="6120" w:type="dxa"/>
            <w:vAlign w:val="bottom"/>
          </w:tcPr>
          <w:p>
            <w:pPr>
              <w:spacing w:after="0"/>
              <w:rPr>
                <w:sz w:val="12"/>
                <w:szCs w:val="12"/>
                <w:color w:val="auto"/>
              </w:rPr>
            </w:pPr>
          </w:p>
        </w:tc>
        <w:tc>
          <w:tcPr>
            <w:tcW w:w="17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7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2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of common stock</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volatility of peer companies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7"/>
        </w:trPr>
        <w:tc>
          <w:tcPr>
            <w:tcW w:w="6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correlation coefficient of peer companies</w:t>
            </w:r>
          </w:p>
        </w:tc>
        <w:tc>
          <w:tcPr>
            <w:tcW w:w="16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0.42</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7"/>
        </w:trPr>
        <w:tc>
          <w:tcPr>
            <w:tcW w:w="6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6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the grant using the Black-Scholes option pricing model with the following weighted average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56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560" w:type="dxa"/>
            <w:vAlign w:val="bottom"/>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5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5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a historical volatility calculated by the mean reversion of the weekly-adjusted closing stock price over the expected life of the options. The risk-free interest rate assumption is based upon observed treasury bill interest rates appropriate for the expected life of the Company’s employee stock options. The dividend yield was calculated based on the annualized dividend and the stock price on the date of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life of employee stock options represents a calculation based upon the historical exercise, cancellation and forfeiture experience for the Company across its demographic population. The Company believes that this historical data is the best estimate of the expected life of a new option and that generally all groups of the Company’s employees exhibit similar behavior.</w:t>
      </w:r>
    </w:p>
    <w:p>
      <w:pPr>
        <w:sectPr>
          <w:pgSz w:w="11900" w:h="16838" w:orient="portrait"/>
          <w:cols w:equalWidth="0" w:num="1">
            <w:col w:w="11420"/>
          </w:cols>
          <w:pgMar w:left="240" w:top="12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type w:val="continuous"/>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operating leases primarily for buildings, computers and equipment. Rent expense amounted to $18.7 million, $20.5 million, and $20.6 million in the fiscal years ended September 27, 2019, September 28, 2018, and September 29, 2017, respectively. Future minimum payments under these non-cancelable leases for the next five fiscal years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Future minimum payments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219.9</w:t>
            </w: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right="9440" w:firstLine="8"/>
        <w:spacing w:after="0" w:line="503" w:lineRule="auto"/>
        <w:tabs>
          <w:tab w:leader="none" w:pos="4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Legal Matters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monitors the status of legal proceedings and other contingencies on an ongoing basis to ensure loss contingencies are recognized and/or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180"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 AND INDEMNITIES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143"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fiscal 2019, the Company recorded restructuring and other charges of approximately $6.8 million primarily related to employee severance and other termination benefits as well as charges on a leased facility resulting from restructuring plans initiated during the period. The Company does not anticipate any further significant charges associated with these restructuring activities and the remaining cash payments related to these restructuring plans are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2018, the Company recorded restructuring and other charges of approximately $0.8 million related to a leased facility.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2017, the Company implemented immaterial restructuring plans and recorded $0.6 million related to employee severance and other costs.</w:t>
      </w:r>
    </w:p>
    <w:p>
      <w:pPr>
        <w:spacing w:after="0" w:line="221"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2"/>
                <w:szCs w:val="12"/>
                <w:color w:val="auto"/>
              </w:rPr>
            </w:pPr>
          </w:p>
        </w:tc>
        <w:tc>
          <w:tcPr>
            <w:tcW w:w="12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equity based awards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 based awards that were outstanding during the fiscal years ended September 27, 2019, September 28, 2018, and September 29, 2017, using the treasury stock method. Certain of the Company’s outstanding share-based awards, noted in the table above, were excluded because they were anti-dilutive, but they could become dilutive in the future.</w:t>
      </w:r>
    </w:p>
    <w:p>
      <w:pPr>
        <w:spacing w:after="0" w:line="136"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CONCENTRATIONS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Times New Roman" w:cs="Times New Roman" w:eastAsia="Times New Roman" w:hAnsi="Times New Roman"/>
          <w:sz w:val="18"/>
          <w:szCs w:val="18"/>
          <w:color w:val="010000"/>
        </w:rPr>
        <w:t>CODM</w:t>
      </w:r>
      <w:r>
        <w:rPr>
          <w:rFonts w:ascii="Times New Roman" w:cs="Times New Roman" w:eastAsia="Times New Roman" w:hAnsi="Times New Roman"/>
          <w:sz w:val="18"/>
          <w:szCs w:val="18"/>
          <w:color w:val="auto"/>
        </w:rPr>
        <w:t>”),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presents net revenue by geographic area based upon the location of the OEMs’ headquarters as it believes that doing so best depicts how the nature, amount, timing, and uncertainty of revenue and cash flows are affected by economic factors. Net revenue by geographic area is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3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1,946.2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1,615.4</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1,018.8</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South Korea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531.8</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Taiwan</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335.4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117.4</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Asia-Pacific</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3,868.0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from external customers is generated principally from the sale of semiconductor products that facilitate various wireless communication applications. Accordingly, the Company considers its product offerings to be similar in nature and therefore not segregated for reporting purposes.</w:t>
      </w:r>
    </w:p>
    <w:p>
      <w:pPr>
        <w:sectPr>
          <w:pgSz w:w="11900" w:h="16838" w:orient="portrait"/>
          <w:cols w:equalWidth="0" w:num="1">
            <w:col w:w="11420"/>
          </w:cols>
          <w:pgMar w:left="240" w:top="12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type w:val="continuous"/>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property, plant and equipment balances, based on the physical locations within the indicated geographic areas are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tcPr>
          <w:p>
            <w:pPr>
              <w:spacing w:after="0"/>
              <w:rPr>
                <w:sz w:val="16"/>
                <w:szCs w:val="16"/>
                <w:color w:val="auto"/>
              </w:rPr>
            </w:pPr>
          </w:p>
        </w:tc>
      </w:tr>
      <w:tr>
        <w:trPr>
          <w:trHeight w:val="149"/>
        </w:trPr>
        <w:tc>
          <w:tcPr>
            <w:tcW w:w="8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449.4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1,140.9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Ongoing credit evaluations of customers’ financial condition are performed and collateral, such as letters of credit and bank guarantees, are required whenever deemed necessary.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2019, 2018, and 2017, Apple, through sales to multiple distributors, contract manufacturers and direct sales for multiple applications including smartphones, tablets, desktop and notebook computers, watches and other devices, in the aggregate accounted for 51%, 47%, and 39% of the Company’s net revenue, respectively. In fiscal 2017, Samsung and Huawei in the aggregate accounted for 12% and 10% of the Company’s net revenue,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27, 2019, the Company’s three largest accounts receivable balances comprised 67% of aggregate gross accounts receivable. This concentration was 66% and 53% at September 28, 2018, and September 29, 2017, respectively.</w:t>
      </w:r>
    </w:p>
    <w:p>
      <w:pPr>
        <w:spacing w:after="0" w:line="158"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quarterly and annual results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2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49"/>
        </w:trPr>
        <w:tc>
          <w:tcPr>
            <w:tcW w:w="41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3,376.8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1,603.8</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853.6</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 share data (1)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4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4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3,868.0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1,950.7</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918.4</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 share data (1)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4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19" w:lineRule="exact"/>
        <w:rPr>
          <w:sz w:val="20"/>
          <w:szCs w:val="20"/>
          <w:color w:val="auto"/>
        </w:rPr>
      </w:pPr>
    </w:p>
    <w:p>
      <w:pPr>
        <w:ind w:left="300" w:hanging="292"/>
        <w:spacing w:after="0" w:line="259" w:lineRule="auto"/>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calculations for each of the quarters are based on the weighted average number of shares outstanding and included common stock equivalents in each period. Therefore, the sums of the quarters do not necessarily equal the full year earnings per share.</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type w:val="continuous"/>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219"/>
          </w:cols>
          <w:pgMar w:left="240" w:top="126" w:right="1440"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27,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September 27, 2019,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4" w:lineRule="exact"/>
        <w:rPr>
          <w:sz w:val="20"/>
          <w:szCs w:val="20"/>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September 27, 2019. In making this assessment, the Company’s management used the criteria set forth by the Committee of Sponsoring Organizations of the Treadway Commission (COSO) 2013 Internal Control-Integrated Framework.</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their assessment, management concluded that, as of September 27, 2019, the Company’s internal control over financial reporting is effective based on those criteria.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changes to our internal control over financial reporting (as defined in Rules 13a-15(f) and 15d-15(f) of the Exchange Act) that occurred during the fourth quarter of 2019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November 19, 2019, Peter L. Gammel will retire from his position as Chief Technology Officer of the Company.</w:t>
      </w:r>
    </w:p>
    <w:p>
      <w:pPr>
        <w:spacing w:after="0" w:line="2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the captions “Directors and Executive Officers”, “Corporate Governance─Committees of the Board of Directors” and “Other Matters─Section 16(a) Beneficial Ownership Reporting Compliance” in our definitive proxy statement for the 2020 Annual Meeting of Stockholders is incorporated herein by reference.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and persons performing similar functions. We make available our code of business conduct and ethics free of charge through our website, which is located at www.skyworksinc.com. We intend to disclose any amendments to, or waivers from, our code of business conduct and ethics that are required to be publicly disclosed pursuant to rules of the SEC and the Nasdaq Global Select Market by posting any such amendment or waivers on our website and disclosing any such waivers in a Form 8-K filed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to be included under the caption “Information about Executive and Director Compensation” in our definitive proxy statement for the 2020 Annual Meeting of Stockholders is incorporated herein by reference.</w:t>
      </w:r>
    </w:p>
    <w:p>
      <w:pPr>
        <w:spacing w:after="0" w:line="158" w:lineRule="exact"/>
        <w:rPr>
          <w:sz w:val="20"/>
          <w:szCs w:val="20"/>
          <w:color w:val="auto"/>
        </w:rPr>
      </w:pPr>
    </w:p>
    <w:p>
      <w:pPr>
        <w:ind w:left="820" w:right="74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to be included under the captions “Security Ownership of Certain Beneficial Owners and Management” and “Equity Compensation Plan Information” in our definitive proxy statement for the 2020 Annual Meeting of Stockholders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to be included under the captions “Certain Relationships and Related Transactions” and “Corporate Governance─Director Independence” in our definitive proxy statement for the 2020 Annual Meeting of Stockholders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to be included under the caption “Ratification of Independent Registered Public Accounting Firm—Audit Fees” in our definitive proxy statement for the 2020 Annual Meeting of Stockholders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are filed as part of this Annual Report on Form 10-K:</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1.   Index to Financial Statements</w:t>
            </w:r>
          </w:p>
        </w:tc>
        <w:tc>
          <w:tcPr>
            <w:tcW w:w="2960" w:type="dxa"/>
            <w:vAlign w:val="bottom"/>
            <w:gridSpan w:val="7"/>
          </w:tcPr>
          <w:p>
            <w:pPr>
              <w:jc w:val="center"/>
              <w:ind w:left="970"/>
              <w:spacing w:after="0"/>
              <w:rPr>
                <w:sz w:val="20"/>
                <w:szCs w:val="20"/>
                <w:color w:val="auto"/>
              </w:rPr>
            </w:pPr>
            <w:r>
              <w:rPr>
                <w:rFonts w:ascii="Times New Roman" w:cs="Times New Roman" w:eastAsia="Times New Roman" w:hAnsi="Times New Roman"/>
                <w:sz w:val="18"/>
                <w:szCs w:val="18"/>
                <w:color w:val="auto"/>
                <w:w w:val="99"/>
              </w:rPr>
              <w:t>Page number in this report</w:t>
            </w:r>
          </w:p>
        </w:tc>
      </w:tr>
      <w:tr>
        <w:trPr>
          <w:trHeight w:val="45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3">
              <w:r>
                <w:rPr>
                  <w:rFonts w:ascii="Times New Roman" w:cs="Times New Roman" w:eastAsia="Times New Roman" w:hAnsi="Times New Roman"/>
                  <w:sz w:val="18"/>
                  <w:szCs w:val="18"/>
                  <w:color w:val="0000EE"/>
                </w:rPr>
                <w:t>33</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years ended September 27, 2019</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5">
              <w:r>
                <w:rPr>
                  <w:rFonts w:ascii="Times New Roman" w:cs="Times New Roman" w:eastAsia="Times New Roman" w:hAnsi="Times New Roman"/>
                  <w:sz w:val="18"/>
                  <w:szCs w:val="18"/>
                  <w:color w:val="0000EE"/>
                </w:rPr>
                <w:t>35</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years ended September 27, 2019</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6">
              <w:r>
                <w:rPr>
                  <w:rFonts w:ascii="Times New Roman" w:cs="Times New Roman" w:eastAsia="Times New Roman" w:hAnsi="Times New Roman"/>
                  <w:sz w:val="18"/>
                  <w:szCs w:val="18"/>
                  <w:color w:val="0000EE"/>
                </w:rPr>
                <w:t>38</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at September 27, 2019, and September 28, 2018</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7">
              <w:r>
                <w:rPr>
                  <w:rFonts w:ascii="Times New Roman" w:cs="Times New Roman" w:eastAsia="Times New Roman" w:hAnsi="Times New Roman"/>
                  <w:sz w:val="18"/>
                  <w:szCs w:val="18"/>
                  <w:color w:val="0000EE"/>
                </w:rPr>
                <w:t>37</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three years ended September 27, 2019</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8">
              <w:r>
                <w:rPr>
                  <w:rFonts w:ascii="Times New Roman" w:cs="Times New Roman" w:eastAsia="Times New Roman" w:hAnsi="Times New Roman"/>
                  <w:sz w:val="18"/>
                  <w:szCs w:val="18"/>
                  <w:color w:val="0000EE"/>
                </w:rPr>
                <w:t>38</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years ended September 27, 2019</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Page </w:t>
            </w:r>
            <w:hyperlink w:anchor="page39">
              <w:r>
                <w:rPr>
                  <w:rFonts w:ascii="Times New Roman" w:cs="Times New Roman" w:eastAsia="Times New Roman" w:hAnsi="Times New Roman"/>
                  <w:sz w:val="18"/>
                  <w:szCs w:val="18"/>
                  <w:color w:val="0000EE"/>
                </w:rPr>
                <w:t>39</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960" w:type="dxa"/>
            <w:vAlign w:val="bottom"/>
            <w:gridSpan w:val="7"/>
          </w:tcPr>
          <w:p>
            <w:pPr>
              <w:jc w:val="center"/>
              <w:ind w:left="970"/>
              <w:spacing w:after="0"/>
              <w:rPr>
                <w:rFonts w:ascii="Times New Roman" w:cs="Times New Roman" w:eastAsia="Times New Roman" w:hAnsi="Times New Roman"/>
                <w:sz w:val="18"/>
                <w:szCs w:val="18"/>
                <w:color w:val="auto"/>
                <w:w w:val="98"/>
              </w:rPr>
            </w:pPr>
            <w:r>
              <w:rPr>
                <w:rFonts w:ascii="Times New Roman" w:cs="Times New Roman" w:eastAsia="Times New Roman" w:hAnsi="Times New Roman"/>
                <w:sz w:val="18"/>
                <w:szCs w:val="18"/>
                <w:color w:val="auto"/>
                <w:w w:val="98"/>
              </w:rPr>
              <w:t xml:space="preserve">Pages </w:t>
            </w:r>
            <w:hyperlink w:anchor="page40">
              <w:r>
                <w:rPr>
                  <w:rFonts w:ascii="Times New Roman" w:cs="Times New Roman" w:eastAsia="Times New Roman" w:hAnsi="Times New Roman"/>
                  <w:sz w:val="18"/>
                  <w:szCs w:val="18"/>
                  <w:color w:val="0000EE"/>
                  <w:w w:val="98"/>
                </w:rPr>
                <w:t>40</w:t>
              </w:r>
              <w:r>
                <w:rPr>
                  <w:rFonts w:ascii="Times New Roman" w:cs="Times New Roman" w:eastAsia="Times New Roman" w:hAnsi="Times New Roman"/>
                  <w:sz w:val="18"/>
                  <w:szCs w:val="18"/>
                  <w:color w:val="auto"/>
                  <w:w w:val="98"/>
                </w:rPr>
                <w:t xml:space="preserve"> </w:t>
              </w:r>
            </w:hyperlink>
            <w:r>
              <w:rPr>
                <w:rFonts w:ascii="Times New Roman" w:cs="Times New Roman" w:eastAsia="Times New Roman" w:hAnsi="Times New Roman"/>
                <w:sz w:val="18"/>
                <w:szCs w:val="18"/>
                <w:color w:val="auto"/>
                <w:w w:val="98"/>
              </w:rPr>
              <w:t xml:space="preserve">through </w:t>
            </w:r>
            <w:hyperlink w:anchor="page57">
              <w:r>
                <w:rPr>
                  <w:rFonts w:ascii="Times New Roman" w:cs="Times New Roman" w:eastAsia="Times New Roman" w:hAnsi="Times New Roman"/>
                  <w:sz w:val="18"/>
                  <w:szCs w:val="18"/>
                  <w:color w:val="0000EE"/>
                  <w:w w:val="98"/>
                </w:rPr>
                <w:t>57</w:t>
              </w:r>
            </w:hyperlink>
          </w:p>
        </w:tc>
      </w:tr>
      <w:tr>
        <w:trPr>
          <w:trHeight w:val="20"/>
        </w:trPr>
        <w:tc>
          <w:tcPr>
            <w:tcW w:w="8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400" w:lineRule="exact"/>
        <w:rPr>
          <w:sz w:val="20"/>
          <w:szCs w:val="20"/>
          <w:color w:val="auto"/>
        </w:rPr>
      </w:pPr>
    </w:p>
    <w:p>
      <w:pPr>
        <w:ind w:left="420" w:hanging="385"/>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listed below is filed as part of this Annual Report on Form 10-K:</w:t>
      </w:r>
    </w:p>
    <w:p>
      <w:pPr>
        <w:spacing w:after="0" w:line="63" w:lineRule="exact"/>
        <w:rPr>
          <w:rFonts w:ascii="Times New Roman" w:cs="Times New Roman" w:eastAsia="Times New Roman" w:hAnsi="Times New Roman"/>
          <w:sz w:val="18"/>
          <w:szCs w:val="18"/>
          <w:color w:val="auto"/>
        </w:rPr>
      </w:pPr>
    </w:p>
    <w:p>
      <w:pPr>
        <w:ind w:left="420" w:right="25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schedule information is included in the Notes to Consolidated Financial Statements or is omitted because it is either not required or not applicable.</w:t>
      </w:r>
    </w:p>
    <w:p>
      <w:pPr>
        <w:spacing w:after="0" w:line="1" w:lineRule="exact"/>
        <w:rPr>
          <w:rFonts w:ascii="Times New Roman" w:cs="Times New Roman" w:eastAsia="Times New Roman" w:hAnsi="Times New Roman"/>
          <w:sz w:val="18"/>
          <w:szCs w:val="18"/>
          <w:color w:val="auto"/>
        </w:rPr>
      </w:pPr>
    </w:p>
    <w:p>
      <w:pPr>
        <w:ind w:left="720" w:right="2500" w:hanging="685"/>
        <w:spacing w:after="0" w:line="282" w:lineRule="auto"/>
        <w:tabs>
          <w:tab w:leader="none" w:pos="4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Exhibit Index immediately following Item 16 are filed as a part of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are filed herewith and incorporated by reference herein. The response to this portion of Item 15 is submitted under Item 15 (a)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6" w:right="25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gridSpan w:val="31"/>
            <w:vMerge w:val="restart"/>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33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1"/>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1"/>
        </w:trPr>
        <w:tc>
          <w:tcPr>
            <w:tcW w:w="14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2.1</w:t>
            </w:r>
          </w:p>
        </w:tc>
        <w:tc>
          <w:tcPr>
            <w:tcW w:w="4500" w:type="dxa"/>
            <w:vAlign w:val="bottom"/>
            <w:gridSpan w:val="36"/>
          </w:tcPr>
          <w:p>
            <w:pPr>
              <w:spacing w:after="0" w:line="201"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Agreement and Plan of Merger dated as of August 3, 2018,</w:t>
              </w:r>
            </w:hyperlink>
          </w:p>
        </w:tc>
        <w:tc>
          <w:tcPr>
            <w:tcW w:w="800" w:type="dxa"/>
            <w:vAlign w:val="bottom"/>
          </w:tcPr>
          <w:p>
            <w:pPr>
              <w:jc w:val="center"/>
              <w:ind w:right="11"/>
              <w:spacing w:after="0" w:line="201"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2.3</w:t>
            </w:r>
          </w:p>
        </w:tc>
        <w:tc>
          <w:tcPr>
            <w:tcW w:w="11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11/15/2018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by and among the Company, Avnera Corporation, AI</w:t>
              </w:r>
            </w:hyperlink>
          </w:p>
        </w:tc>
        <w:tc>
          <w:tcPr>
            <w:tcW w:w="420" w:type="dxa"/>
            <w:vAlign w:val="bottom"/>
            <w:tcBorders>
              <w:top w:val="single" w:sz="8" w:color="0000FF"/>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6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Acquisition Corp., and Shareholder Representative</w:t>
              </w:r>
            </w:hyperlink>
          </w:p>
        </w:tc>
        <w:tc>
          <w:tcPr>
            <w:tcW w:w="820" w:type="dxa"/>
            <w:vAlign w:val="bottom"/>
            <w:gridSpan w:val="19"/>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500" w:type="dxa"/>
            <w:vAlign w:val="bottom"/>
            <w:gridSpan w:val="36"/>
          </w:tcPr>
          <w:p>
            <w:pPr>
              <w:spacing w:after="0" w:line="196"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Services LLC, solely in its capacity as the representative</w:t>
              </w:r>
            </w:hyperlink>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and agent of the Equityholders</w:t>
              </w:r>
            </w:hyperlink>
          </w:p>
        </w:tc>
        <w:tc>
          <w:tcPr>
            <w:tcW w:w="1860" w:type="dxa"/>
            <w:vAlign w:val="bottom"/>
            <w:tcBorders>
              <w:top w:val="single" w:sz="8" w:color="0000FF"/>
            </w:tcBorders>
            <w:gridSpan w:val="20"/>
          </w:tcPr>
          <w:p>
            <w:pPr>
              <w:spacing w:after="0"/>
              <w:rPr>
                <w:sz w:val="17"/>
                <w:szCs w:val="17"/>
                <w:color w:val="auto"/>
              </w:rPr>
            </w:pPr>
          </w:p>
        </w:tc>
        <w:tc>
          <w:tcPr>
            <w:tcW w:w="42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Restated Certificate of Incorporation, as Amended</w:t>
              </w:r>
            </w:hyperlink>
          </w:p>
        </w:tc>
        <w:tc>
          <w:tcPr>
            <w:tcW w:w="860" w:type="dxa"/>
            <w:vAlign w:val="bottom"/>
            <w:gridSpan w:val="20"/>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8/3/2016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7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Third Amended and Restated By-laws, as Amended</w:t>
              </w:r>
            </w:hyperlink>
          </w:p>
        </w:tc>
        <w:tc>
          <w:tcPr>
            <w:tcW w:w="740" w:type="dxa"/>
            <w:vAlign w:val="bottom"/>
            <w:gridSpan w:val="16"/>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2/5/2018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Specimen Certificate of Common Stock</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333-92394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7/15/2002</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88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Description of Capital Stock</w:t>
              </w:r>
            </w:hyperlink>
          </w:p>
        </w:tc>
        <w:tc>
          <w:tcPr>
            <w:tcW w:w="1620" w:type="dxa"/>
            <w:vAlign w:val="bottom"/>
            <w:gridSpan w:val="26"/>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41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Skyworks Solutions, Inc. 2002 Employee Stock Purchase</w:t>
              </w:r>
            </w:hyperlink>
          </w:p>
        </w:tc>
        <w:tc>
          <w:tcPr>
            <w:tcW w:w="320" w:type="dxa"/>
            <w:vAlign w:val="bottom"/>
            <w:gridSpan w:val="4"/>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1/31/2013</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500" w:type="dxa"/>
            <w:vAlign w:val="bottom"/>
            <w:gridSpan w:val="36"/>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Plan</w:t>
              </w:r>
            </w:hyperlink>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1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Skyworks Solutions, Inc. Non-Qualified Employee Stock</w:t>
              </w:r>
            </w:hyperlink>
          </w:p>
        </w:tc>
        <w:tc>
          <w:tcPr>
            <w:tcW w:w="340" w:type="dxa"/>
            <w:vAlign w:val="bottom"/>
            <w:gridSpan w:val="5"/>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1/31/2013</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500" w:type="dxa"/>
            <w:vAlign w:val="bottom"/>
            <w:gridSpan w:val="36"/>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Purchase Plan</w:t>
              </w:r>
            </w:hyperlink>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3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Skyworks Solutions, Inc. Amended and Restated 2005</w:t>
              </w:r>
            </w:hyperlink>
          </w:p>
        </w:tc>
        <w:tc>
          <w:tcPr>
            <w:tcW w:w="540" w:type="dxa"/>
            <w:vAlign w:val="bottom"/>
            <w:gridSpan w:val="10"/>
          </w:tcPr>
          <w:p>
            <w:pPr>
              <w:spacing w:after="0"/>
              <w:rPr>
                <w:sz w:val="21"/>
                <w:szCs w:val="21"/>
                <w:color w:val="auto"/>
              </w:rPr>
            </w:pPr>
          </w:p>
        </w:tc>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5/13/2013</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500" w:type="dxa"/>
            <w:vAlign w:val="bottom"/>
            <w:gridSpan w:val="36"/>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Long-Term Incentive Plan</w:t>
              </w:r>
            </w:hyperlink>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Nonstatutory Stock Option Agreement under the</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10.B</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1/31/2013</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Company’s 2005 Long-Term Incentive Plan</w:t>
              </w:r>
            </w:hyperlink>
          </w:p>
        </w:tc>
        <w:tc>
          <w:tcPr>
            <w:tcW w:w="940" w:type="dxa"/>
            <w:vAlign w:val="bottom"/>
            <w:tcBorders>
              <w:top w:val="single" w:sz="8" w:color="0000FF"/>
            </w:tcBorders>
            <w:gridSpan w:val="17"/>
          </w:tcPr>
          <w:p>
            <w:pPr>
              <w:spacing w:after="0"/>
              <w:rPr>
                <w:sz w:val="17"/>
                <w:szCs w:val="17"/>
                <w:color w:val="auto"/>
              </w:rPr>
            </w:pPr>
          </w:p>
        </w:tc>
        <w:tc>
          <w:tcPr>
            <w:tcW w:w="3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3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Skyworks Solutions, Inc. Amended and Restated 2008</w:t>
              </w:r>
            </w:hyperlink>
          </w:p>
        </w:tc>
        <w:tc>
          <w:tcPr>
            <w:tcW w:w="540" w:type="dxa"/>
            <w:vAlign w:val="bottom"/>
            <w:gridSpan w:val="10"/>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5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Director Long-Term Incentive Plan, as Amended</w:t>
              </w:r>
            </w:hyperlink>
          </w:p>
        </w:tc>
        <w:tc>
          <w:tcPr>
            <w:tcW w:w="960" w:type="dxa"/>
            <w:vAlign w:val="bottom"/>
            <w:gridSpan w:val="22"/>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Nonstatutory Stock Option Agreement under the</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10.OO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5/7/2008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Company’s 2008 Director Long-Term Incentive Plan</w:t>
              </w:r>
            </w:hyperlink>
          </w:p>
        </w:tc>
        <w:tc>
          <w:tcPr>
            <w:tcW w:w="320" w:type="dxa"/>
            <w:vAlign w:val="bottom"/>
            <w:tcBorders>
              <w:top w:val="single" w:sz="8" w:color="0000FF"/>
            </w:tcBorders>
            <w:gridSpan w:val="8"/>
          </w:tcPr>
          <w:p>
            <w:pPr>
              <w:spacing w:after="0"/>
              <w:rPr>
                <w:sz w:val="17"/>
                <w:szCs w:val="17"/>
                <w:color w:val="auto"/>
              </w:rPr>
            </w:pPr>
          </w:p>
        </w:tc>
        <w:tc>
          <w:tcPr>
            <w:tcW w:w="3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37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Restricted Stock Unit Agreement under the</w:t>
              </w:r>
            </w:hyperlink>
          </w:p>
        </w:tc>
        <w:tc>
          <w:tcPr>
            <w:tcW w:w="720" w:type="dxa"/>
            <w:vAlign w:val="bottom"/>
            <w:gridSpan w:val="15"/>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8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Company’s 2008 Director Long-Term Incentive Plan</w:t>
              </w:r>
            </w:hyperlink>
          </w:p>
        </w:tc>
        <w:tc>
          <w:tcPr>
            <w:tcW w:w="680" w:type="dxa"/>
            <w:vAlign w:val="bottom"/>
            <w:gridSpan w:val="14"/>
          </w:tcPr>
          <w:p>
            <w:pPr>
              <w:spacing w:after="0"/>
              <w:rPr>
                <w:sz w:val="17"/>
                <w:szCs w:val="17"/>
                <w:color w:val="auto"/>
              </w:rPr>
            </w:pPr>
          </w:p>
        </w:tc>
        <w:tc>
          <w:tcPr>
            <w:tcW w:w="80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5/4/2016</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Skyworks Solutions, Inc. 2015 Long-Term Incentive Plan,</w:t>
              </w:r>
            </w:hyperlink>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0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as Amended</w:t>
              </w:r>
            </w:hyperlink>
          </w:p>
        </w:tc>
        <w:tc>
          <w:tcPr>
            <w:tcW w:w="300" w:type="dxa"/>
            <w:vAlign w:val="bottom"/>
            <w:gridSpan w:val="3"/>
          </w:tcPr>
          <w:p>
            <w:pPr>
              <w:spacing w:after="0"/>
              <w:rPr>
                <w:sz w:val="17"/>
                <w:szCs w:val="17"/>
                <w:color w:val="auto"/>
              </w:rPr>
            </w:pPr>
          </w:p>
        </w:tc>
        <w:tc>
          <w:tcPr>
            <w:tcW w:w="80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8/7/2019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Nonstatutory Stock Option Agreement under the</w:t>
              </w:r>
            </w:hyperlink>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Company’s 2015 Long-Term Incentive Plan</w:t>
              </w:r>
            </w:hyperlink>
          </w:p>
        </w:tc>
        <w:tc>
          <w:tcPr>
            <w:tcW w:w="940" w:type="dxa"/>
            <w:vAlign w:val="bottom"/>
            <w:tcBorders>
              <w:top w:val="single" w:sz="8" w:color="0000FF"/>
            </w:tcBorders>
            <w:gridSpan w:val="17"/>
          </w:tcPr>
          <w:p>
            <w:pPr>
              <w:spacing w:after="0"/>
              <w:rPr>
                <w:sz w:val="17"/>
                <w:szCs w:val="17"/>
                <w:color w:val="auto"/>
              </w:rPr>
            </w:pPr>
          </w:p>
        </w:tc>
        <w:tc>
          <w:tcPr>
            <w:tcW w:w="360" w:type="dxa"/>
            <w:vAlign w:val="bottom"/>
            <w:gridSpan w:val="6"/>
          </w:tcPr>
          <w:p>
            <w:pPr>
              <w:spacing w:after="0"/>
              <w:rPr>
                <w:sz w:val="17"/>
                <w:szCs w:val="17"/>
                <w:color w:val="auto"/>
              </w:rPr>
            </w:pPr>
          </w:p>
        </w:tc>
        <w:tc>
          <w:tcPr>
            <w:tcW w:w="80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8/5/2015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35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Form of Performance Share Agreement under the</w:t>
              </w:r>
            </w:hyperlink>
          </w:p>
        </w:tc>
        <w:tc>
          <w:tcPr>
            <w:tcW w:w="920" w:type="dxa"/>
            <w:vAlign w:val="bottom"/>
            <w:gridSpan w:val="21"/>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Company’s 2015 Long-Term Incentive Plan</w:t>
              </w:r>
            </w:hyperlink>
          </w:p>
        </w:tc>
        <w:tc>
          <w:tcPr>
            <w:tcW w:w="1300" w:type="dxa"/>
            <w:vAlign w:val="bottom"/>
            <w:gridSpan w:val="23"/>
          </w:tcPr>
          <w:p>
            <w:pPr>
              <w:spacing w:after="0"/>
              <w:rPr>
                <w:sz w:val="17"/>
                <w:szCs w:val="17"/>
                <w:color w:val="auto"/>
              </w:rPr>
            </w:pPr>
          </w:p>
        </w:tc>
        <w:tc>
          <w:tcPr>
            <w:tcW w:w="80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8/5/2015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37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Form of Restricted Stock Unit Agreement under the</w:t>
              </w:r>
            </w:hyperlink>
          </w:p>
        </w:tc>
        <w:tc>
          <w:tcPr>
            <w:tcW w:w="740" w:type="dxa"/>
            <w:vAlign w:val="bottom"/>
            <w:gridSpan w:val="16"/>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Company’s 2015 Long-Term Incentive Plan</w:t>
              </w:r>
            </w:hyperlink>
          </w:p>
        </w:tc>
        <w:tc>
          <w:tcPr>
            <w:tcW w:w="1320" w:type="dxa"/>
            <w:vAlign w:val="bottom"/>
            <w:gridSpan w:val="24"/>
          </w:tcPr>
          <w:p>
            <w:pPr>
              <w:spacing w:after="0"/>
              <w:rPr>
                <w:sz w:val="17"/>
                <w:szCs w:val="17"/>
                <w:color w:val="auto"/>
              </w:rPr>
            </w:pPr>
          </w:p>
        </w:tc>
        <w:tc>
          <w:tcPr>
            <w:tcW w:w="80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8/5/2015</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Fiscal Year 2019 Executive Incentive Plan</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2/6/2019</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Skyworks Solutions, Inc. Cash Compensation Plan for</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7/20/2018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8">
              <w:r>
                <w:rPr>
                  <w:rFonts w:ascii="Times New Roman" w:cs="Times New Roman" w:eastAsia="Times New Roman" w:hAnsi="Times New Roman"/>
                  <w:sz w:val="18"/>
                  <w:szCs w:val="18"/>
                  <w:color w:val="0000FF"/>
                  <w:w w:val="98"/>
                </w:rPr>
                <w:t>Directors</w:t>
              </w:r>
            </w:hyperlink>
          </w:p>
        </w:tc>
        <w:tc>
          <w:tcPr>
            <w:tcW w:w="3240" w:type="dxa"/>
            <w:vAlign w:val="bottom"/>
            <w:tcBorders>
              <w:top w:val="single" w:sz="8" w:color="0000FF"/>
            </w:tcBorders>
            <w:gridSpan w:val="22"/>
          </w:tcPr>
          <w:p>
            <w:pPr>
              <w:spacing w:after="0"/>
              <w:rPr>
                <w:sz w:val="17"/>
                <w:szCs w:val="17"/>
                <w:color w:val="auto"/>
              </w:rPr>
            </w:pPr>
          </w:p>
        </w:tc>
        <w:tc>
          <w:tcPr>
            <w:tcW w:w="58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37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Second Amended and Restated Change of Control /</w:t>
              </w:r>
            </w:hyperlink>
          </w:p>
        </w:tc>
        <w:tc>
          <w:tcPr>
            <w:tcW w:w="760" w:type="dxa"/>
            <w:vAlign w:val="bottom"/>
            <w:gridSpan w:val="17"/>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8/3/2016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500" w:type="dxa"/>
            <w:vAlign w:val="bottom"/>
            <w:gridSpan w:val="36"/>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Severance Agreement, dated May 11, 2016, between the</w:t>
              </w:r>
            </w:hyperlink>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Company and David Aldrich</w:t>
              </w:r>
            </w:hyperlink>
          </w:p>
        </w:tc>
        <w:tc>
          <w:tcPr>
            <w:tcW w:w="1960" w:type="dxa"/>
            <w:vAlign w:val="bottom"/>
            <w:tcBorders>
              <w:top w:val="single" w:sz="8" w:color="0000FF"/>
            </w:tcBorders>
            <w:gridSpan w:val="20"/>
          </w:tcPr>
          <w:p>
            <w:pPr>
              <w:spacing w:after="0"/>
              <w:rPr>
                <w:sz w:val="17"/>
                <w:szCs w:val="17"/>
                <w:color w:val="auto"/>
              </w:rPr>
            </w:pPr>
          </w:p>
        </w:tc>
        <w:tc>
          <w:tcPr>
            <w:tcW w:w="44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3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Amended and Restated Change in Control / Severance</w:t>
              </w:r>
            </w:hyperlink>
          </w:p>
        </w:tc>
        <w:tc>
          <w:tcPr>
            <w:tcW w:w="560" w:type="dxa"/>
            <w:vAlign w:val="bottom"/>
            <w:gridSpan w:val="11"/>
          </w:tcPr>
          <w:p>
            <w:pPr>
              <w:spacing w:after="0"/>
              <w:rPr>
                <w:sz w:val="21"/>
                <w:szCs w:val="21"/>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8/3/2016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500" w:type="dxa"/>
            <w:vAlign w:val="bottom"/>
            <w:gridSpan w:val="36"/>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Agreement, dated May 11, 2016, between the Company</w:t>
              </w:r>
            </w:hyperlink>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and Liam Griffin</w:t>
              </w:r>
            </w:hyperlink>
          </w:p>
        </w:tc>
        <w:tc>
          <w:tcPr>
            <w:tcW w:w="2780" w:type="dxa"/>
            <w:vAlign w:val="bottom"/>
            <w:tcBorders>
              <w:top w:val="single" w:sz="8" w:color="0000FF"/>
            </w:tcBorders>
            <w:gridSpan w:val="22"/>
          </w:tcPr>
          <w:p>
            <w:pPr>
              <w:spacing w:after="0"/>
              <w:rPr>
                <w:sz w:val="17"/>
                <w:szCs w:val="17"/>
                <w:color w:val="auto"/>
              </w:rPr>
            </w:pPr>
          </w:p>
        </w:tc>
        <w:tc>
          <w:tcPr>
            <w:tcW w:w="48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4500" w:type="dxa"/>
            <w:vAlign w:val="bottom"/>
            <w:gridSpan w:val="36"/>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Change in Control / Severance Agreement, dated December</w:t>
              </w:r>
            </w:hyperlink>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11/24/2015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320" w:type="dxa"/>
            <w:vAlign w:val="bottom"/>
            <w:tcBorders>
              <w:top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16, 2014, between the Company and Peter Gammel</w:t>
              </w:r>
            </w:hyperlink>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460" w:type="dxa"/>
            <w:vAlign w:val="bottom"/>
          </w:tcPr>
          <w:p>
            <w:pPr>
              <w:spacing w:after="0"/>
              <w:rPr>
                <w:sz w:val="24"/>
                <w:szCs w:val="24"/>
                <w:color w:val="auto"/>
              </w:rPr>
            </w:pPr>
          </w:p>
        </w:tc>
        <w:tc>
          <w:tcPr>
            <w:tcW w:w="3720" w:type="dxa"/>
            <w:vAlign w:val="bottom"/>
            <w:tcBorders>
              <w:top w:val="single" w:sz="8" w:color="0000FF"/>
            </w:tcBorders>
            <w:gridSpan w:val="18"/>
          </w:tcPr>
          <w:p>
            <w:pPr>
              <w:spacing w:after="0"/>
              <w:rPr>
                <w:sz w:val="24"/>
                <w:szCs w:val="24"/>
                <w:color w:val="auto"/>
              </w:rPr>
            </w:pPr>
          </w:p>
        </w:tc>
        <w:tc>
          <w:tcPr>
            <w:tcW w:w="780" w:type="dxa"/>
            <w:vAlign w:val="bottom"/>
            <w:gridSpan w:val="18"/>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26" w:right="71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gridSpan w:val="17"/>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33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17"/>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1"/>
        </w:trPr>
        <w:tc>
          <w:tcPr>
            <w:tcW w:w="14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10.17*</w:t>
            </w:r>
          </w:p>
        </w:tc>
        <w:tc>
          <w:tcPr>
            <w:tcW w:w="4460" w:type="dxa"/>
            <w:vAlign w:val="bottom"/>
            <w:gridSpan w:val="19"/>
          </w:tcPr>
          <w:p>
            <w:pPr>
              <w:spacing w:after="0" w:line="201"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Change in Control / Severance Agreement, dated August</w:t>
              </w:r>
            </w:hyperlink>
          </w:p>
        </w:tc>
        <w:tc>
          <w:tcPr>
            <w:tcW w:w="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001-05560</w:t>
            </w: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10.32</w:t>
            </w:r>
          </w:p>
        </w:tc>
        <w:tc>
          <w:tcPr>
            <w:tcW w:w="11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11/22/2016</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1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29, 2016, between the Company and Kris Sennesael</w:t>
              </w:r>
            </w:hyperlink>
          </w:p>
        </w:tc>
        <w:tc>
          <w:tcPr>
            <w:tcW w:w="3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376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Change in Control / Severance Agreement, dated</w:t>
              </w:r>
            </w:hyperlink>
          </w:p>
        </w:tc>
        <w:tc>
          <w:tcPr>
            <w:tcW w:w="700" w:type="dxa"/>
            <w:vAlign w:val="bottom"/>
            <w:gridSpan w:val="10"/>
          </w:tcPr>
          <w:p>
            <w:pPr>
              <w:spacing w:after="0"/>
              <w:rPr>
                <w:sz w:val="21"/>
                <w:szCs w:val="21"/>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2/7/2017</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41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November 10, 2016, between the Company and Robert J.</w:t>
              </w:r>
            </w:hyperlink>
          </w:p>
        </w:tc>
        <w:tc>
          <w:tcPr>
            <w:tcW w:w="3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4"/>
              </w:rPr>
            </w:pPr>
            <w:hyperlink r:id="rId33">
              <w:r>
                <w:rPr>
                  <w:rFonts w:ascii="Times New Roman" w:cs="Times New Roman" w:eastAsia="Times New Roman" w:hAnsi="Times New Roman"/>
                  <w:sz w:val="18"/>
                  <w:szCs w:val="18"/>
                  <w:color w:val="0000FF"/>
                  <w:w w:val="94"/>
                </w:rPr>
                <w:t>Terry</w:t>
              </w:r>
            </w:hyperlink>
          </w:p>
        </w:tc>
        <w:tc>
          <w:tcPr>
            <w:tcW w:w="40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4460" w:type="dxa"/>
            <w:vAlign w:val="bottom"/>
            <w:gridSpan w:val="19"/>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Change in Control / Severance Agreement, dated</w:t>
              </w:r>
            </w:hyperlink>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11/13/2017</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4460" w:type="dxa"/>
            <w:vAlign w:val="bottom"/>
            <w:gridSpan w:val="19"/>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November 9, 2016, between the Company and Carlos S.</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06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Bori</w:t>
              </w:r>
            </w:hyperlink>
          </w:p>
        </w:tc>
        <w:tc>
          <w:tcPr>
            <w:tcW w:w="40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4460" w:type="dxa"/>
            <w:vAlign w:val="bottom"/>
            <w:gridSpan w:val="19"/>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International Assignment Agreement, dated September 13,</w:t>
              </w:r>
            </w:hyperlink>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11/13/2017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2017, between the Company and Peter L. Gammel</w:t>
              </w:r>
            </w:hyperlink>
          </w:p>
        </w:tc>
        <w:tc>
          <w:tcPr>
            <w:tcW w:w="580" w:type="dxa"/>
            <w:vAlign w:val="bottom"/>
            <w:tcBorders>
              <w:top w:val="single" w:sz="8" w:color="0000FF"/>
            </w:tcBorders>
            <w:gridSpan w:val="9"/>
          </w:tcPr>
          <w:p>
            <w:pPr>
              <w:spacing w:after="0"/>
              <w:rPr>
                <w:sz w:val="17"/>
                <w:szCs w:val="17"/>
                <w:color w:val="auto"/>
              </w:rPr>
            </w:pPr>
          </w:p>
        </w:tc>
        <w:tc>
          <w:tcPr>
            <w:tcW w:w="2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1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Subsidiaries of the Company</w:t>
              </w:r>
            </w:hyperlink>
          </w:p>
        </w:tc>
        <w:tc>
          <w:tcPr>
            <w:tcW w:w="2360" w:type="dxa"/>
            <w:vAlign w:val="bottom"/>
            <w:gridSpan w:val="14"/>
          </w:tcPr>
          <w:p>
            <w:pPr>
              <w:spacing w:after="0"/>
              <w:rPr>
                <w:sz w:val="21"/>
                <w:szCs w:val="21"/>
                <w:color w:val="auto"/>
              </w:rPr>
            </w:pP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4460" w:type="dxa"/>
            <w:vAlign w:val="bottom"/>
            <w:gridSpan w:val="19"/>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Consent of KPMG LLP</w:t>
              </w:r>
            </w:hyperlink>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0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70">
              <w:r>
                <w:rPr>
                  <w:rFonts w:ascii="Times New Roman" w:cs="Times New Roman" w:eastAsia="Times New Roman" w:hAnsi="Times New Roman"/>
                  <w:sz w:val="18"/>
                  <w:szCs w:val="18"/>
                  <w:color w:val="0000FF"/>
                  <w:w w:val="99"/>
                </w:rPr>
                <w:t>Certification of the Company’s Chief Executive Officer</w:t>
              </w:r>
            </w:hyperlink>
          </w:p>
        </w:tc>
        <w:tc>
          <w:tcPr>
            <w:tcW w:w="440" w:type="dxa"/>
            <w:vAlign w:val="bottom"/>
            <w:gridSpan w:val="8"/>
          </w:tcPr>
          <w:p>
            <w:pPr>
              <w:spacing w:after="0"/>
              <w:rPr>
                <w:sz w:val="21"/>
                <w:szCs w:val="21"/>
                <w:color w:val="auto"/>
              </w:rPr>
            </w:pP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1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w:anchor="page70">
              <w:r>
                <w:rPr>
                  <w:rFonts w:ascii="Times New Roman" w:cs="Times New Roman" w:eastAsia="Times New Roman" w:hAnsi="Times New Roman"/>
                  <w:sz w:val="18"/>
                  <w:szCs w:val="18"/>
                  <w:color w:val="0000FF"/>
                  <w:w w:val="99"/>
                </w:rPr>
                <w:t>pursuant to Securities and Exchange Act Rules 13a-14(a)</w:t>
              </w:r>
            </w:hyperlink>
          </w:p>
        </w:tc>
        <w:tc>
          <w:tcPr>
            <w:tcW w:w="32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460" w:type="dxa"/>
            <w:vAlign w:val="bottom"/>
            <w:gridSpan w:val="19"/>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and 15d-14(a), as adopted pursuant to Section 302 of the</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0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Sarbanes-Oxley Act of 2002</w:t>
              </w:r>
            </w:hyperlink>
          </w:p>
        </w:tc>
        <w:tc>
          <w:tcPr>
            <w:tcW w:w="38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460" w:type="dxa"/>
            <w:vAlign w:val="bottom"/>
            <w:gridSpan w:val="19"/>
          </w:tcPr>
          <w:p>
            <w:pPr>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Certification of the Company’s Chief Financial Officer</w:t>
              </w:r>
            </w:hyperlink>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41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w:anchor="page71">
              <w:r>
                <w:rPr>
                  <w:rFonts w:ascii="Times New Roman" w:cs="Times New Roman" w:eastAsia="Times New Roman" w:hAnsi="Times New Roman"/>
                  <w:sz w:val="18"/>
                  <w:szCs w:val="18"/>
                  <w:color w:val="0000FF"/>
                  <w:w w:val="99"/>
                </w:rPr>
                <w:t>pursuant to Securities and Exchange Act Rules 13a-14(a)</w:t>
              </w:r>
            </w:hyperlink>
          </w:p>
        </w:tc>
        <w:tc>
          <w:tcPr>
            <w:tcW w:w="32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460" w:type="dxa"/>
            <w:vAlign w:val="bottom"/>
            <w:gridSpan w:val="19"/>
          </w:tcPr>
          <w:p>
            <w:pPr>
              <w:spacing w:after="0" w:line="196"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and 15d-14(a), as adopted pursuant to Section 302 of the</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0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Sarbanes-Oxley Act of 2002</w:t>
              </w:r>
            </w:hyperlink>
          </w:p>
        </w:tc>
        <w:tc>
          <w:tcPr>
            <w:tcW w:w="38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0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72">
              <w:r>
                <w:rPr>
                  <w:rFonts w:ascii="Times New Roman" w:cs="Times New Roman" w:eastAsia="Times New Roman" w:hAnsi="Times New Roman"/>
                  <w:sz w:val="18"/>
                  <w:szCs w:val="18"/>
                  <w:color w:val="0000FF"/>
                  <w:w w:val="99"/>
                </w:rPr>
                <w:t>Certification of the Company’s Chief Executive Officer</w:t>
              </w:r>
            </w:hyperlink>
          </w:p>
        </w:tc>
        <w:tc>
          <w:tcPr>
            <w:tcW w:w="440" w:type="dxa"/>
            <w:vAlign w:val="bottom"/>
            <w:gridSpan w:val="8"/>
          </w:tcPr>
          <w:p>
            <w:pPr>
              <w:spacing w:after="0"/>
              <w:rPr>
                <w:sz w:val="21"/>
                <w:szCs w:val="21"/>
                <w:color w:val="auto"/>
              </w:rPr>
            </w:pP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460" w:type="dxa"/>
            <w:vAlign w:val="bottom"/>
            <w:gridSpan w:val="19"/>
          </w:tcPr>
          <w:p>
            <w:pPr>
              <w:spacing w:after="0" w:line="196" w:lineRule="exact"/>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pursuant to 18 U.S.C. Section 1350, as adopted pursuant to</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Section 906 of the Sarbanes-Oxley Act of 2002</w:t>
              </w:r>
            </w:hyperlink>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104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460" w:type="dxa"/>
            <w:vAlign w:val="bottom"/>
            <w:gridSpan w:val="19"/>
          </w:tcPr>
          <w:p>
            <w:pPr>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Certification of the Company’s Chief Financial Officer</w:t>
              </w:r>
            </w:hyperlink>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960" w:type="dxa"/>
            <w:vAlign w:val="bottom"/>
            <w:gridSpan w:val="10"/>
            <w:shd w:val="clear" w:color="auto" w:fill="0000FF"/>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4460" w:type="dxa"/>
            <w:vAlign w:val="bottom"/>
            <w:gridSpan w:val="19"/>
          </w:tcPr>
          <w:p>
            <w:pPr>
              <w:spacing w:after="0" w:line="196" w:lineRule="exact"/>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pursuant to 18 U.S.C. Section 1350, as adopted pursuant to</w:t>
              </w:r>
            </w:hyperlink>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Section 906 of the Sarbanes-Oxley Act of 2002</w:t>
              </w:r>
            </w:hyperlink>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104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460" w:right="5440" w:hanging="871"/>
        <w:spacing w:after="0" w:line="266" w:lineRule="auto"/>
        <w:tabs>
          <w:tab w:leader="none" w:pos="14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ectPr>
          <w:pgSz w:w="11900" w:h="16838" w:orient="portrait"/>
          <w:cols w:equalWidth="0" w:num="1">
            <w:col w:w="10940"/>
          </w:cols>
          <w:pgMar w:left="240" w:top="126" w:right="719"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38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u w:val="single" w:color="auto"/>
          <w:color w:val="auto"/>
        </w:rPr>
        <w:t>SKYWORKS SOLUTIONS, INC.</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7120"/>
        <w:spacing w:after="0"/>
        <w:tabs>
          <w:tab w:leader="none" w:pos="7560" w:val="left"/>
        </w:tabs>
        <w:rPr>
          <w:sz w:val="20"/>
          <w:szCs w:val="20"/>
          <w:color w:val="auto"/>
        </w:rPr>
      </w:pPr>
      <w:r>
        <w:rPr>
          <w:rFonts w:ascii="Times New Roman" w:cs="Times New Roman" w:eastAsia="Times New Roman" w:hAnsi="Times New Roman"/>
          <w:sz w:val="18"/>
          <w:szCs w:val="18"/>
          <w:color w:val="auto"/>
        </w:rPr>
        <w:t>By:</w:t>
        <w:tab/>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Liam K. Griffin</w:t>
      </w:r>
    </w:p>
    <w:p>
      <w:pPr>
        <w:spacing w:after="0" w:line="6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14, 2019.</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Liam K. Griffin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40" w:right="2200"/>
        <w:spacing w:after="0" w:line="395" w:lineRule="auto"/>
        <w:rPr>
          <w:sz w:val="20"/>
          <w:szCs w:val="20"/>
          <w:color w:val="auto"/>
        </w:rPr>
      </w:pPr>
      <w:r>
        <w:rPr>
          <w:rFonts w:ascii="Times New Roman" w:cs="Times New Roman" w:eastAsia="Times New Roman" w:hAnsi="Times New Roman"/>
          <w:sz w:val="17"/>
          <w:szCs w:val="17"/>
          <w:color w:val="auto"/>
        </w:rPr>
        <w:t>Senior Vice President and Chief Financial Officer (principal accounting and financial officer)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J. Aldrich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S. Batey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L. Beebe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Timothy R.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R. Furey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Balakrishnan S. Iyer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Balakrishnan S. Iyer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King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P. McGlade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Schriesheim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S. Stevenson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5820" w:space="720"/>
            <w:col w:w="4880"/>
          </w:cols>
          <w:pgMar w:left="240" w:top="1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following description of the capital stock of Skyworks Solutions, Inc. (“us,” “our,” “we” or the “Company”), is a summary and does not purport to be complete. It is subject to, and qualified in its entirety by, our Restated Certificate of Incorporation, as amended (the “Certificate of Incorporation”), and our Third Amended and Restated By-laws, as amended (the “By-laws”), each of which is incorporated by reference as an exhibit to the Annual Report on Form 10-K. We encourage you to read our Certificate of Incorporation, our By-laws, and the applicable provisions of the Delaware General Corporation Law, for additional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authorized capital stock consists of 550 million shares of capital stock, of which:</w:t>
      </w:r>
    </w:p>
    <w:p>
      <w:pPr>
        <w:spacing w:after="0" w:line="2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525 million shares are designated as common stock, par value $0.25 per share;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25 million shares are designated as preferred stock, without par value.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and distributions declared by our Board of Directors out of assets or funds legally available. Upon the liquidation, dissolution, or winding up of the Company, whether voluntary or involuntary, holders of our common stock are entitled to share ratably in all assets remaining after payment to creditors and the liquidation preference of any then-outstanding shares of preferred stock. Holders of common stock have no preemptive or conversion rights or other subscription rights. There are no redemption or sinking fund provisions applicable to the common stock.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No shares of preferred stock are outstanding. Pursuant to our Certificate of Incorporation, our Board of Directors has the authority, without further action by our stockholders, to issue preferred stock from time to time in one or more series. Our Board of Directors may designate the number of shares to be included in each such series and to fix the designation, powers, preferences and rights of the shares of each such series and the qualifications, limitations, and restrictions thereof, including dividend rights, redemption rights, sinking fund terms, liquidation preference terms, conversion rights, and voting rights. A series of our preferred stock could, depending on the terms of such series, impede the completion of a merger, tender offer or other takeover attempt.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Description of Certain Terms in Our Charter Documents and Delaware Law That May Have Anti-Takeover Effects</w:t>
      </w:r>
    </w:p>
    <w:p>
      <w:pPr>
        <w:spacing w:after="0" w:line="24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Our Certificate of Incorporation and By-laws contain provisions that could have the effect of delaying, deferring, preventing, or discouraging another party from acquiring control of us.</w:t>
      </w:r>
    </w:p>
    <w:p>
      <w:pPr>
        <w:spacing w:after="0" w:line="11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i w:val="1"/>
          <w:iCs w:val="1"/>
          <w:color w:val="auto"/>
        </w:rPr>
        <w:t xml:space="preserve">Issuance of Undesignated Preferred Stock. </w:t>
      </w:r>
      <w:r>
        <w:rPr>
          <w:rFonts w:ascii="Times New Roman" w:cs="Times New Roman" w:eastAsia="Times New Roman" w:hAnsi="Times New Roman"/>
          <w:sz w:val="20"/>
          <w:szCs w:val="20"/>
          <w:color w:val="auto"/>
        </w:rPr>
        <w:t>As discussed above under “Preferred Stock,” our Board of Directors has the ability to designate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 preferred stock with voting or other rights or preferences that could delay or deter hostile takeovers or changes in our control or management.</w:t>
      </w:r>
    </w:p>
    <w:p>
      <w:pPr>
        <w:spacing w:after="0" w:line="12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i w:val="1"/>
          <w:iCs w:val="1"/>
          <w:color w:val="auto"/>
        </w:rPr>
        <w:t xml:space="preserve">Limits on Ability of Stockholders to Call a Special Meeting. </w:t>
      </w:r>
      <w:r>
        <w:rPr>
          <w:rFonts w:ascii="Times New Roman" w:cs="Times New Roman" w:eastAsia="Times New Roman" w:hAnsi="Times New Roman"/>
          <w:sz w:val="20"/>
          <w:szCs w:val="20"/>
          <w:color w:val="auto"/>
        </w:rPr>
        <w:t>Our By-laws provide that special meetings of the stockholders may be called only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a majority of our Board of Directors or by the Company’s secretary upon written request by stockholders holding at least twenty-five percent (25%) of the outstanding shares of common stock, subject to such stockholders’ compliance with certain other requirements. This may delay or impede the ability of our stockholders to force consideration of a proposal.</w:t>
      </w:r>
    </w:p>
    <w:p>
      <w:pPr>
        <w:spacing w:after="0" w:line="133"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i w:val="1"/>
          <w:iCs w:val="1"/>
          <w:color w:val="auto"/>
        </w:rPr>
        <w:t xml:space="preserve">Prohibition on Stockholder Action by Written Consent. </w:t>
      </w:r>
      <w:r>
        <w:rPr>
          <w:rFonts w:ascii="Times New Roman" w:cs="Times New Roman" w:eastAsia="Times New Roman" w:hAnsi="Times New Roman"/>
          <w:sz w:val="20"/>
          <w:szCs w:val="20"/>
          <w:color w:val="auto"/>
        </w:rPr>
        <w:t>Our Certificate of Incorporation provides that any action taken by the stockholders must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effected at an annual or special meeting of stockholders and may not be effected by any consent in writing by our stockholders.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i w:val="1"/>
          <w:iCs w:val="1"/>
          <w:color w:val="auto"/>
        </w:rPr>
        <w:t xml:space="preserve">Requirements for Advance Notification of Stockholder Nominations and Proposals. </w:t>
      </w:r>
      <w:r>
        <w:rPr>
          <w:rFonts w:ascii="Times New Roman" w:cs="Times New Roman" w:eastAsia="Times New Roman" w:hAnsi="Times New Roman"/>
          <w:sz w:val="20"/>
          <w:szCs w:val="20"/>
          <w:color w:val="auto"/>
        </w:rPr>
        <w:t>Our By-laws establish advance notice procedures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stockholder proposals and the nomination of candidates for election as directors, other than nominations made by or at the direction of our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w:t>
      </w:r>
    </w:p>
    <w:p>
      <w:pPr>
        <w:sectPr>
          <w:pgSz w:w="11900" w:h="16838" w:orient="portrait"/>
          <w:cols w:equalWidth="0" w:num="1">
            <w:col w:w="11420"/>
          </w:cols>
          <w:pgMar w:left="240" w:top="369" w:right="239" w:bottom="0" w:gutter="0" w:footer="0" w:header="0"/>
        </w:sectPr>
      </w:pPr>
    </w:p>
    <w:bookmarkStart w:id="66" w:name="page67"/>
    <w:bookmarkEnd w:id="66"/>
    <w:p>
      <w:pPr>
        <w:jc w:val="both"/>
        <w:spacing w:after="0" w:line="290" w:lineRule="auto"/>
        <w:rPr>
          <w:sz w:val="20"/>
          <w:szCs w:val="20"/>
          <w:color w:val="auto"/>
        </w:rPr>
      </w:pPr>
      <w:r>
        <w:rPr>
          <w:rFonts w:ascii="Times New Roman" w:cs="Times New Roman" w:eastAsia="Times New Roman" w:hAnsi="Times New Roman"/>
          <w:sz w:val="20"/>
          <w:szCs w:val="20"/>
          <w:i w:val="1"/>
          <w:iCs w:val="1"/>
          <w:color w:val="auto"/>
        </w:rPr>
        <w:t>Election of Directors</w:t>
      </w:r>
      <w:r>
        <w:rPr>
          <w:rFonts w:ascii="Times New Roman" w:cs="Times New Roman" w:eastAsia="Times New Roman" w:hAnsi="Times New Roman"/>
          <w:sz w:val="20"/>
          <w:szCs w:val="20"/>
          <w:color w:val="auto"/>
        </w:rPr>
        <w:t>. Our Certificate of Incorporation and By-laws contain provisions that establish specific procedures for appointing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removing members of our Board of Directors. Under our Certificate of Incorporation and By-laws, vacancies and newly created directorships on our Board of Directors may be filled only by a majority of the directors then serving on the Board of Directors, and directors may only be removed from office by the affirmative vote of the holders of a majority of the shares of all classes of stock entitled to vote for the election of directors.</w:t>
      </w:r>
    </w:p>
    <w:p>
      <w:pPr>
        <w:spacing w:after="0" w:line="13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i w:val="1"/>
          <w:iCs w:val="1"/>
          <w:color w:val="auto"/>
        </w:rPr>
        <w:t>No Cumulative Voting</w:t>
      </w:r>
      <w:r>
        <w:rPr>
          <w:rFonts w:ascii="Times New Roman" w:cs="Times New Roman" w:eastAsia="Times New Roman" w:hAnsi="Times New Roman"/>
          <w:sz w:val="20"/>
          <w:szCs w:val="20"/>
          <w:color w:val="auto"/>
        </w:rPr>
        <w:t>. The Delaware General Corporation Law provides that stockholders are not entitled to the right to cumulate votes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election of directors unless our 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or other corporate transaction.</w:t>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i w:val="1"/>
          <w:iCs w:val="1"/>
          <w:color w:val="auto"/>
        </w:rPr>
        <w:t xml:space="preserve">Approval of Business Combinations. </w:t>
      </w:r>
      <w:r>
        <w:rPr>
          <w:rFonts w:ascii="Times New Roman" w:cs="Times New Roman" w:eastAsia="Times New Roman" w:hAnsi="Times New Roman"/>
          <w:sz w:val="20"/>
          <w:szCs w:val="20"/>
          <w:color w:val="auto"/>
        </w:rPr>
        <w:t>Our Certificate of Incorporation requires that the affirmative vote of at least 80% of the shares of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classes of stock entitled to vote for the election of directors be obtained for a business combination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Our Certificate of Incorporation increases the approval threshold to 90% of the shares of all classes of stock entitled to vote for the election of directors in the case of a business combination with any “related person” (as defined in the Certificate of Incorporation). 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 The provisions of Delaware law and the provisions of our Certificate of Incorporation and By-laws could have the effect of discouraging others from attempting hostile takeovers or other transactions our Board of Directors does not approve in advance. These provisions might also have the effect of preventing changes in our management.</w:t>
      </w:r>
    </w:p>
    <w:p>
      <w:pPr>
        <w:spacing w:after="0" w:line="1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i w:val="1"/>
          <w:iCs w:val="1"/>
          <w:color w:val="auto"/>
        </w:rPr>
        <w:t xml:space="preserve">Amendment of Certificate of Incorporation. </w:t>
      </w:r>
      <w:r>
        <w:rPr>
          <w:rFonts w:ascii="Times New Roman" w:cs="Times New Roman" w:eastAsia="Times New Roman" w:hAnsi="Times New Roman"/>
          <w:sz w:val="20"/>
          <w:szCs w:val="20"/>
          <w:color w:val="auto"/>
        </w:rPr>
        <w:t>Our Certificate of Incorporation includes a number of supermajority voting provisions that could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make it more difficult to change certain of the provisions described above. These provisions require the affirmative vote of 80% of the shares of all classes of stock entitled to vote for the election of directors to amend or repeal the provisions of our Certificate of Incorporation relating to the election and removal of directors, the right to act by written consent, or the approval of a business combination, and the affirmative vote of 90% of the shares of all classes of stock entitled to vote for the election of directors to amend or repeal the provisions of our Certificate of Incorporation relating to the approval of a business combination with any related person.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American Stock Transfer &amp; Trust Company, LLC.</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Listing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“SWKS”.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140"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680" w:type="dxa"/>
            <w:vAlign w:val="bottom"/>
          </w:tcPr>
          <w:p>
            <w:pPr>
              <w:spacing w:after="0"/>
              <w:rPr>
                <w:sz w:val="20"/>
                <w:szCs w:val="20"/>
                <w:color w:val="auto"/>
              </w:rPr>
            </w:pPr>
          </w:p>
        </w:tc>
      </w:tr>
      <w:tr>
        <w:trPr>
          <w:trHeight w:val="549"/>
        </w:trPr>
        <w:tc>
          <w:tcPr>
            <w:tcW w:w="7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42"/>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Filter Solutions Japan Co., Ltd.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Global Pte. Ltd.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International Investments, LLC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Ireland Limited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Luxembourg S.a r.l</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Semiconductor</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Canada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Commercial Co., Ltd. (Shenzhen)</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Commercial Co., Ltd. (Shenzhen) - Beijing Branch</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Beijing</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Commercial Co., Ltd. (Shenzhen) - Shanghai Branch</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Shanghai</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Co., Ltd.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de Mexico, S de R.L. de C.V.</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(Hong Kong) Limited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Korea Limited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Korea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Limited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Luxembourg S.a.r.l.</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Oy</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Worldwide,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Worldwide, Inc., Taiwan Branch</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Taiwan</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Solutions Worldwide, Inc., Malaysia Branch</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Malaysia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Advanced Analogic Technologies Incorporated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Advanced Analogic Technologies (China),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Avnera Corporation</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Axiom Microdevices,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ICWave, LLC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Isolink,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Skyworks Filter Solutions Korea,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Korea</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Quantance,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SiGe Semiconductor,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SiGe Semiconductor (U.S.), Corp.</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SiGe Semiconductor (Europe) Limited</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Trans-Tech, Inc.</w:t>
            </w:r>
          </w:p>
        </w:tc>
        <w:tc>
          <w:tcPr>
            <w:tcW w:w="3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Maryland</w:t>
            </w:r>
          </w:p>
        </w:tc>
      </w:tr>
    </w:tbl>
    <w:p>
      <w:pPr>
        <w:sectPr>
          <w:pgSz w:w="11900" w:h="16838" w:orient="portrait"/>
          <w:cols w:equalWidth="0" w:num="1">
            <w:col w:w="11420"/>
          </w:cols>
          <w:pgMar w:left="240" w:top="576"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200" w:lineRule="exact"/>
        <w:rPr>
          <w:sz w:val="20"/>
          <w:szCs w:val="20"/>
          <w:color w:val="auto"/>
        </w:rPr>
      </w:pPr>
    </w:p>
    <w:p>
      <w:pPr>
        <w:spacing w:after="0" w:line="273" w:lineRule="exact"/>
        <w:rPr>
          <w:sz w:val="20"/>
          <w:szCs w:val="20"/>
          <w:color w:val="auto"/>
        </w:rPr>
      </w:pPr>
    </w:p>
    <w:p>
      <w:pPr>
        <w:ind w:right="60"/>
        <w:spacing w:after="0" w:line="222" w:lineRule="exact"/>
        <w:rPr>
          <w:sz w:val="20"/>
          <w:szCs w:val="20"/>
          <w:color w:val="auto"/>
        </w:rPr>
      </w:pPr>
      <w:r>
        <w:rPr>
          <w:rFonts w:ascii="Arial" w:cs="Arial" w:eastAsia="Arial" w:hAnsi="Arial"/>
          <w:sz w:val="18"/>
          <w:szCs w:val="18"/>
          <w:color w:val="auto"/>
        </w:rPr>
        <w:t>We consent to the incorporation by reference in the registration statements (Nos. 333-91524, 333-100312, 333-100313, 333-122333, 333-131628, 333-132880, 333-134375, 333-150780, 333-150782, 333-162960, 333-176282, 333-176285, 333-176286, 333-179117, 333-191311, and 333-204310) on Form S-8 of Skyworks Solutions, Inc. of our report dated November 14, 2019, with respect to the consolidated balance sheets of Skyworks Solutions, Inc. as of September 27, 2019 and September 28, 2018, and the related consolidated statements of operations, comprehensive income, cash flows, and stockholders’ equity for each of the years in the three-year period ended September 27, 2019, and the related notes (collectively, the “consolidated financial statements”), and the effectiveness of internal control over financial reporting as of September 27, 2019, which report appears in the September 27,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Skyworks Solutions, Inc.</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2019</w:t>
      </w:r>
    </w:p>
    <w:p>
      <w:pPr>
        <w:sectPr>
          <w:pgSz w:w="11900" w:h="16838" w:orient="portrait"/>
          <w:cols w:equalWidth="0" w:num="1">
            <w:col w:w="11420"/>
          </w:cols>
          <w:pgMar w:left="240" w:top="572" w:right="239" w:bottom="1440" w:gutter="0" w:footer="0" w:header="0"/>
        </w:sectPr>
      </w:pPr>
    </w:p>
    <w:bookmarkStart w:id="69" w:name="page70"/>
    <w:bookmarkEnd w:id="69"/>
    <w:p>
      <w:pPr>
        <w:ind w:left="10340"/>
        <w:spacing w:after="0"/>
        <w:rPr>
          <w:sz w:val="20"/>
          <w:szCs w:val="20"/>
          <w:color w:val="auto"/>
        </w:rPr>
      </w:pPr>
      <w:r>
        <w:rPr>
          <w:rFonts w:ascii="Times New Roman" w:cs="Times New Roman" w:eastAsia="Times New Roman" w:hAnsi="Times New Roman"/>
          <w:sz w:val="17"/>
          <w:szCs w:val="17"/>
          <w:color w:val="auto"/>
        </w:rPr>
        <w:t>EXHIBIT 31.1</w:t>
      </w:r>
    </w:p>
    <w:p>
      <w:pPr>
        <w:spacing w:after="0" w:line="237"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CERTIFICATION OF THE CEO PURSUANT TO SECURITIES EXCHANGE ACT RULES 13a-14(a) AND 15d-14(a) AS ADOPTED PURSUANT TO SECTION 302 OF THE SARBANES-OXLEY ACT OF 2002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K. Griffin, certify that:</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Skyworks Solutions,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3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34290</wp:posOffset>
            </wp:positionV>
            <wp:extent cx="2847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Liam K. Griffin</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0" w:name="page71"/>
    <w:bookmarkEnd w:id="70"/>
    <w:p>
      <w:pPr>
        <w:ind w:left="10340"/>
        <w:spacing w:after="0"/>
        <w:rPr>
          <w:sz w:val="20"/>
          <w:szCs w:val="20"/>
          <w:color w:val="auto"/>
        </w:rPr>
      </w:pPr>
      <w:r>
        <w:rPr>
          <w:rFonts w:ascii="Times New Roman" w:cs="Times New Roman" w:eastAsia="Times New Roman" w:hAnsi="Times New Roman"/>
          <w:sz w:val="17"/>
          <w:szCs w:val="17"/>
          <w:color w:val="auto"/>
        </w:rPr>
        <w:t>EXHIBIT 31.2</w:t>
      </w:r>
    </w:p>
    <w:p>
      <w:pPr>
        <w:spacing w:after="0" w:line="237"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CERTIFICATION OF THE CFO PURSUANT TO SECURITIES EXCHANGE ACT RULES 13a-14(a) AND 15d-14(a) AS ADOPTED PURSUANT TO SECTION 302 OF THE SARBANES-OXLEY ACT OF 2002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Skyworks Solutions,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34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November 14, 2019</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34290</wp:posOffset>
            </wp:positionV>
            <wp:extent cx="2855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71" w:name="page72"/>
    <w:bookmarkEnd w:id="71"/>
    <w:p>
      <w:pPr>
        <w:ind w:left="10340"/>
        <w:spacing w:after="0"/>
        <w:rPr>
          <w:sz w:val="20"/>
          <w:szCs w:val="20"/>
          <w:color w:val="auto"/>
        </w:rPr>
      </w:pPr>
      <w:r>
        <w:rPr>
          <w:rFonts w:ascii="Times New Roman" w:cs="Times New Roman" w:eastAsia="Times New Roman" w:hAnsi="Times New Roman"/>
          <w:sz w:val="17"/>
          <w:szCs w:val="17"/>
          <w:color w:val="auto"/>
        </w:rPr>
        <w:t>EXHIBIT 32.1</w:t>
      </w:r>
    </w:p>
    <w:p>
      <w:pPr>
        <w:spacing w:after="0" w:line="237"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Skyworks Solutions, Inc. (the “Company”) on Form 10-K for the period ending September 27, 2019 as filed with the Securities and Exchange Commission on the date hereof (the “Report”), I, Liam K. Griffin,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55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Liam K. Griffin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14, 2019</w:t>
      </w:r>
    </w:p>
    <w:p>
      <w:pPr>
        <w:sectPr>
          <w:pgSz w:w="11900" w:h="16838" w:orient="portrait"/>
          <w:cols w:equalWidth="0" w:num="1">
            <w:col w:w="11420"/>
          </w:cols>
          <w:pgMar w:left="240" w:top="580" w:right="239" w:bottom="1440" w:gutter="0" w:footer="0" w:header="0"/>
        </w:sectPr>
      </w:pPr>
    </w:p>
    <w:bookmarkStart w:id="72" w:name="page73"/>
    <w:bookmarkEnd w:id="72"/>
    <w:p>
      <w:pPr>
        <w:ind w:left="10340"/>
        <w:spacing w:after="0"/>
        <w:rPr>
          <w:sz w:val="20"/>
          <w:szCs w:val="20"/>
          <w:color w:val="auto"/>
        </w:rPr>
      </w:pPr>
      <w:r>
        <w:rPr>
          <w:rFonts w:ascii="Times New Roman" w:cs="Times New Roman" w:eastAsia="Times New Roman" w:hAnsi="Times New Roman"/>
          <w:sz w:val="17"/>
          <w:szCs w:val="17"/>
          <w:color w:val="auto"/>
        </w:rPr>
        <w:t>EXHIBIT 32.2</w:t>
      </w:r>
    </w:p>
    <w:p>
      <w:pPr>
        <w:spacing w:after="0" w:line="237"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Skyworks Solutions, Inc. (the “Company”) on Form 10-K for the period ending September 27, 2019 as filed with the Securities and Exchange Commission on the date hereof (the “Report”), I, Kris Sennesael,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55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Kris Sennesael</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14,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2"/>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9"/>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0"/>
    </w:lvl>
  </w:abstractNum>
  <w:abstractNum w:abstractNumId="34">
    <w:nsid w:val="70A64E2A"/>
    <w:multiLevelType w:val="hybridMultilevel"/>
    <w:lvl w:ilvl="0">
      <w:lvlJc w:val="left"/>
      <w:lvlText w:val="%1."/>
      <w:numFmt w:val="decimal"/>
      <w:start w:val="11"/>
    </w:lvl>
  </w:abstractNum>
  <w:abstractNum w:abstractNumId="35">
    <w:nsid w:val="6A2342EC"/>
    <w:multiLevelType w:val="hybridMultilevel"/>
    <w:lvl w:ilvl="0">
      <w:lvlJc w:val="left"/>
      <w:lvlText w:val="%1."/>
      <w:numFmt w:val="decimal"/>
      <w:start w:val="12"/>
    </w:lvl>
  </w:abstractNum>
  <w:abstractNum w:abstractNumId="36">
    <w:nsid w:val="2A487CB0"/>
    <w:multiLevelType w:val="hybridMultilevel"/>
    <w:lvl w:ilvl="0">
      <w:lvlJc w:val="left"/>
      <w:lvlText w:val="%1."/>
      <w:numFmt w:val="decimal"/>
      <w:start w:val="13"/>
    </w:lvl>
  </w:abstractNum>
  <w:abstractNum w:abstractNumId="37">
    <w:nsid w:val="1D4ED43B"/>
    <w:multiLevelType w:val="hybridMultilevel"/>
    <w:lvl w:ilvl="0">
      <w:lvlJc w:val="left"/>
      <w:lvlText w:val="%1."/>
      <w:numFmt w:val="decimal"/>
      <w:start w:val="14"/>
    </w:lvl>
  </w:abstractNum>
  <w:abstractNum w:abstractNumId="38">
    <w:nsid w:val="725A06FB"/>
    <w:multiLevelType w:val="hybridMultilevel"/>
    <w:lvl w:ilvl="0">
      <w:lvlJc w:val="left"/>
      <w:lvlText w:val="%1."/>
      <w:numFmt w:val="decimal"/>
      <w:start w:val="15"/>
    </w:lvl>
  </w:abstractNum>
  <w:abstractNum w:abstractNumId="39">
    <w:nsid w:val="2CD89A32"/>
    <w:multiLevelType w:val="hybridMultilevel"/>
    <w:lvl w:ilvl="0">
      <w:lvlJc w:val="left"/>
      <w:lvlText w:val="%1."/>
      <w:numFmt w:val="decimal"/>
      <w:start w:val="16"/>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
      <w:numFmt w:val="bullet"/>
      <w:start w:val="1"/>
    </w:lvl>
    <w:lvl w:ilvl="1">
      <w:lvlJc w:val="left"/>
      <w:lvlText w:val="%2"/>
      <w:numFmt w:val="decimal"/>
      <w:start w:val="104"/>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36" Type="http://schemas.openxmlformats.org/officeDocument/2006/relationships/image" Target="media/image5.png"/><Relationship Id="rId37" Type="http://schemas.openxmlformats.org/officeDocument/2006/relationships/image" Target="media/image6.png"/><Relationship Id="rId38" Type="http://schemas.openxmlformats.org/officeDocument/2006/relationships/image" Target="media/image7.png"/><Relationship Id="rId39" Type="http://schemas.openxmlformats.org/officeDocument/2006/relationships/image" Target="media/image8.png"/><Relationship Id="rId40"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12" Type="http://schemas.openxmlformats.org/officeDocument/2006/relationships/hyperlink" Target="http://www.sec.gov/Archives/edgar/data/4127/000000412718000046/exhibit23-mergeragreement.htm" TargetMode="External"/><Relationship Id="rId13" Type="http://schemas.openxmlformats.org/officeDocument/2006/relationships/hyperlink" Target="http://www.sec.gov/Archives/edgar/data/4127/000000412716000062/q316exhibit31skyworksresta.htm" TargetMode="External"/><Relationship Id="rId14" Type="http://schemas.openxmlformats.org/officeDocument/2006/relationships/hyperlink" Target="http://www.sec.gov/Archives/edgar/data/4127/000000412717000010/skyworks-thirdamendedandre.htm" TargetMode="External"/><Relationship Id="rId15" Type="http://schemas.openxmlformats.org/officeDocument/2006/relationships/hyperlink" Target="http://www.sec.gov/Archives/edgar/data/4127/000095013502003322/b43499ssexv4.txt" TargetMode="External"/><Relationship Id="rId16" Type="http://schemas.openxmlformats.org/officeDocument/2006/relationships/hyperlink" Target="http://www.sec.gov/Archives/edgar/data/4127/000000412713000006/amendedqualifiedesppplanex.htm" TargetMode="External"/><Relationship Id="rId17" Type="http://schemas.openxmlformats.org/officeDocument/2006/relationships/hyperlink" Target="http://www.sec.gov/Archives/edgar/data/4127/000000412713000006/amendednon-qualifiedespppl.htm" TargetMode="External"/><Relationship Id="rId18" Type="http://schemas.openxmlformats.org/officeDocument/2006/relationships/hyperlink" Target="http://www.sec.gov/Archives/edgar/data/4127/000000412713000023/fy12proxyvoteexhibit101.htm" TargetMode="External"/><Relationship Id="rId19" Type="http://schemas.openxmlformats.org/officeDocument/2006/relationships/hyperlink" Target="http://www.sec.gov/Archives/edgar/data/4127/000000412713000006/a2005long-termincentiveupd.htm" TargetMode="External"/><Relationship Id="rId20" Type="http://schemas.openxmlformats.org/officeDocument/2006/relationships/hyperlink" Target="http://www.sec.gov/Archives/edgar/data/4127/000000412718000021/q218exhibit101amendedandre.htm" TargetMode="External"/><Relationship Id="rId21" Type="http://schemas.openxmlformats.org/officeDocument/2006/relationships/hyperlink" Target="http://www.sec.gov/Archives/edgar/data/4127/000089256908000778/a40452exv10woo.htm" TargetMode="External"/><Relationship Id="rId22" Type="http://schemas.openxmlformats.org/officeDocument/2006/relationships/hyperlink" Target="http://www.sec.gov/Archives/edgar/data/4127/000000412716000049/ex1022008dltiprsuagreement.htm" TargetMode="External"/><Relationship Id="rId23" Type="http://schemas.openxmlformats.org/officeDocument/2006/relationships/hyperlink" Target="http://www.sec.gov/Archives/edgar/data/4127/000000412719000041/q319exhibit101.htm" TargetMode="External"/><Relationship Id="rId24" Type="http://schemas.openxmlformats.org/officeDocument/2006/relationships/hyperlink" Target="http://www.sec.gov/Archives/edgar/data/4127/000000412715000027/exh102optionagreement.htm" TargetMode="External"/><Relationship Id="rId25" Type="http://schemas.openxmlformats.org/officeDocument/2006/relationships/hyperlink" Target="http://www.sec.gov/Archives/edgar/data/4127/000000412715000027/exh103psaagreement.htm" TargetMode="External"/><Relationship Id="rId26" Type="http://schemas.openxmlformats.org/officeDocument/2006/relationships/hyperlink" Target="http://www.sec.gov/Archives/edgar/data/4127/000000412715000027/exh104rsuagreement.htm" TargetMode="External"/><Relationship Id="rId27" Type="http://schemas.openxmlformats.org/officeDocument/2006/relationships/hyperlink" Target="http://www.sec.gov/Archives/edgar/data/4127/000000412719000013/exhibit101fy19executiveinc.htm" TargetMode="External"/><Relationship Id="rId28" Type="http://schemas.openxmlformats.org/officeDocument/2006/relationships/hyperlink" Target="http://www.sec.gov/Archives/edgar/data/4127/000000412718000032/exhibit101cashcompensation.htm" TargetMode="External"/><Relationship Id="rId29" Type="http://schemas.openxmlformats.org/officeDocument/2006/relationships/hyperlink" Target="http://www.sec.gov/Archives/edgar/data/4127/000000412716000062/q316exhibit101aldrichcicag.htm" TargetMode="External"/><Relationship Id="rId30" Type="http://schemas.openxmlformats.org/officeDocument/2006/relationships/hyperlink" Target="http://www.sec.gov/Archives/edgar/data/4127/000000412716000062/q316exhibit102griffincicag.htm" TargetMode="External"/><Relationship Id="rId31" Type="http://schemas.openxmlformats.org/officeDocument/2006/relationships/hyperlink" Target="http://www.sec.gov/Archives/edgar/data/4127/000000412715000037/fy1510-k1022015ex1031gamme.htm" TargetMode="External"/><Relationship Id="rId32" Type="http://schemas.openxmlformats.org/officeDocument/2006/relationships/hyperlink" Target="http://www.sec.gov/Archives/edgar/data/4127/000000412716000068/fy1610k903016ex1032sennesa.htm" TargetMode="External"/><Relationship Id="rId33" Type="http://schemas.openxmlformats.org/officeDocument/2006/relationships/hyperlink" Target="http://www.sec.gov/Archives/edgar/data/4127/000000412717000012/ex102terrycicagreement.htm" TargetMode="External"/><Relationship Id="rId34" Type="http://schemas.openxmlformats.org/officeDocument/2006/relationships/hyperlink" Target="http://www.sec.gov/Archives/edgar/data/4127/000000412717000033/fy1710k92917ex1027boricic.htm" TargetMode="External"/><Relationship Id="rId35" Type="http://schemas.openxmlformats.org/officeDocument/2006/relationships/hyperlink" Target="http://www.sec.gov/Archives/edgar/data/4127/000000412717000033/fy1710k92917ex1028gamm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2019-12-28T01:35:53Z</dcterms:created>
  <dcterms:modified xsi:type="dcterms:W3CDTF">2019-12-28T01:35:53Z</dcterms:modified>
</cp:coreProperties>
</file>