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4811d5_425.htm"/>
      <w:bookmarkStart w:id="1" w:name="kstm2614811d5_425"/>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Skyworks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375"/>
        <w:gridCol w:w="60"/>
        <w:gridCol w:w="2210"/>
        <w:gridCol w:w="60"/>
        <w:gridCol w:w="2780"/>
      </w:tblGrid>
      <w:tr>
        <w:trPr/>
        <w:tc>
          <w:tcPr>
            <w:tcW w:w="2375" w:type="dxa"/>
            <w:tcBorders>
              <w:bottom w:val="single" w:sz="8"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rPr>
            </w:pPr>
            <w:r>
              <w:rPr>
                <w:b/>
              </w:rPr>
              <w:t>001-05560</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rPr>
            </w:pPr>
            <w:r>
              <w:rPr>
                <w:b/>
              </w:rPr>
              <w:t>04-2302115</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5260 California Avenue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Irvine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92617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231-3000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4100"/>
        <w:gridCol w:w="1025"/>
        <w:gridCol w:w="2825"/>
      </w:tblGrid>
      <w:tr>
        <w:trPr/>
        <w:tc>
          <w:tcPr>
            <w:tcW w:w="4100" w:type="dxa"/>
            <w:tcBorders>
              <w:bottom w:val="single" w:sz="8" w:space="0" w:color="000000"/>
            </w:tcBorders>
            <w:vAlign w:val="center"/>
          </w:tcPr>
          <w:p>
            <w:pPr>
              <w:pStyle w:val="TableContents"/>
              <w:bidi w:val="0"/>
              <w:spacing w:before="0" w:after="283"/>
              <w:jc w:val="center"/>
              <w:rPr>
                <w:b/>
              </w:rPr>
            </w:pPr>
            <w:r>
              <w:rPr>
                <w:b/>
              </w:rPr>
              <w:t>Title of each class</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2825" w:type="dxa"/>
            <w:tcBorders>
              <w:bottom w:val="single" w:sz="8" w:space="0" w:color="000000"/>
            </w:tcBorders>
            <w:vAlign w:val="center"/>
          </w:tcPr>
          <w:p>
            <w:pPr>
              <w:pStyle w:val="TableContents"/>
              <w:bidi w:val="0"/>
              <w:spacing w:before="0" w:after="283"/>
              <w:jc w:val="center"/>
              <w:rPr>
                <w:b/>
              </w:rPr>
            </w:pPr>
            <w:r>
              <w:rPr>
                <w:b/>
              </w:rPr>
              <w:t>Name of each exchange</w:t>
              <w:br/>
              <w:t>on which registered</w:t>
            </w:r>
          </w:p>
        </w:tc>
      </w:tr>
      <w:tr>
        <w:trPr/>
        <w:tc>
          <w:tcPr>
            <w:tcW w:w="4100" w:type="dxa"/>
            <w:tcBorders/>
            <w:tcMar>
              <w:bottom w:w="0" w:type="dxa"/>
            </w:tcMar>
            <w:vAlign w:val="center"/>
          </w:tcPr>
          <w:p>
            <w:pPr>
              <w:pStyle w:val="TableContents"/>
              <w:bidi w:val="0"/>
              <w:spacing w:before="0" w:after="283"/>
              <w:jc w:val="center"/>
              <w:rPr/>
            </w:pPr>
            <w:r>
              <w:rPr/>
              <w:t>Common Stock, Par Value $0.25 per share</w:t>
            </w:r>
          </w:p>
        </w:tc>
        <w:tc>
          <w:tcPr>
            <w:tcW w:w="1025" w:type="dxa"/>
            <w:tcBorders/>
            <w:tcMar>
              <w:bottom w:w="0" w:type="dxa"/>
            </w:tcMar>
            <w:vAlign w:val="center"/>
          </w:tcPr>
          <w:p>
            <w:pPr>
              <w:pStyle w:val="TableContents"/>
              <w:bidi w:val="0"/>
              <w:spacing w:before="0" w:after="283"/>
              <w:jc w:val="center"/>
              <w:rPr/>
            </w:pPr>
            <w:r>
              <w:rPr/>
              <w:t>SWKS</w:t>
            </w:r>
          </w:p>
        </w:tc>
        <w:tc>
          <w:tcPr>
            <w:tcW w:w="2825" w:type="dxa"/>
            <w:tcBorders/>
            <w:tcMar>
              <w:bottom w:w="0" w:type="dxa"/>
            </w:tcMar>
            <w:vAlign w:val="center"/>
          </w:tcPr>
          <w:p>
            <w:pPr>
              <w:pStyle w:val="TableContents"/>
              <w:bidi w:val="0"/>
              <w:spacing w:before="0" w:after="283"/>
              <w:jc w:val="center"/>
              <w:rPr/>
            </w:pPr>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81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Skyworks Solutions, Inc. (“Skyworks”) entered into an Agreement and Plan of Merger (the “Merger Agreement”), by and among Skyworks, Qorvo, Inc., a Delaware corporation (“Qorvo”), Comet Acquisition Corp., a Delaware corporation and a wholly owned subsidiary of Skyworks (“Merger Sub I”), and Comet Acquisition II, LLC, a Delaware limited liability company and a wholly owned subsidiary of Skyworks (“Merger Sub II”). Pursuant to the Merger Agreement, and subject to the satisfaction or waiver of the conditions specified therein, (i) Merger Sub I will merge with and into Qorvo (the “First Merger”), with Qorvo surviving the First Merger as a wholly 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 This Form 8-K is being filed in connection with certain transactions related to the Mergers.</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81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Qorvo as of March 28, 2026 and March 29, 2025 and for each of the three years in the period ended March 28, 2026 are attached hereto as Exhibit 99.1 and are incorporated into this Item 9.01(b)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of Skyworks, including the unaudited pro forma condensed combined balance sheet as of April 3, 2026 and the unaudited pro forma condensed combined statements of operations for the fiscal year ended October 3, 2025 and the six-month period ended April 3, 2026, which give effect to the Mergers on the basis described therein are included in Exhibit 99.2 and is incorporated into this Item 9.01(b)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center"/>
              <w:rPr>
                <w:b/>
              </w:rPr>
            </w:pPr>
            <w:r>
              <w:rPr>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785" w:type="dxa"/>
            <w:tcBorders/>
            <w:tcMar>
              <w:bottom w:w="0" w:type="dxa"/>
            </w:tcMar>
            <w:vAlign w:val="center"/>
          </w:tcPr>
          <w:p>
            <w:pPr>
              <w:pStyle w:val="TableContents"/>
              <w:bidi w:val="0"/>
              <w:spacing w:before="0" w:after="283"/>
              <w:jc w:val="left"/>
              <w:rPr/>
            </w:pPr>
            <w:hyperlink w:anchor="tm2614811d5_ex23-1.htm">
              <w:r>
                <w:rPr>
                  <w:rStyle w:val="InternetLink"/>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14811d5_ex23-1.htm">
              <w:r>
                <w:rPr>
                  <w:rStyle w:val="InternetLink"/>
                  <w:sz w:val="20"/>
                </w:rPr>
                <w:t>Consent of Ernst &amp; Young LLP, Independent Registered Public Accounting Firm for Qorvo</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tm2614811d5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14811d5_ex99-1.htm">
              <w:r>
                <w:rPr>
                  <w:rStyle w:val="InternetLink"/>
                  <w:sz w:val="20"/>
                </w:rPr>
                <w:t>The audited consolidated financial statements of Qorvo as of March 28, 2026 and March 29, 2025 and for each of the three years in the period ended March 28, 2026.</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tm2614811d5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14811d5_ex99-2.htm">
              <w:r>
                <w:rPr>
                  <w:rStyle w:val="InternetLink"/>
                  <w:sz w:val="20"/>
                </w:rPr>
                <w:t>The unaudited pro forma condensed combined balance sheet as of April 3, 2026 and the unaudited pro forma condensed combined statements of operations for the fiscal year ended October 3, 2025 and the six-month period ended April 3, 2026.</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Forward-looking statements relate to future events, including, but not limited to, the Exchange Offers, the Consent Solicitations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proposed merger transactions with Qorvo; the possibility that expected benefits related to such transactions with Qorvo may not materialize as expected; such transactions with Qorvo being timely completed, if completed at all; regulatory approvals required for the transaction not being timely obtained, if obtained at all, or being obtained subject to conditions; Skyworks or Qorvo’s business experiencing disruptions as a result of the acquisition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including with respect to any related litigation; reduced flexibility in operating Skyworks’ business as a result of the indebtedness incurred in connection with the transaction with Silicon Laboratories Inc. and the substantial amount of additional indebtedness Skyworks expects to incur in connection with the Qorvo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communication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registration statement and proxy statement/prospectus and other documents containing important information about Skyworks, Qorvo and the Mergers filed with the SEC through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company with engineering, marketing, operations, sales and support facilities located throughout Asia, Europe and North America and is a member of the S&amp;P 500® market index (Nasdaq: SWKS). For more information, please visit Skyworks’ website at: www.skyworksinc.com.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 2026</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75"/>
        <w:gridCol w:w="290"/>
        <w:gridCol w:w="545"/>
        <w:gridCol w:w="4130"/>
      </w:tblGrid>
      <w:tr>
        <w:trPr/>
        <w:tc>
          <w:tcPr>
            <w:tcW w:w="75" w:type="dxa"/>
            <w:tcBorders/>
            <w:vAlign w:val="center"/>
          </w:tcPr>
          <w:p>
            <w:pPr>
              <w:pStyle w:val="TableContents"/>
              <w:bidi w:val="0"/>
              <w:spacing w:before="0" w:after="283"/>
              <w:jc w:val="left"/>
              <w:rPr/>
            </w:pPr>
            <w:r>
              <w:rPr/>
              <w:t> </w:t>
            </w:r>
          </w:p>
        </w:tc>
        <w:tc>
          <w:tcPr>
            <w:tcW w:w="49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49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467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/s/ Philip Carter</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Carter</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Title:</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4811d5_ex23-1.htm"/>
      <w:bookmarkStart w:id="3" w:name="kstm2614811d5_ex231"/>
      <w:bookmarkEnd w:id="2"/>
      <w:bookmarkEnd w:id="3"/>
      <w:r>
        <w:rPr/>
        <w:t> </w:t>
      </w:r>
      <w:r>
        <w:br w:type="page"/>
      </w:r>
    </w:p>
    <w:p>
      <w:pPr>
        <w:pStyle w:val="TextBody"/>
        <w:bidi w:val="0"/>
        <w:jc w:val="right"/>
        <w:rPr>
          <w:b/>
        </w:rPr>
      </w:pPr>
      <w:r>
        <w:rPr>
          <w:b/>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Registration Statement Nos. 333-280183, 333-91524, 333-100312, 333-100313, 333-122333, 333-132880, 333-150780, 333-150782, 333-176285, 333-176286, 333-204310, 333-238910, 333-284984 and 333-295910 on Form S-8 of Skyworks Solutions, Inc. of our reports dated May 8, 2026, relating to the consolidated financial statements of Qorvo, Inc. and subsidiaries as of March 28, 2026 and March 29, 2025 and for each of the three years in the period ended March 28, 2026, and the effectiveness of internal control over financial reporting of Qorvo, Inc. and subsidiaries as of March 28, 2026, appearing in this Current Report on Form 8-K of Skyworks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 w:name="tm2614811d5_ex99-1.htm"/>
      <w:bookmarkStart w:id="5" w:name="kstm2614811d5_ex99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AND SUPPLEMENTARY DATA.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 TO CONSOLIDATED FINANCIAL STATEMENTS</w:t>
      </w:r>
    </w:p>
    <w:p>
      <w:pPr>
        <w:pStyle w:val="TextBody"/>
        <w:bidi w:val="0"/>
        <w:spacing w:before="0" w:after="283"/>
        <w:jc w:val="left"/>
        <w:rPr/>
      </w:pPr>
      <w:r>
        <w:rPr/>
        <w:t> </w:t>
      </w:r>
    </w:p>
    <w:tbl>
      <w:tblPr>
        <w:tblW w:w="6560" w:type="dxa"/>
        <w:jc w:val="left"/>
        <w:tblInd w:w="0" w:type="dxa"/>
        <w:tblLayout w:type="fixed"/>
        <w:tblCellMar>
          <w:top w:w="0" w:type="dxa"/>
          <w:left w:w="0" w:type="dxa"/>
          <w:bottom w:w="0" w:type="dxa"/>
          <w:right w:w="0" w:type="dxa"/>
        </w:tblCellMar>
      </w:tblPr>
      <w:tblGrid>
        <w:gridCol w:w="4850"/>
        <w:gridCol w:w="965"/>
        <w:gridCol w:w="320"/>
        <w:gridCol w:w="425"/>
      </w:tblGrid>
      <w:tr>
        <w:trPr/>
        <w:tc>
          <w:tcPr>
            <w:tcW w:w="485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u w:val="single"/>
              </w:rPr>
            </w:pPr>
            <w:r>
              <w:rPr>
                <w:rFonts w:ascii="Times New Roman;Times;Serif" w:hAnsi="Times New Roman;Times;Serif"/>
                <w:sz w:val="20"/>
                <w:u w:val="single"/>
              </w:rPr>
              <w:t>Page</w:t>
            </w:r>
          </w:p>
        </w:tc>
      </w:tr>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Balance Sheets</w:t>
            </w:r>
          </w:p>
        </w:tc>
        <w:tc>
          <w:tcPr>
            <w:tcW w:w="9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Operations</w:t>
            </w:r>
          </w:p>
        </w:tc>
        <w:tc>
          <w:tcPr>
            <w:tcW w:w="9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Comprehensive Income (Loss)</w:t>
            </w:r>
          </w:p>
        </w:tc>
        <w:tc>
          <w:tcPr>
            <w:tcW w:w="9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Stockholders’ Equity</w:t>
            </w:r>
          </w:p>
        </w:tc>
        <w:tc>
          <w:tcPr>
            <w:tcW w:w="9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Cash Flows</w:t>
            </w:r>
          </w:p>
        </w:tc>
        <w:tc>
          <w:tcPr>
            <w:tcW w:w="9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Consolidated Financial Statements</w:t>
            </w:r>
          </w:p>
        </w:tc>
        <w:tc>
          <w:tcPr>
            <w:tcW w:w="9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of Independent Registered Public Accounting Firm</w:t>
            </w:r>
          </w:p>
        </w:tc>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PCAOB ID:</w:t>
            </w:r>
          </w:p>
        </w:tc>
        <w:tc>
          <w:tcPr>
            <w:tcW w:w="320" w:type="dxa"/>
            <w:tcBorders/>
            <w:vAlign w:val="center"/>
          </w:tcPr>
          <w:p>
            <w:pPr>
              <w:pStyle w:val="TableContents"/>
              <w:bidi w:val="0"/>
              <w:spacing w:before="0" w:after="283"/>
              <w:jc w:val="left"/>
              <w:rPr/>
            </w:pPr>
            <w:r>
              <w:rPr/>
              <w:t>  </w:t>
            </w:r>
            <w:r>
              <w:rPr>
                <w:rFonts w:ascii="Times New Roman;Times;Serif" w:hAnsi="Times New Roman;Times;Serif"/>
                <w:sz w:val="20"/>
              </w:rPr>
              <w:t>42</w:t>
            </w:r>
          </w:p>
        </w:tc>
        <w:tc>
          <w:tcPr>
            <w:tcW w:w="425" w:type="dxa"/>
            <w:tcBorders/>
            <w:vAlign w:val="center"/>
          </w:tcPr>
          <w:p>
            <w:pPr>
              <w:pStyle w:val="TableContents"/>
              <w:bidi w:val="0"/>
              <w:spacing w:before="0" w:after="283"/>
              <w:jc w:val="right"/>
              <w:rPr/>
            </w:pPr>
            <w:r>
              <w:rPr/>
              <w:t>36</w:t>
            </w:r>
          </w:p>
        </w:tc>
      </w:tr>
      <w:tr>
        <w:trPr/>
        <w:tc>
          <w:tcPr>
            <w:tcW w:w="485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Consolidated Balance Sheets</w:t>
        <w:b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2"/>
        <w:gridCol w:w="60"/>
        <w:gridCol w:w="143"/>
        <w:gridCol w:w="971"/>
        <w:gridCol w:w="60"/>
        <w:gridCol w:w="60"/>
        <w:gridCol w:w="143"/>
        <w:gridCol w:w="971"/>
        <w:gridCol w:w="85"/>
      </w:tblGrid>
      <w:tr>
        <w:trPr/>
        <w:tc>
          <w:tcPr>
            <w:tcW w:w="7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2025</w:t>
            </w:r>
          </w:p>
        </w:tc>
        <w:tc>
          <w:tcPr>
            <w:tcW w:w="8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62"/>
              <w:jc w:val="left"/>
              <w:rPr/>
            </w:pPr>
            <w:r>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62"/>
              <w:jc w:val="left"/>
              <w:rPr/>
            </w:pPr>
            <w:r>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20"/>
              </w:rPr>
            </w:pPr>
            <w:r>
              <w:rPr>
                <w:sz w:val="20"/>
              </w:rPr>
              <w:t>$</w:t>
            </w:r>
          </w:p>
        </w:tc>
        <w:tc>
          <w:tcPr>
            <w:tcW w:w="971" w:type="dxa"/>
            <w:tcBorders/>
            <w:shd w:fill="CCEEFF" w:val="clear"/>
            <w:vAlign w:val="center"/>
          </w:tcPr>
          <w:p>
            <w:pPr>
              <w:pStyle w:val="TableContents"/>
              <w:bidi w:val="0"/>
              <w:spacing w:before="0" w:after="283"/>
              <w:jc w:val="right"/>
              <w:rPr>
                <w:sz w:val="20"/>
              </w:rPr>
            </w:pPr>
            <w:r>
              <w:rPr>
                <w:sz w:val="20"/>
              </w:rPr>
              <w:t>1,219,015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1,021,176</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of $301 and $309 as of March 28, 2026 and March 29,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382,509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386,719</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553,718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640,992</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32,808</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11,023</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74,557</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2,306,314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2,167,275</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710,392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801,895</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2,353,226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2,389,741</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273,478</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23,433</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317,857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277,309</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5,825,590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5,933,131</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62"/>
              <w:jc w:val="left"/>
              <w:rPr/>
            </w:pPr>
            <w:r>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62"/>
              <w:jc w:val="left"/>
              <w:rPr/>
            </w:pPr>
            <w:r>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242,870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20"/>
              </w:rPr>
            </w:pPr>
            <w:r>
              <w:rPr>
                <w:sz w:val="20"/>
              </w:rPr>
              <w:t>$</w:t>
            </w:r>
          </w:p>
        </w:tc>
        <w:tc>
          <w:tcPr>
            <w:tcW w:w="971" w:type="dxa"/>
            <w:tcBorders/>
            <w:shd w:fill="FFFFFF" w:val="clear"/>
            <w:vAlign w:val="center"/>
          </w:tcPr>
          <w:p>
            <w:pPr>
              <w:pStyle w:val="TableContents"/>
              <w:bidi w:val="0"/>
              <w:spacing w:before="0" w:after="283"/>
              <w:jc w:val="right"/>
              <w:rPr>
                <w:sz w:val="20"/>
              </w:rPr>
            </w:pPr>
            <w:r>
              <w:rPr>
                <w:sz w:val="20"/>
              </w:rPr>
              <w:t>260,663</w:t>
            </w:r>
          </w:p>
        </w:tc>
        <w:tc>
          <w:tcPr>
            <w:tcW w:w="85" w:type="dxa"/>
            <w:tcBorders/>
            <w:shd w:fill="FFFFFF" w:val="clear"/>
            <w:vAlign w:val="center"/>
          </w:tcPr>
          <w:p>
            <w:pPr>
              <w:pStyle w:val="TableContents"/>
              <w:bidi w:val="0"/>
              <w:spacing w:before="0" w:after="283"/>
              <w:ind w:left="0" w:right="0" w:hanging="162"/>
              <w:jc w:val="left"/>
              <w:rPr/>
            </w:pPr>
            <w:r>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248,160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287,981</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234,538</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712,757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783,182</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1,549,215</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208,422</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2,481,291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2,540,819</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Commitments and contingent liabilities </w:t>
            </w:r>
            <w:r>
              <w:rPr>
                <w:rFonts w:ascii="Times New Roman;Times;Serif" w:hAnsi="Times New Roman;Times;Serif"/>
                <w:b w:val="false"/>
                <w:i/>
                <w:caps w:val="false"/>
                <w:smallCaps w:val="false"/>
                <w:sz w:val="20"/>
              </w:rPr>
              <w:t>(Note 11)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62"/>
              <w:jc w:val="left"/>
              <w:rPr/>
            </w:pPr>
            <w:r>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62"/>
              <w:jc w:val="left"/>
              <w:rPr/>
            </w:pPr>
            <w:r>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$.0001 par value; 5,000 shares authorized; no shares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and additional paid-in capital, $0.0001 par value; 405,000 shares authorized; 87,741 and 92,920 shares issued and outstanding at March 28, 2026 and March 29,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3,301,450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3,431,308</w:t>
            </w:r>
          </w:p>
        </w:tc>
        <w:tc>
          <w:tcPr>
            <w:tcW w:w="8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(5,013</w:t>
            </w:r>
          </w:p>
        </w:tc>
        <w:tc>
          <w:tcPr>
            <w:tcW w:w="8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(33,983</w:t>
            </w:r>
          </w:p>
        </w:tc>
        <w:tc>
          <w:tcPr>
            <w:tcW w:w="8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3,344,299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3,392,312</w:t>
            </w:r>
          </w:p>
        </w:tc>
        <w:tc>
          <w:tcPr>
            <w:tcW w:w="8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5,825,590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5,933,131</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Consolidated Statements of Operations</w:t>
        <w:b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8087" w:type="dxa"/>
        <w:jc w:val="left"/>
        <w:tblInd w:w="0" w:type="dxa"/>
        <w:tblLayout w:type="fixed"/>
        <w:tblCellMar>
          <w:top w:w="0" w:type="dxa"/>
          <w:left w:w="0" w:type="dxa"/>
          <w:bottom w:w="0" w:type="dxa"/>
          <w:right w:w="0" w:type="dxa"/>
        </w:tblCellMar>
      </w:tblPr>
      <w:tblGrid>
        <w:gridCol w:w="4580"/>
        <w:gridCol w:w="60"/>
        <w:gridCol w:w="125"/>
        <w:gridCol w:w="845"/>
        <w:gridCol w:w="80"/>
        <w:gridCol w:w="60"/>
        <w:gridCol w:w="125"/>
        <w:gridCol w:w="845"/>
        <w:gridCol w:w="80"/>
        <w:gridCol w:w="60"/>
        <w:gridCol w:w="125"/>
        <w:gridCol w:w="845"/>
        <w:gridCol w:w="257"/>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2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257"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3,678,517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3,718,971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3,769,506</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1,990,415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2,183,382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2,281,011</w:t>
            </w:r>
          </w:p>
        </w:tc>
        <w:tc>
          <w:tcPr>
            <w:tcW w:w="25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1,535,589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1,488,495</w:t>
            </w:r>
          </w:p>
        </w:tc>
        <w:tc>
          <w:tcPr>
            <w:tcW w:w="25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ind w:left="0" w:right="0" w:hanging="162"/>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726,122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747,709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682,249</w:t>
            </w:r>
          </w:p>
        </w:tc>
        <w:tc>
          <w:tcPr>
            <w:tcW w:w="25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217,273</w:t>
            </w:r>
          </w:p>
        </w:tc>
        <w:tc>
          <w:tcPr>
            <w:tcW w:w="25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171,867</w:t>
            </w:r>
          </w:p>
        </w:tc>
        <w:tc>
          <w:tcPr>
            <w:tcW w:w="25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221,414</w:t>
            </w:r>
          </w:p>
        </w:tc>
        <w:tc>
          <w:tcPr>
            <w:tcW w:w="25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103,991</w:t>
            </w:r>
          </w:p>
        </w:tc>
        <w:tc>
          <w:tcPr>
            <w:tcW w:w="25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1,440,062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1,396,794</w:t>
            </w:r>
          </w:p>
        </w:tc>
        <w:tc>
          <w:tcPr>
            <w:tcW w:w="25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411,424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91,701</w:t>
            </w:r>
          </w:p>
        </w:tc>
        <w:tc>
          <w:tcPr>
            <w:tcW w:w="25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(69,245</w:t>
            </w:r>
          </w:p>
        </w:tc>
        <w:tc>
          <w:tcPr>
            <w:tcW w:w="257"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51,104</w:t>
            </w:r>
          </w:p>
        </w:tc>
        <w:tc>
          <w:tcPr>
            <w:tcW w:w="25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398,273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73,560</w:t>
            </w:r>
          </w:p>
        </w:tc>
        <w:tc>
          <w:tcPr>
            <w:tcW w:w="25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(143,882</w:t>
            </w:r>
          </w:p>
        </w:tc>
        <w:tc>
          <w:tcPr>
            <w:tcW w:w="257"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55,615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(70,322</w:t>
            </w:r>
          </w:p>
        </w:tc>
        <w:tc>
          <w:tcPr>
            <w:tcW w:w="257"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ind w:left="0" w:right="0" w:firstLine="162"/>
              <w:jc w:val="left"/>
              <w:rPr/>
            </w:pPr>
            <w:r>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257" w:type="dxa"/>
            <w:tcBorders/>
            <w:shd w:fill="FFFFFF" w:val="clear"/>
            <w:vAlign w:val="center"/>
          </w:tcPr>
          <w:p>
            <w:pPr>
              <w:pStyle w:val="TableContents"/>
              <w:bidi w:val="0"/>
              <w:spacing w:before="0" w:after="283"/>
              <w:ind w:left="0" w:right="0" w:firstLine="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257"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ind w:left="0" w:right="0" w:firstLine="162"/>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97,557</w:t>
            </w:r>
          </w:p>
        </w:tc>
        <w:tc>
          <w:tcPr>
            <w:tcW w:w="257" w:type="dxa"/>
            <w:tcBorders/>
            <w:shd w:fill="CCEEFF" w:val="clear"/>
            <w:vAlign w:val="center"/>
          </w:tcPr>
          <w:p>
            <w:pPr>
              <w:pStyle w:val="TableContents"/>
              <w:bidi w:val="0"/>
              <w:spacing w:before="0" w:after="283"/>
              <w:ind w:left="0" w:right="0" w:firstLine="162"/>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97,557</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Consolidated Statements of Comprehensive Income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60"/>
        <w:gridCol w:w="60"/>
        <w:gridCol w:w="125"/>
        <w:gridCol w:w="695"/>
        <w:gridCol w:w="80"/>
        <w:gridCol w:w="60"/>
        <w:gridCol w:w="125"/>
        <w:gridCol w:w="590"/>
        <w:gridCol w:w="80"/>
        <w:gridCol w:w="60"/>
        <w:gridCol w:w="125"/>
        <w:gridCol w:w="650"/>
        <w:gridCol w:w="95"/>
      </w:tblGrid>
      <w:tr>
        <w:trPr/>
        <w:tc>
          <w:tcPr>
            <w:tcW w:w="7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(70,322</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pension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including intra-entity foreign currency transactions that are of a long-term investment nature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adjustments, net of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gain realized upon liquidation of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pension actuarial gain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(72,244</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41"/>
        <w:gridCol w:w="60"/>
        <w:gridCol w:w="65"/>
        <w:gridCol w:w="644"/>
        <w:gridCol w:w="87"/>
        <w:gridCol w:w="65"/>
        <w:gridCol w:w="136"/>
        <w:gridCol w:w="922"/>
        <w:gridCol w:w="80"/>
        <w:gridCol w:w="60"/>
        <w:gridCol w:w="262"/>
        <w:gridCol w:w="1148"/>
        <w:gridCol w:w="80"/>
        <w:gridCol w:w="60"/>
        <w:gridCol w:w="183"/>
        <w:gridCol w:w="1115"/>
        <w:gridCol w:w="80"/>
        <w:gridCol w:w="60"/>
        <w:gridCol w:w="125"/>
        <w:gridCol w:w="845"/>
        <w:gridCol w:w="87"/>
      </w:tblGrid>
      <w:tr>
        <w:trPr/>
        <w:tc>
          <w:tcPr>
            <w:tcW w:w="40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and</w:t>
              <w:br/>
              <w:t>Additional Paid-in 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w:t>
              <w:br/>
              <w:t xml:space="preserve">Comprehensive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br/>
              <w:t xml:space="preserve">(Accumulated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40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87"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April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98,649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3,821,474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20"/>
              </w:rPr>
            </w:pPr>
            <w:r>
              <w:rPr>
                <w:sz w:val="20"/>
              </w:rPr>
              <w:t>$</w:t>
            </w:r>
          </w:p>
        </w:tc>
        <w:tc>
          <w:tcPr>
            <w:tcW w:w="1148" w:type="dxa"/>
            <w:tcBorders/>
            <w:shd w:fill="CCEEFF" w:val="clear"/>
            <w:vAlign w:val="center"/>
          </w:tcPr>
          <w:p>
            <w:pPr>
              <w:pStyle w:val="TableContents"/>
              <w:bidi w:val="0"/>
              <w:spacing w:before="0" w:after="283"/>
              <w:jc w:val="right"/>
              <w:rPr>
                <w:sz w:val="20"/>
              </w:rPr>
            </w:pPr>
            <w:r>
              <w:rPr>
                <w:sz w:val="20"/>
              </w:rPr>
              <w:t>(3,175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1115" w:type="dxa"/>
            <w:tcBorders/>
            <w:shd w:fill="CCEEFF" w:val="clear"/>
            <w:vAlign w:val="center"/>
          </w:tcPr>
          <w:p>
            <w:pPr>
              <w:pStyle w:val="TableContents"/>
              <w:bidi w:val="0"/>
              <w:spacing w:before="0" w:after="283"/>
              <w:jc w:val="right"/>
              <w:rPr>
                <w:sz w:val="20"/>
              </w:rPr>
            </w:pPr>
            <w:r>
              <w:rPr>
                <w:sz w:val="20"/>
              </w:rPr>
              <w:t>84,495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3,902,794</w:t>
            </w:r>
          </w:p>
        </w:tc>
        <w:tc>
          <w:tcPr>
            <w:tcW w:w="8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(70,322</w:t>
            </w:r>
          </w:p>
        </w:tc>
        <w:tc>
          <w:tcPr>
            <w:tcW w:w="87"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w:t>
            </w:r>
          </w:p>
        </w:tc>
        <w:tc>
          <w:tcPr>
            <w:tcW w:w="87"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 and vesting of restricted stock units, net of shares withheld for employee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(25,787</w:t>
            </w:r>
          </w:p>
        </w:tc>
        <w:tc>
          <w:tcPr>
            <w:tcW w:w="87"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employee stock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35,045</w:t>
            </w:r>
          </w:p>
        </w:tc>
        <w:tc>
          <w:tcPr>
            <w:tcW w:w="8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 including transaction costs and excise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(3,959</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(402,975</w:t>
            </w:r>
          </w:p>
        </w:tc>
        <w:tc>
          <w:tcPr>
            <w:tcW w:w="87"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119,539</w:t>
            </w:r>
          </w:p>
        </w:tc>
        <w:tc>
          <w:tcPr>
            <w:tcW w:w="8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95,798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3,651,067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(5,097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(89,598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3,556,372</w:t>
            </w:r>
          </w:p>
        </w:tc>
        <w:tc>
          <w:tcPr>
            <w:tcW w:w="8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55,615</w:t>
            </w:r>
          </w:p>
        </w:tc>
        <w:tc>
          <w:tcPr>
            <w:tcW w:w="8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 and vesting of restricted stock units, net of shares withheld for employee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(31,214</w:t>
            </w:r>
          </w:p>
        </w:tc>
        <w:tc>
          <w:tcPr>
            <w:tcW w:w="87"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employee stock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34,234</w:t>
            </w:r>
          </w:p>
        </w:tc>
        <w:tc>
          <w:tcPr>
            <w:tcW w:w="8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 including transaction costs and excise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(358,761</w:t>
            </w:r>
          </w:p>
        </w:tc>
        <w:tc>
          <w:tcPr>
            <w:tcW w:w="87"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135,982</w:t>
            </w:r>
          </w:p>
        </w:tc>
        <w:tc>
          <w:tcPr>
            <w:tcW w:w="8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29,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92,920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3,431,308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3,392,312</w:t>
            </w:r>
          </w:p>
        </w:tc>
        <w:tc>
          <w:tcPr>
            <w:tcW w:w="87" w:type="dxa"/>
            <w:tcBorders/>
            <w:shd w:fill="CCEEFF" w:val="clear"/>
            <w:vAlign w:val="center"/>
          </w:tcPr>
          <w:p>
            <w:pPr>
              <w:pStyle w:val="TableContents"/>
              <w:bidi w:val="0"/>
              <w:spacing w:before="0" w:after="283"/>
              <w:ind w:left="0" w:right="0" w:hanging="162"/>
              <w:jc w:val="left"/>
              <w:rPr/>
            </w:pPr>
            <w:r>
              <w:rPr/>
              <w:t> </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338,989</w:t>
            </w:r>
          </w:p>
        </w:tc>
        <w:tc>
          <w:tcPr>
            <w:tcW w:w="87"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9,074</w:t>
            </w:r>
          </w:p>
        </w:tc>
        <w:tc>
          <w:tcPr>
            <w:tcW w:w="8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 and vesting of restricted stock units, net of shares withheld for employee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(32,018</w:t>
            </w:r>
          </w:p>
        </w:tc>
        <w:tc>
          <w:tcPr>
            <w:tcW w:w="87"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employee stock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36,889</w:t>
            </w:r>
          </w:p>
        </w:tc>
        <w:tc>
          <w:tcPr>
            <w:tcW w:w="8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 including transaction costs and excise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(6,604</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(270,517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(536,735</w:t>
            </w:r>
          </w:p>
        </w:tc>
        <w:tc>
          <w:tcPr>
            <w:tcW w:w="87"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135,788</w:t>
            </w:r>
          </w:p>
        </w:tc>
        <w:tc>
          <w:tcPr>
            <w:tcW w:w="87"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0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28,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87,741</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3,301,450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3,344,299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0"/>
        <w:gridCol w:w="60"/>
        <w:gridCol w:w="125"/>
        <w:gridCol w:w="845"/>
        <w:gridCol w:w="80"/>
        <w:gridCol w:w="60"/>
        <w:gridCol w:w="125"/>
        <w:gridCol w:w="845"/>
        <w:gridCol w:w="80"/>
        <w:gridCol w:w="60"/>
        <w:gridCol w:w="125"/>
        <w:gridCol w:w="845"/>
        <w:gridCol w:w="95"/>
      </w:tblGrid>
      <w:tr>
        <w:trPr/>
        <w:tc>
          <w:tcPr>
            <w:tcW w:w="6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55,615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(70,322</w:t>
            </w:r>
          </w:p>
        </w:tc>
        <w:tc>
          <w:tcPr>
            <w:tcW w:w="95" w:type="dxa"/>
            <w:tcBorders/>
            <w:shd w:fill="FFFFFF" w:val="clear"/>
            <w:vAlign w:val="center"/>
          </w:tcPr>
          <w:p>
            <w:pPr>
              <w:pStyle w:val="TableContents"/>
              <w:bidi w:val="0"/>
              <w:spacing w:before="0" w:after="283"/>
              <w:ind w:left="0" w:right="0" w:hanging="162"/>
              <w:jc w:val="left"/>
              <w:rPr>
                <w:sz w:val="20"/>
              </w:rPr>
            </w:pPr>
            <w:r>
              <w:rPr>
                <w:sz w:val="20"/>
              </w:rPr>
              <w:t>)</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193,035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127,898</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221,414</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120,834</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78,521</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(105,776</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92,909</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(23,174</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89,139</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130,979</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 and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8,681</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(50,354</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808,631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833,189</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(127,230</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sales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49,548</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businesses,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(82,974</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sales of businesses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173,117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4,186</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(136,470</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and repurchase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(439,124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(58,309</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(payments) proceeds from purchase and sale of inventories subject to repurchase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 including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(356,336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(400,054</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36,918</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withholding paid on behalf of employees for restricted stock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(27,111</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(11,018</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(566,526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(684,362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(459,574</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3,170</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240,315</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1,021,176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1,049,258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808,943</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1,219,015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1,021,176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1,049,258</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1,219,015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1,021,176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1,029,258</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included in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1,219,015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1,021,176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1,049,258</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during the year for interest, net of amounts capitalized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73,169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76,336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55,270</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included in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24,740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65,221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AND ITS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(the “Company” or “Qorvo”) is a global leader in the development and commercialization of technologies and products for wireless, wired and power markets. Qorvo was formed as the result of a business combination (the “Business Combination”) of RF Micro Devices, Inc. and TriQuint Semiconductor, Inc. (“TriQuint”), which closed on January 1, 2015.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design expertise and manufacturing capabilities span multiple process technologies. As of March 28, 2026, the Company’s primary wafer fabrication facilities are located in Oregon and Texas, and its primary assembly and test facilities are located in Germany and Texas. The Company also sources products and materials through external suppliers. The Company operates design, sales and other manufacturing facilities throughout Asia, Europe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into three operating and reportable segments that align technologies and applications with customers and end markets: High Performance Analog (“HPA”), Connectivity and Sensors Group (“CSG”) and Advanced Cellular Group (“ACG”).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wholly-owned subsidiaries. All significant intercompany accounts and transactions have been eliminated in consolidation. Certain prior period amounts have been reclassified to conform to the fiscal 2026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 52- or 53-week fiscal year ending on the Saturday closest to March 31 of each year. Approximately every five to six years, the Company reports a 53-week fiscal year to align with the foregoing policy. The most recent three fiscal years ended on March 28, 2026, March 29, 2025 and March 30, 2024. Fiscal years 2026, 2025, and 2024 were 52-week years, with each fiscal quarter consisting of 13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generally accepted accounting principles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tax-related contingencies, valuation of long-lived and intangible assets, other contingencies and litigation, among others. The Company generally bases its estimates on historical experience, expected future conditions and third-party evaluations. Actual results could differ materially from these estimates, and such differences could affect the results of operations reported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demand deposit accounts, money market funds and other short-term, highly liquid investments with original maturities of three months or less when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investments in limited partnerships which are accounted for using the equity method. These equity method investments are classified as “Long-term investments” in the Consolidated Balance Sheets. The Company records its share of the financial results of the limited partnerships in “Other income, net” in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invests in other privately held entities. These investments are measured using the most appropriate valuation methodology based on the specific characteristics of the security and are classified as “Long-term investments”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investments for impairment on a quarterly basis and considers both qualitative and quantitative factors that may have a significant impact on the investee’s fair value. Qualitative factors considered include the investee’s financial condition and business outlook, market for technology and other relevant events and factors affecting the investee. Investments are impaired when their fair value is less than their carrying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reports certain financial assets and liabilities on a recurring basis. Fair value is the price that would be received to sell an asset or paid to transfer a liability in an orderly transaction between market participants at the measurement date. The Company categorizes its financial instruments carried at fair value into a three-level fair value hierarchy, based on the priority of inputs to the respective valuation technique. The three-level hierarchy for fair value measurement is described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324"/>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Level 1 - includes instruments for which inputs are quoted prices in active markets for identical assets or liabilities that the Company has the ability to access.</w:t>
      </w:r>
    </w:p>
    <w:p>
      <w:pPr>
        <w:pStyle w:val="TextBody"/>
        <w:bidi w:val="0"/>
        <w:spacing w:before="0" w:after="0"/>
        <w:ind w:left="648" w:right="0" w:hanging="0"/>
        <w:jc w:val="left"/>
        <w:rPr>
          <w:caps w:val="false"/>
          <w:smallCaps w:val="false"/>
        </w:rPr>
      </w:pPr>
      <w:r>
        <w:rPr>
          <w:caps w:val="false"/>
          <w:smallCaps w:val="false"/>
        </w:rPr>
        <w:t> </w:t>
      </w:r>
    </w:p>
    <w:p>
      <w:pPr>
        <w:pStyle w:val="TextBody"/>
        <w:bidi w:val="0"/>
        <w:spacing w:before="0" w:after="0"/>
        <w:ind w:left="648" w:right="0" w:hanging="324"/>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Level 2 - includes instruments for which the inputs are other than quoted prices that are observable for the asset or liability, either directly or indirectly.</w:t>
      </w:r>
    </w:p>
    <w:p>
      <w:pPr>
        <w:pStyle w:val="TextBody"/>
        <w:bidi w:val="0"/>
        <w:spacing w:before="0" w:after="0"/>
        <w:ind w:left="648" w:right="0" w:hanging="0"/>
        <w:jc w:val="left"/>
        <w:rPr>
          <w:caps w:val="false"/>
          <w:smallCaps w:val="false"/>
        </w:rPr>
      </w:pPr>
      <w:r>
        <w:rPr>
          <w:caps w:val="false"/>
          <w:smallCaps w:val="false"/>
        </w:rPr>
        <w:t> </w:t>
      </w:r>
    </w:p>
    <w:p>
      <w:pPr>
        <w:pStyle w:val="TextBody"/>
        <w:bidi w:val="0"/>
        <w:spacing w:before="0" w:after="0"/>
        <w:ind w:left="648" w:right="0" w:hanging="324"/>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Level 3 - includes instruments for which the valuations are based on inputs that are unobservable and significant to the overall fair value measurement. These inputs are supported by little or no market activity and reflect the use of significant management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holds assets whose fair value is measured and recorded on a nonrecurring basis. These assets include equity method investments, equity investments without a readily determinable fair value and certain non-financial assets, such as intangible assets and property and equipment. Intangible assets, including goodwill, are adjusted to fair value after initial recognition only if an impairment charge is recognized, which is generally determined using a discounted cash flow model based on significant unobservable inputs (Level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 and are considered Level 1 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cash equivalents and restricted cash, accounts receivable, accounts payable and other accrued liabilities approximate fair values because of the relatively short-term maturities of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(cost is based on standard cost, which approximates actual average cost). Cost includes labor, materials and manufacturing overhead related to the purchase and production of inventories. In accordance with Accounting Standards Codification (“ASC”) 330, “</w:t>
      </w:r>
      <w:r>
        <w:rPr>
          <w:rFonts w:ascii="Times New Roman;Times;Serif" w:hAnsi="Times New Roman;Times;Serif"/>
          <w:b w:val="false"/>
          <w:i/>
          <w:caps w:val="false"/>
          <w:smallCaps w:val="false"/>
          <w:sz w:val="20"/>
        </w:rPr>
        <w:t>Inventory”</w:t>
      </w:r>
      <w:r>
        <w:rPr>
          <w:rFonts w:ascii="Times New Roman;Times;Serif" w:hAnsi="Times New Roman;Times;Serif"/>
          <w:b w:val="false"/>
          <w:i w:val="false"/>
          <w:caps w:val="false"/>
          <w:smallCaps w:val="false"/>
          <w:sz w:val="20"/>
        </w:rPr>
        <w:t xml:space="preserve"> (“ASC 330”), abnormal manufacturing costs are charged to “Cost of goods sold” in the Consolidated Statements of Operations in the period incurred rather than as a portion of inventory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subject to the risk of technological and design changes. The Company evaluates inventory levels quarterly against demand forecasts on a material or product family basis to evaluate its overall inventory risk. Reserves are adjusted to reflect inventory values in excess of demand forecasts and management’s analysis and assessment of overall inventory risk. Product-specific facts and circumstances reviewed in the inventory valuation process include a review of the customer base, market conditions and customer acceptance of the Company’s products and technologies, as well as an assessment of the selling price in relation to the product cost. In the event the Company sells inventory that was previously covered by a specific inventory reserve, the sale is recorded at the actual selling price and the cost of goods sold for this inventory is recorded at its inventory cost, net of the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2025, the Company completed the sale of its assembly and test operations in Beijing and Dezhou to Luxshare Precision Industry Co., Ltd. (“Luxshare”). Pursuant to a supply agreement with Luxshare, the Company is obligated to repurchase inventory that it sold to Luxshare subsequent to the performance of assembly and test services by Luxshare. Although legal title of the inventory resides with Luxshare,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the Company will continue to recognize the inventory on its balance sheet and record a financial liability (which is included in “Other current liabilities” in the Consolidated Balance Sheets) equal to the cash received by the Company attributable to the inventory subject to repurchase. Changes in the amount outstanding under the supply agreement related to inventory subject to repurchase are included in cash flows from financing activities in the Consolidated Statements of Cash Flows. In accordance with ASC 330, the Company capitalizes costs incurred by Luxshare to enhance the inventory by increasing its carrying value on the Company’s balance sheet and recognizing a corresponding liability. Cash paid for inventory enhancements is included in cash flows from operating activities in the Consolidated Statements of Cash Flows. Financing costs related to inventory subject to repurchase are included in “Interest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sells products with a limited warranty against defects in materials and workmanship and non-conformance to applicable specifications. The majority of the Company’s product warranty claims are settled through the return of the defective product and the shipment of replacement product. Accruals are estimated based upon both historical experience as well as specifically identified claims. If there is a significant increase in the rate of customer claims compared with the Company’s historical experience or if the Company’s estimates of probable losses relating to specifically identified warranty exposures require revision, the Company may record a charge against future cost of sales. Product warranty accruals and related expenses were immaterial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of property and equipment is computed using the straight-line method over the estimated useful lives of the assets, ranging from one to 39 years. The Company capitalizes interest on borrowings related to eligible capital expenditures. Capitalized interest is added to the cost of qualified assets and depreciated together with the asset cost. The Company’s assets acquired under leases and leasehold improvements are amortized over the lesser of the asset life or lease term (which is reasonably assured) and included in depreciation. The Company records capital-related government grants earned as a reduction to property and equipment and depreciates the net asset over the estimated useful lives of the associated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of those assets, if any, is based on the excess of the carrying amount over the fair value less costs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lease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options to extend or terminate the lease when it is reasonably certain such options will be exercised. To the extent that the Company’s agreements have variable lease payments, the Company includes variable lease payments that depend on an index or a rate and excludes those that depend on facts or circumstances occurring after the commencement date, other than the passage of time.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from the balance sheet leases with an initial term of 12 months or less. The Company assesses right-of-use assets for impairment in accordance with its long-lived asset impairment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allocates the fair value of the purchase price to the assets acquired and liabilities assumed based on their estimated fair value. The excess of the purchase price over the fair values of the identifiable assets and liabilities is recorded to goodwill. Goodwill is assigned to the Company’s reporting unit that is expected to benefit from the synergies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assumptions, estimates and judgments are used in determining the fair value of acquired assets and liabilities, particularly with respect to the intangible assets acquired. The valuation of intangible assets requires the Company to use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uses its best estimates and assumptions to accurately value assets acquired and liabilities assumed at the acquisition date as well as contingent consideration, where applicable, the Company’s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After the measurement period, any purchase price adjustments are recognized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 Impairment Testing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350, “</w:t>
      </w:r>
      <w:r>
        <w:rPr>
          <w:rFonts w:ascii="Times New Roman;Times;Serif" w:hAnsi="Times New Roman;Times;Serif"/>
          <w:b w:val="false"/>
          <w:i/>
          <w:caps w:val="false"/>
          <w:smallCaps w:val="false"/>
          <w:sz w:val="20"/>
        </w:rPr>
        <w:t>Intangibles - Goodwill and Other</w:t>
      </w:r>
      <w:r>
        <w:rPr>
          <w:rFonts w:ascii="Times New Roman;Times;Serif" w:hAnsi="Times New Roman;Times;Serif"/>
          <w:b w:val="false"/>
          <w:i w:val="false"/>
          <w:caps w:val="false"/>
          <w:smallCaps w:val="false"/>
          <w:sz w:val="20"/>
        </w:rPr>
        <w:t>” (“ASC 350”), goodwill is not amortized, but rather is reviewed for impairment at the reporting unit level on the first day of the Company’s fourth quarter of each fiscal year, or when there is evidence that events or changes in circumstances indicate it is more likely than not that the fair value of a reporting unit is less than its carrying amount, including goodwill.</w:t>
      </w:r>
    </w:p>
    <w:p>
      <w:pPr>
        <w:pStyle w:val="TextBody"/>
        <w:bidi w:val="0"/>
        <w:spacing w:before="0" w:after="0"/>
        <w:ind w:left="648"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350, the Company has the option to first assess qualitatively whether it is more likely than not that the fair value of a reporting unit is less than its carrying amount, including goodwill. In performing qualitative assessments, the Company considers the following factors which could trigger a goodwill impairment review: (i) significant underperformance relative to historical or projected future operating results; (ii) significant changes in the manner or use of the acquired assets or the strategy for the Company’s overall business; (iii) significant negative industry or economic trends; (iv) a significant decline in the Company’s stock price for a sustained period; and (v) a significant change in the Company’s market capitalization relative to its net book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qualitative assessments conclude that it is more likely than not that the fair value of any reporting unit is less than its carrying value, quantitative assessments are performed on the applicable reporting units. The quantitative assessments may consider both the income and market approaches to estimate the fair value of a reporting unit. The income approach is based on the discounted cash flow method that uses estimates of the reporting unit’s revenue growth rates and operating margins as part of the Company’s long-term planning process, taking into consideration historical data and industry and market conditions. The discount rate used to determine the present value of future cash flows is based on the weighted-average cost of capital adjusted for the relevant risk associated with business-specific characteristics and the uncertainty related to the ability to execute on the projected cash flows. The market approach estimates fair value based on market multiples of revenue and earnings derived from comparable publicly traded companies with similar operating and investment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amortizes definite-lived intangible assets (including developed technology, customer relationships, technology licenses and trade names) on a straight-line basis over their estimated useful lives. In-process research and development (“IPRD”) assets represent the fair value of incomplete R&amp;D projects that had not reached technological feasibility as of the date of the acquisition and are initially not subject to amortization. Upon completion of development, IPRD assets are transferred to developed technology and are amortized over their useful lives. The asset balances relating to abandoned projects are impaired and expensed to R&amp;D.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definite-lived intangible assets for impairment in accordance with ASC 360-10-35, “</w:t>
      </w:r>
      <w:r>
        <w:rPr>
          <w:rFonts w:ascii="Times New Roman;Times;Serif" w:hAnsi="Times New Roman;Times;Serif"/>
          <w:b w:val="false"/>
          <w:i/>
          <w:caps w:val="false"/>
          <w:smallCaps w:val="false"/>
          <w:sz w:val="20"/>
        </w:rPr>
        <w:t>Impairment or Disposal of Long-Lived Assets</w:t>
      </w:r>
      <w:r>
        <w:rPr>
          <w:rFonts w:ascii="Times New Roman;Times;Serif" w:hAnsi="Times New Roman;Times;Serif"/>
          <w:b w:val="false"/>
          <w:i w:val="false"/>
          <w:caps w:val="false"/>
          <w:smallCaps w:val="false"/>
          <w:sz w:val="20"/>
        </w:rPr>
        <w:t>” to determine whether facts and circumstances (including external factors such as industry and economic trends and internal factors such as changes in the Company’s business strategy and forecasts) indicate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are recognized in the period in which the impairment determination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less than 3% of overall revenue. The Company applies a five-step approach, as defined in ASC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and represents approximately 7% of net revenue in fiscal 2026.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The Company reduces revenue and records reserves for product returns and allowances, rebate programs and scrap allowance based on historical experience or specific identification depending on the contractual terms of the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There have been no material impairment losses on accounts receivable for fiscal years 2026, 2025 or 2024. Contract assets and contract liabilities recorded in the Consolidated Balance Sheets were immaterial as of March 28, 2026 and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invoices customers upon shipment and recognizes revenue in accordance with delivery terms. As of March 28, 2026, the Company had $102.9 million in remaining unsatisfied performance obligations with an original duration greater than one year, of which the majority is expected to be recognized as income over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shipping charges billed to customers in “Revenue” and includes the related shipping costs in “Cost of goods sold” in the Consolidated Statements of Operations. Taxes assessed by government authorities on revenue-producing transactions, including tariffs, value-added taxes and excise taxes, are excluded from revenue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incurs commission expense that is incremental to obtaining contracts with customers. Sales commissions (which are recorded in the “Marketing and selling” expense line item in the Consolidated Statements of Operations) are expensed when incurred because such commissions are not owed until the performance obligation is satisfied, which coincides with the end of the contract term, and therefore, no remaining period exists over which to amortize the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charges all research and development (“R&amp;D”) costs to expense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more-likely-than-not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Intangible Low-Taxed Income (“GILTI”) and Foreign-Derived Intangible Income (“FDII”) provisions became effective for the Company in fiscal 2019. The Company has elected to treat taxes related to GILTI inclusions as a period cost and therefore does not recognize deferred tax assets or liabilities for basis differences expected to give rise to future GILTI inclusions. The tax effects of FDII are recognized in the period in which the related income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the Company recognizes a deferred tax liability for income taxes on unremitted foreign earnings of foreign subsidiaries which the Company intends to repatriate. If the Company asserts that such earnings will be permanently reinvested, a deferred tax liability is not recognized related to such earnings. It is the Company’s intent to repatriate all previously taxed earnings of foreign subsidiaries from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(“ASC 718”), stock-based compensation cost is measured at the grant date, based on the estimated fair value of the awards. The fair value of employee stock purchase plan awards is estimated on the date of grant using a Black-Scholes pricing model based on the historical volatility, dividend yield, term and risk-free interest rate. The fair value per unit of each restricted stock unit is determined on the grant date using market price and is recognized as expense over the requisite service period based on awards ultimately expected to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foreign subsidiaries have been translated into U.S. dollars in accordance with ASC 830, “</w:t>
      </w:r>
      <w:r>
        <w:rPr>
          <w:rFonts w:ascii="Times New Roman;Times;Serif" w:hAnsi="Times New Roman;Times;Serif"/>
          <w:b w:val="false"/>
          <w:i/>
          <w:caps w:val="false"/>
          <w:smallCaps w:val="false"/>
          <w:sz w:val="20"/>
        </w:rPr>
        <w:t>Foreign Currency Matters.</w:t>
      </w:r>
      <w:r>
        <w:rPr>
          <w:rFonts w:ascii="Times New Roman;Times;Serif" w:hAnsi="Times New Roman;Times;Serif"/>
          <w:b w:val="false"/>
          <w:i w:val="false"/>
          <w:caps w:val="false"/>
          <w:smallCaps w:val="false"/>
          <w:sz w:val="20"/>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 and expenses are translated using the weighted-average exchange rates throughout the year. Translation adjustments are a component of “Accumulated other comprehensive income (loss)” within “Stockholders’ equity” in the Consolidated Balance Sheets.  Foreign currency transaction gains or losses (transactions denominated in a currency other than the functional currency) are reported in “Other income, net”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“Accrued liabilities” balance as of March 28, 2026 includes accrued compensation and benefits of $120.8 million. The “Accrued liabilities” balance as of March 29, 2025 includes accrued compensation and benefits of $89.7 million and accrued rebates of $77.9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current liabilities” balance as of March 28, 2026 includes a liability of $118.5 million for inventory subject to repurchase in connection with a supply agreement and income taxes payable of $64.4 million. The “Other current liabilities” balance as of March 29, 2025 includes a liability of $130.2 million for inventory subject to repurchase in connection with a supply agreement and income taxes payable of $54.7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“Other operating expense”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957" w:type="dxa"/>
        <w:jc w:val="left"/>
        <w:tblInd w:w="0" w:type="dxa"/>
        <w:tblLayout w:type="fixed"/>
        <w:tblCellMar>
          <w:top w:w="0" w:type="dxa"/>
          <w:left w:w="0" w:type="dxa"/>
          <w:bottom w:w="0" w:type="dxa"/>
          <w:right w:w="0" w:type="dxa"/>
        </w:tblCellMar>
      </w:tblPr>
      <w:tblGrid>
        <w:gridCol w:w="2690"/>
        <w:gridCol w:w="60"/>
        <w:gridCol w:w="168"/>
        <w:gridCol w:w="796"/>
        <w:gridCol w:w="60"/>
        <w:gridCol w:w="60"/>
        <w:gridCol w:w="168"/>
        <w:gridCol w:w="796"/>
        <w:gridCol w:w="60"/>
        <w:gridCol w:w="60"/>
        <w:gridCol w:w="147"/>
        <w:gridCol w:w="817"/>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2024</w:t>
            </w:r>
          </w:p>
        </w:tc>
        <w:tc>
          <w:tcPr>
            <w:tcW w:w="7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Restructuring-related charges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20"/>
              </w:rPr>
            </w:pPr>
            <w:r>
              <w:rPr>
                <w:sz w:val="20"/>
              </w:rPr>
              <w:t>$</w:t>
            </w:r>
          </w:p>
        </w:tc>
        <w:tc>
          <w:tcPr>
            <w:tcW w:w="796" w:type="dxa"/>
            <w:tcBorders/>
            <w:shd w:fill="CCEEFF" w:val="clear"/>
            <w:vAlign w:val="center"/>
          </w:tcPr>
          <w:p>
            <w:pPr>
              <w:pStyle w:val="TableContents"/>
              <w:bidi w:val="0"/>
              <w:spacing w:before="0" w:after="283"/>
              <w:jc w:val="right"/>
              <w:rPr>
                <w:sz w:val="20"/>
              </w:rPr>
            </w:pPr>
            <w:r>
              <w:rPr>
                <w:sz w:val="20"/>
              </w:rPr>
              <w:t>60,345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70,365</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Merger-related costs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transformation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11,863</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9,879</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11,884</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103,991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Refer to Note 12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Refer to Note 2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Includes acquisition and integration-related costs and certain settlements, gains, losses and other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of $43.0 million, $47.1 million and $38.3 million for fiscal years 2026, 2025 and 2024, respectively, is included in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Accounting Standard Update (“ASU”) 2023-09, “</w:t>
      </w:r>
      <w:r>
        <w:rPr>
          <w:rFonts w:ascii="Times New Roman;Times;Serif" w:hAnsi="Times New Roman;Times;Serif"/>
          <w:b w:val="false"/>
          <w:i/>
          <w:caps w:val="false"/>
          <w:smallCaps w:val="false"/>
          <w:sz w:val="20"/>
        </w:rPr>
        <w:t>Improvements to Income Tax Disclosures”</w:t>
      </w:r>
      <w:r>
        <w:rPr>
          <w:rFonts w:ascii="Times New Roman;Times;Serif" w:hAnsi="Times New Roman;Times;Serif"/>
          <w:b w:val="false"/>
          <w:i w:val="false"/>
          <w:caps w:val="false"/>
          <w:smallCaps w:val="false"/>
          <w:sz w:val="20"/>
        </w:rPr>
        <w:t xml:space="preserve"> (“ASU 2023-09”), which requires enhanced disclosures related to income taxes. The amendments in ASU 2023-09 require a public entity to disclose specified additional information in its income tax rate reconciliation and to provide additional information for reconciling items that meet a quantitative threshold. The amendments also require the Company to disaggregate its taxes paid disclosure by federal, state and foreign taxes, with further disaggregation required for significant individual jurisdictions. The Company adopted this standard for the year ended March 28, 2026 retrospectively for all periods presented in the financial statements. Refer to Note 13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PROPOSED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Company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First Merger (the “Effective Time”), each share of the Company’s common stock, par value $0.0001 per share (“Qorvo Common Stock”), outstanding immediately prior to the Effective Time (subject to certain exceptions, including shares of Qorvo Common Stock owned by stockholders of the Company who have not voted in favor of the adoption of the Merger Agreement and have properly exercised appraisal rights in accordance with Section 262 of the General Corporation Law of the State of Delaware) will be converted into the right to receive (i) 0.960 (the “Exchange Ratio”) shares of Skyworks common stock, without interest, and (ii) $32.50 in cash, without interest, subject to applicable withholding taxes. No fractional shares of Skyworks common stock will be issued in the Mergers, and the Company’s stockholders will receive cash in lieu of any fractional shares, as specified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Mergers are consummated, Qorvo Common Stock will be delisted from the Nasdaq Stock Market LLC and deregistered under the Securities Exchange Act of 1934, as amended. The Exchange Ratio is expected to result in the Company’s equityholders and Skyworks equityholders owning approximately 37% and 63%, respectively, of the combined company on a pro forma basis following the closing of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for each of Skyworks and Qorvo. Under specified circumstances,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Qorvo and Skyworks each received a Request for Additional Information and Documentary Material (the “Second Request”) from the U.S. Federal Trade Commission (“FTC”) in connection with the transaction. The Second Request was issued under notification requirements of the HSR Act. The effect of the Second Request is to extend the waiting period imposed by the HSR Act until 30 days after Qorvo and Skyworks have each substantially complied with the Second Request it received, unless the waiting period is voluntarily extended by the parties or terminated sooner by the FTC.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of both Qorvo and Skyworks approved the Merger Agreement at each company’s special meeting of stockholders on February 11, 2026. Consummation of the Mergers is subject to required regulatory approvals, including certain antitrust and foreign investment approvals, and the satisfaction of other customary closing conditions. The Company currently anticipates the transaction will be completed early in calendar year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Merger Agreement and the transactions contemplated thereby does not purport to be complete and is subject to, and qualified in its entirety by, the Merger Agreement, which was filed as Exhibit 2.1 to the Company’s Current Report on Form 8-K filed on October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Merger-related costs for fiscal 2026 were approximately $23.5 million, primarily related to legal and professional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Company’s trade receivables are evaluated on a collective (pool) basis and aggregated on the basis of similar risk characteristics, adjusting for broad-based economic indicators as well as customer-specific factors. The Company has adopted credit policies and standards intended to accommodate industry growth and inherent risk and believes that credit risks are moderated by the financial stability of its major customers, conservative payment terms and the Company’s strict credit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products to its largest end customer, Apple Inc., through sales to multiple contract manufacturers, which in the aggregate accounted for approximately 50%, 47% and 46% of total revenue in fiscal years 2026, 2025 and 2024, respectively. Samsung Electronics Co., Ltd., accounted for approximately 10%, 10% and 12% of total revenue in fiscal years 2026, 2025 and 2024, respectively. These customers primarily purchase radio frequency (“RF”) solutions for a variety of mobile devices from the Company’s ACG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three largest accounts receivable balances comprised approximately 58% and 64% of aggregate gross accounts receivable as of March 28, 2026 and March 29,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inventories, net of reserves, are as follows (in thousands):</w:t>
      </w:r>
    </w:p>
    <w:p>
      <w:pPr>
        <w:pStyle w:val="TextBody"/>
        <w:bidi w:val="0"/>
        <w:spacing w:before="0" w:after="0"/>
        <w:ind w:left="0" w:right="0" w:hanging="0"/>
        <w:jc w:val="both"/>
        <w:rPr>
          <w:caps w:val="false"/>
          <w:smallCaps w:val="false"/>
        </w:rPr>
      </w:pPr>
      <w:r>
        <w:rPr>
          <w:caps w:val="false"/>
          <w:smallCaps w:val="false"/>
        </w:rPr>
        <w:t> </w:t>
      </w:r>
    </w:p>
    <w:tbl>
      <w:tblPr>
        <w:tblW w:w="4303" w:type="dxa"/>
        <w:jc w:val="left"/>
        <w:tblInd w:w="0" w:type="dxa"/>
        <w:tblLayout w:type="fixed"/>
        <w:tblCellMar>
          <w:top w:w="0" w:type="dxa"/>
          <w:left w:w="0" w:type="dxa"/>
          <w:bottom w:w="0" w:type="dxa"/>
          <w:right w:w="0" w:type="dxa"/>
        </w:tblCellMar>
      </w:tblPr>
      <w:tblGrid>
        <w:gridCol w:w="1430"/>
        <w:gridCol w:w="60"/>
        <w:gridCol w:w="199"/>
        <w:gridCol w:w="1110"/>
        <w:gridCol w:w="60"/>
        <w:gridCol w:w="60"/>
        <w:gridCol w:w="199"/>
        <w:gridCol w:w="1110"/>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2025</w:t>
            </w:r>
          </w:p>
        </w:tc>
        <w:tc>
          <w:tcPr>
            <w:tcW w:w="7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sz w:val="20"/>
              </w:rPr>
            </w:pPr>
            <w:r>
              <w:rPr>
                <w:sz w:val="20"/>
              </w:rPr>
              <w:t>$</w:t>
            </w:r>
          </w:p>
        </w:tc>
        <w:tc>
          <w:tcPr>
            <w:tcW w:w="1110" w:type="dxa"/>
            <w:tcBorders/>
            <w:shd w:fill="CCEEFF" w:val="clear"/>
            <w:vAlign w:val="center"/>
          </w:tcPr>
          <w:p>
            <w:pPr>
              <w:pStyle w:val="TableContents"/>
              <w:bidi w:val="0"/>
              <w:spacing w:before="0" w:after="283"/>
              <w:jc w:val="right"/>
              <w:rPr>
                <w:sz w:val="20"/>
              </w:rPr>
            </w:pPr>
            <w:r>
              <w:rPr>
                <w:sz w:val="20"/>
              </w:rPr>
              <w:t>184,695</w:t>
            </w:r>
          </w:p>
        </w:tc>
        <w:tc>
          <w:tcPr>
            <w:tcW w:w="75" w:type="dxa"/>
            <w:tcBorders/>
            <w:shd w:fill="CCEEFF" w:val="clear"/>
            <w:vAlign w:val="center"/>
          </w:tcPr>
          <w:p>
            <w:pPr>
              <w:pStyle w:val="TableContents"/>
              <w:bidi w:val="0"/>
              <w:spacing w:before="0" w:after="283"/>
              <w:ind w:left="0" w:right="0" w:hanging="162"/>
              <w:jc w:val="left"/>
              <w:rPr/>
            </w:pPr>
            <w:r>
              <w:rPr/>
              <w:t> </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in process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322,814</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133,483</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inventories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553,718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640,992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BUSINESS 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MEMS-based sensing solutions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2025, the Company determined that there was a more-likely-than-not expectation of divesting its microelectromechanical system (“MEMS”)-based sensing solutions business and impairment testing was triggered, resulting in impairment charges to goodwill and intangible assets (developed technology) of approximately $47.8 million and $31.7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fiscal 2026, the Company sold its MEMS-based sensing solutions business for net cash proceeds of approximately $21.5 million, resulting in a gain of $19.2 million, which is recorded in “Other operating expense”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Silicon carbide power device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fiscal 2025, the Company determined that there was a more-likely-than-not expectation of divesting its silicon carbide (“SiC”) power device business (the “SiC Disposal Group”) and impairment testing was triggered, resulting in inventory write-downs of $13.7 million (for inventory expected to be disposed of) and impairments of goodwill and intangible assets (primarily developed technology) of $96.5 million and $16.6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fiscal 2025, the Company sold the SiC Disposal Group, which had a carrying value of $90.6 million, for net cash proceeds of approximately $117.5 million, resulting in a gain of $26.9 million, which is recorded in “Other operating expense” in the fiscal 2025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Assembly and test operations in Beijing and Dezhou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Company entered into a definitive agreement with Luxshare to divest its assembly and test operations in Beijing and Dezhou, China (the “China Disposal Group”). The China Disposal Group met the criteria to be classified as held for sale in accordance with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xml:space="preserve"> in the fourth quarter of fiscal 2024. As the carrying value of the China Disposal Group exceeded the fair value less costs to sell, a loss of $35.3 million (which included a goodwill write-off of $22.0 million) was recorded in “Other operating expense” in the fiscal 2024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sale of the China Disposal Group in the first quarter of fiscal 2025 for a purchase price of approximately $234.0 million, resulting in an incremental loss of $6.0 million (which included an additional goodwill write-off of $1.0 million) recorded in “Other operating expense” in the fiscal 2025 Consolidated Statement of Operations. The consideration received was for the cash on hand of the disposed business of $29.0 million, the assets and liabilities of the China Disposal Group of $76.0 million and inventory of $129.0 million. The cash received for inventory related to inventory that the Company sold to Luxshare and is obligated to repurchase at a future date subsequent to the performance of assembly and test services by Luxshare pursuant to a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received from the sale of the assets and liabilities of the China Disposal Group of $76.0 million was included in cash flows from investing activities in the fiscal 2025 Consolidated Statement of Cash Flows, net of a $20.0 million deposit received in fiscal 2024 upon execution of the definitive agreement (which was included in investing activities in the fiscal 2024 Consolidated Statement of Cash Flows). The net proceeds from the sale of inventory subject to repurchase by the Company is included in cash flows from financing activities in the Consolidated Statement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PROPERTY &amp;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property and equipment are as follows (in thousands):</w:t>
      </w:r>
    </w:p>
    <w:tbl>
      <w:tblPr>
        <w:tblW w:w="6053" w:type="dxa"/>
        <w:jc w:val="left"/>
        <w:tblInd w:w="0" w:type="dxa"/>
        <w:tblLayout w:type="fixed"/>
        <w:tblCellMar>
          <w:top w:w="0" w:type="dxa"/>
          <w:left w:w="0" w:type="dxa"/>
          <w:bottom w:w="0" w:type="dxa"/>
          <w:right w:w="0" w:type="dxa"/>
        </w:tblCellMar>
      </w:tblPr>
      <w:tblGrid>
        <w:gridCol w:w="3140"/>
        <w:gridCol w:w="60"/>
        <w:gridCol w:w="158"/>
        <w:gridCol w:w="1151"/>
        <w:gridCol w:w="80"/>
        <w:gridCol w:w="60"/>
        <w:gridCol w:w="158"/>
        <w:gridCol w:w="1151"/>
        <w:gridCol w:w="95"/>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2025</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20"/>
              </w:rPr>
            </w:pPr>
            <w:r>
              <w:rPr>
                <w:sz w:val="20"/>
              </w:rPr>
              <w:t>$</w:t>
            </w:r>
          </w:p>
        </w:tc>
        <w:tc>
          <w:tcPr>
            <w:tcW w:w="1151" w:type="dxa"/>
            <w:tcBorders/>
            <w:shd w:fill="CCEEFF" w:val="clear"/>
            <w:vAlign w:val="center"/>
          </w:tcPr>
          <w:p>
            <w:pPr>
              <w:pStyle w:val="TableContents"/>
              <w:bidi w:val="0"/>
              <w:spacing w:before="0" w:after="283"/>
              <w:jc w:val="right"/>
              <w:rPr>
                <w:sz w:val="20"/>
              </w:rPr>
            </w:pPr>
            <w:r>
              <w:rPr>
                <w:sz w:val="20"/>
              </w:rPr>
              <w:t>20,606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23,039</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and leasehold improvements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338,857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366,061</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2,159,937</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98,223</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 gross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2,647,260</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(1,781,169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(1,845,365</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710,392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801,895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carrying amount of goodwill for fiscal 2026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2720"/>
        <w:gridCol w:w="60"/>
        <w:gridCol w:w="125"/>
        <w:gridCol w:w="695"/>
        <w:gridCol w:w="60"/>
        <w:gridCol w:w="60"/>
        <w:gridCol w:w="125"/>
        <w:gridCol w:w="695"/>
        <w:gridCol w:w="80"/>
        <w:gridCol w:w="60"/>
        <w:gridCol w:w="125"/>
        <w:gridCol w:w="845"/>
        <w:gridCol w:w="60"/>
        <w:gridCol w:w="60"/>
        <w:gridCol w:w="125"/>
        <w:gridCol w:w="845"/>
        <w:gridCol w:w="9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March 29, 2025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421,464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252,317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1,715,960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2,389,741</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(36,515</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March 28, 2026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421,464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215,802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1,715,960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2,353,226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Company’s goodwill balance is presented net of accumulated impairment losses totaling $1,084.1 million and $1,047.6 million as of March 28, 2026 and March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 w:right="0" w:hanging="8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under three segments with a total of five reporting units as of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fiscal 2026, the Company consolidated its CSG organizational structure and realigned reporting units within CSG in order to align resources, improve efficiency and narrow its focus on a higher margin portfolio. The Company performed a goodwill impairment assessment for CSG’s reporting units immediately before and after the realignment and concluded that goodwill was not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due to slower than expected market adoption for certain technologies, the Company revised its forecasts for a reporting unit within the CSG segment and determined it was more likely than not that the fair value of the reporting unit was below its carrying amount, and impairment testing was triggered. The impairment testing resulted in impairments of goodwill and intangible assets (developed technology) of approximately $36.5 million and $45.9 million, respectively. The estimated fair values of the intangible assets and the reporting unit were determined using the income approach, and the significant inputs related to valuing these assets are classified as Level 3 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2025, the Company recorded goodwill and intangible asset impairment charges of approximately $96.5 million and $16.6 million, respectively, as a result of the expected divestiture of its SiC power device business, which constituted a reporting unit within the HPA segment. Additionally, the Company recorded goodwill and intangible asset impairment charges of approximately $47.8 million and $31.7 million, respectively, as a result of the expected divestiture of its MEMS-based sensing solutions business, which constituted a reporting unit within the CSG segment. In fiscal 2024, the Company recorded goodwill impairment charges totaling $221.4 million for a reporting unit within the CSG segment as a result of the Company’s interim goodwill impairment assessments. These impairment charges are recorded in “Goodwill and intangible asset impairment”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information regarding the gross carrying amounts and accumulated amortization of intangible assets (in thousands):</w:t>
      </w:r>
    </w:p>
    <w:p>
      <w:pPr>
        <w:pStyle w:val="TextBody"/>
        <w:bidi w:val="0"/>
        <w:spacing w:before="0" w:after="0"/>
        <w:ind w:left="0" w:right="0" w:hanging="0"/>
        <w:jc w:val="left"/>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1910"/>
        <w:gridCol w:w="60"/>
        <w:gridCol w:w="125"/>
        <w:gridCol w:w="695"/>
        <w:gridCol w:w="60"/>
        <w:gridCol w:w="60"/>
        <w:gridCol w:w="167"/>
        <w:gridCol w:w="933"/>
        <w:gridCol w:w="60"/>
        <w:gridCol w:w="60"/>
        <w:gridCol w:w="125"/>
        <w:gridCol w:w="695"/>
        <w:gridCol w:w="60"/>
        <w:gridCol w:w="60"/>
        <w:gridCol w:w="167"/>
        <w:gridCol w:w="933"/>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br/>
              <w:t>Carrying</w:t>
              <w:b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br/>
              <w:t>Amortization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br/>
              <w:t>Carrying</w:t>
              <w:b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br/>
              <w:t>Amortization</w:t>
            </w:r>
          </w:p>
        </w:tc>
        <w:tc>
          <w:tcPr>
            <w:tcW w:w="7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330,939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239,563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627,038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933" w:type="dxa"/>
            <w:tcBorders/>
            <w:shd w:fill="CCEEFF" w:val="clear"/>
            <w:vAlign w:val="center"/>
          </w:tcPr>
          <w:p>
            <w:pPr>
              <w:pStyle w:val="TableContents"/>
              <w:bidi w:val="0"/>
              <w:spacing w:before="0" w:after="283"/>
              <w:jc w:val="right"/>
              <w:rPr>
                <w:sz w:val="20"/>
              </w:rPr>
            </w:pPr>
            <w:r>
              <w:rPr>
                <w:sz w:val="20"/>
              </w:rPr>
              <w:t>427,366</w:t>
            </w:r>
          </w:p>
        </w:tc>
        <w:tc>
          <w:tcPr>
            <w:tcW w:w="75" w:type="dxa"/>
            <w:tcBorders/>
            <w:shd w:fill="CCEEFF" w:val="clear"/>
            <w:vAlign w:val="center"/>
          </w:tcPr>
          <w:p>
            <w:pPr>
              <w:pStyle w:val="TableContents"/>
              <w:bidi w:val="0"/>
              <w:spacing w:before="0" w:after="283"/>
              <w:ind w:left="0" w:right="0" w:hanging="162"/>
              <w:jc w:val="left"/>
              <w:rPr/>
            </w:pPr>
            <w:r>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62,111</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licenses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29,876</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IPRD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793,093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519,615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Amounts include the impact of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intangible assets amortization expense was $111.1 million, $133.6 million and $127.9 million in fiscal years 2026,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Company’s estimated amortization expense for intangible assets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28" w:type="dxa"/>
          <w:right w:w="0" w:type="dxa"/>
        </w:tblCellMar>
      </w:tblPr>
      <w:tblGrid>
        <w:gridCol w:w="935"/>
        <w:gridCol w:w="60"/>
        <w:gridCol w:w="192"/>
        <w:gridCol w:w="908"/>
        <w:gridCol w:w="75"/>
      </w:tblGrid>
      <w:tr>
        <w:trPr/>
        <w:tc>
          <w:tcPr>
            <w:tcW w:w="9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w:t>
              <w:br/>
              <w:t>Amortization</w:t>
              <w:br/>
              <w:t>Expense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sz w:val="20"/>
              </w:rPr>
            </w:pPr>
            <w:r>
              <w:rPr>
                <w:sz w:val="20"/>
              </w:rPr>
              <w:t>$</w:t>
            </w:r>
          </w:p>
        </w:tc>
        <w:tc>
          <w:tcPr>
            <w:tcW w:w="908" w:type="dxa"/>
            <w:tcBorders/>
            <w:shd w:fill="CCEEFF" w:val="clear"/>
            <w:tcMar>
              <w:bottom w:w="0" w:type="dxa"/>
            </w:tcMar>
            <w:vAlign w:val="center"/>
          </w:tcPr>
          <w:p>
            <w:pPr>
              <w:pStyle w:val="TableContents"/>
              <w:bidi w:val="0"/>
              <w:spacing w:before="0" w:after="283"/>
              <w:jc w:val="right"/>
              <w:rPr>
                <w:sz w:val="20"/>
              </w:rPr>
            </w:pPr>
            <w:r>
              <w:rPr>
                <w:sz w:val="20"/>
              </w:rPr>
              <w:t>53,000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are classified in the Consolidated Balance Sheets as follows (in thousands):</w:t>
      </w:r>
    </w:p>
    <w:p>
      <w:pPr>
        <w:pStyle w:val="TextBody"/>
        <w:bidi w:val="0"/>
        <w:spacing w:before="0" w:after="0"/>
        <w:ind w:left="0" w:right="0" w:hanging="0"/>
        <w:jc w:val="left"/>
        <w:rPr>
          <w:caps w:val="false"/>
          <w:smallCaps w:val="false"/>
        </w:rPr>
      </w:pPr>
      <w:r>
        <w:rPr>
          <w:caps w:val="false"/>
          <w:smallCaps w:val="false"/>
        </w:rPr>
        <w:t> </w:t>
      </w:r>
    </w:p>
    <w:tbl>
      <w:tblPr>
        <w:tblW w:w="5023" w:type="dxa"/>
        <w:jc w:val="left"/>
        <w:tblInd w:w="0" w:type="dxa"/>
        <w:tblLayout w:type="fixed"/>
        <w:tblCellMar>
          <w:top w:w="0" w:type="dxa"/>
          <w:left w:w="0" w:type="dxa"/>
          <w:bottom w:w="0" w:type="dxa"/>
          <w:right w:w="0" w:type="dxa"/>
        </w:tblCellMar>
      </w:tblPr>
      <w:tblGrid>
        <w:gridCol w:w="2150"/>
        <w:gridCol w:w="60"/>
        <w:gridCol w:w="229"/>
        <w:gridCol w:w="1080"/>
        <w:gridCol w:w="60"/>
        <w:gridCol w:w="60"/>
        <w:gridCol w:w="229"/>
        <w:gridCol w:w="1080"/>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2025</w:t>
            </w:r>
          </w:p>
        </w:tc>
        <w:tc>
          <w:tcPr>
            <w:tcW w:w="7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58,511</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16,562</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operating leases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9065" w:type="dxa"/>
        <w:jc w:val="left"/>
        <w:tblInd w:w="0" w:type="dxa"/>
        <w:tblLayout w:type="fixed"/>
        <w:tblCellMar>
          <w:top w:w="0" w:type="dxa"/>
          <w:left w:w="0" w:type="dxa"/>
          <w:bottom w:w="0" w:type="dxa"/>
          <w:right w:w="0" w:type="dxa"/>
        </w:tblCellMar>
      </w:tblPr>
      <w:tblGrid>
        <w:gridCol w:w="6545"/>
        <w:gridCol w:w="60"/>
        <w:gridCol w:w="125"/>
        <w:gridCol w:w="590"/>
        <w:gridCol w:w="60"/>
        <w:gridCol w:w="60"/>
        <w:gridCol w:w="125"/>
        <w:gridCol w:w="590"/>
        <w:gridCol w:w="60"/>
        <w:gridCol w:w="60"/>
        <w:gridCol w:w="125"/>
        <w:gridCol w:w="590"/>
        <w:gridCol w:w="75"/>
      </w:tblGrid>
      <w:tr>
        <w:trPr/>
        <w:tc>
          <w:tcPr>
            <w:tcW w:w="6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7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19,172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21,531</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lease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7,359</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5,323</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22,471</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obtained in exchange for new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remaining lease term and weighted-average discount rate for operating leases are as follows:</w:t>
      </w:r>
    </w:p>
    <w:p>
      <w:pPr>
        <w:pStyle w:val="TextBody"/>
        <w:bidi w:val="0"/>
        <w:spacing w:before="0" w:after="0"/>
        <w:ind w:left="0" w:right="0" w:hanging="0"/>
        <w:jc w:val="left"/>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3830"/>
        <w:gridCol w:w="60"/>
        <w:gridCol w:w="177"/>
        <w:gridCol w:w="1132"/>
        <w:gridCol w:w="185"/>
        <w:gridCol w:w="60"/>
        <w:gridCol w:w="177"/>
        <w:gridCol w:w="1132"/>
        <w:gridCol w:w="20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 lease term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future lease payments for operating leases as of March 28, 2026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470" w:type="dxa"/>
        <w:jc w:val="left"/>
        <w:tblInd w:w="0" w:type="dxa"/>
        <w:tblLayout w:type="fixed"/>
        <w:tblCellMar>
          <w:top w:w="0" w:type="dxa"/>
          <w:left w:w="0" w:type="dxa"/>
          <w:bottom w:w="28" w:type="dxa"/>
          <w:right w:w="0" w:type="dxa"/>
        </w:tblCellMar>
      </w:tblPr>
      <w:tblGrid>
        <w:gridCol w:w="2600"/>
        <w:gridCol w:w="60"/>
        <w:gridCol w:w="125"/>
        <w:gridCol w:w="590"/>
        <w:gridCol w:w="95"/>
      </w:tblGrid>
      <w:tr>
        <w:trPr/>
        <w:tc>
          <w:tcPr>
            <w:tcW w:w="26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60" w:type="dxa"/>
            <w:tcBorders/>
            <w:tcMar>
              <w:bottom w:w="0" w:type="dxa"/>
            </w:tcMar>
            <w:vAlign w:val="center"/>
          </w:tcPr>
          <w:p>
            <w:pPr>
              <w:pStyle w:val="TableContents"/>
              <w:bidi w:val="0"/>
              <w:spacing w:before="0" w:after="283"/>
              <w:jc w:val="left"/>
              <w:rPr/>
            </w:pPr>
            <w:r>
              <w:rPr/>
              <w:t> </w:t>
            </w:r>
          </w:p>
        </w:tc>
        <w:tc>
          <w:tcPr>
            <w:tcW w:w="7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10,320</w:t>
            </w:r>
          </w:p>
        </w:tc>
        <w:tc>
          <w:tcPr>
            <w:tcW w:w="95" w:type="dxa"/>
            <w:tcBorders/>
            <w:shd w:fill="FFFFFF" w:val="clear"/>
            <w:tcMar>
              <w:bottom w:w="0" w:type="dxa"/>
            </w:tcM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future lease 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63,806</w:t>
            </w:r>
          </w:p>
        </w:tc>
        <w:tc>
          <w:tcPr>
            <w:tcW w:w="95" w:type="dxa"/>
            <w:tcBorders/>
            <w:shd w:fill="CCEEFF" w:val="clear"/>
            <w:tcMar>
              <w:bottom w:w="0" w:type="dxa"/>
            </w:tcM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(6,723</w:t>
            </w:r>
          </w:p>
        </w:tc>
        <w:tc>
          <w:tcPr>
            <w:tcW w:w="95" w:type="dxa"/>
            <w:tcBorders/>
            <w:shd w:fill="FFFFFF" w:val="clear"/>
            <w:tcMar>
              <w:bottom w:w="0" w:type="dxa"/>
            </w:tcM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value of lease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57,083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outstanding debt (in thousands):</w:t>
      </w:r>
    </w:p>
    <w:p>
      <w:pPr>
        <w:pStyle w:val="TextBody"/>
        <w:bidi w:val="0"/>
        <w:spacing w:before="0" w:after="0"/>
        <w:ind w:left="0" w:right="0" w:hanging="0"/>
        <w:jc w:val="left"/>
        <w:rPr>
          <w:caps w:val="false"/>
          <w:smallCaps w:val="false"/>
        </w:rPr>
      </w:pPr>
      <w:r>
        <w:rPr>
          <w:caps w:val="false"/>
          <w:smallCaps w:val="false"/>
        </w:rPr>
        <w:t> </w:t>
      </w:r>
    </w:p>
    <w:tbl>
      <w:tblPr>
        <w:tblW w:w="6638" w:type="dxa"/>
        <w:jc w:val="left"/>
        <w:tblInd w:w="0" w:type="dxa"/>
        <w:tblLayout w:type="fixed"/>
        <w:tblCellMar>
          <w:top w:w="0" w:type="dxa"/>
          <w:left w:w="0" w:type="dxa"/>
          <w:bottom w:w="0" w:type="dxa"/>
          <w:right w:w="0" w:type="dxa"/>
        </w:tblCellMar>
      </w:tblPr>
      <w:tblGrid>
        <w:gridCol w:w="3725"/>
        <w:gridCol w:w="60"/>
        <w:gridCol w:w="168"/>
        <w:gridCol w:w="1141"/>
        <w:gridCol w:w="80"/>
        <w:gridCol w:w="60"/>
        <w:gridCol w:w="168"/>
        <w:gridCol w:w="1141"/>
        <w:gridCol w:w="9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2025</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senior notes due 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20"/>
              </w:rPr>
            </w:pPr>
            <w:r>
              <w:rPr>
                <w:sz w:val="20"/>
              </w:rPr>
              <w:t>$</w:t>
            </w:r>
          </w:p>
        </w:tc>
        <w:tc>
          <w:tcPr>
            <w:tcW w:w="1141" w:type="dxa"/>
            <w:tcBorders/>
            <w:shd w:fill="CCEEFF" w:val="clear"/>
            <w:vAlign w:val="center"/>
          </w:tcPr>
          <w:p>
            <w:pPr>
              <w:pStyle w:val="TableContents"/>
              <w:bidi w:val="0"/>
              <w:spacing w:before="0" w:after="283"/>
              <w:jc w:val="right"/>
              <w:rPr>
                <w:sz w:val="20"/>
              </w:rPr>
            </w:pPr>
            <w:r>
              <w:rPr>
                <w:sz w:val="20"/>
              </w:rPr>
              <w:t>850,000</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 senior notes due 2031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premium and issuance costs,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debt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1,549,154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1,549,215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$325.0 million senior revolving line of credit (the “Revolving Facility”). Up to $25.0 million of the Revolving Facility may be used for the issuance of standby letters of credit, and up to $10.0 million of the Revolving Facility may be used for swing line advances (i.e., short-term borrowings made available from the lead lender). The Company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2026, there were no borrowings under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various conditions, covenants and representations with which the Company must be in compliance in order to borrow funds and to avoid an event of default. As of March 28, 2026, the Company was in compliance with these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Notes due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2021, the Company issued $500.0 million aggregate principal amount of its 1.750% senior notes due 2024 (the “2024 Notes”). The Company repurchased $27.3 million and $60.3 million of the principal amount of the 2024 Notes in fiscal years 2025 and 2024, respectively, plus accrued and unpaid interest, on the open market, and recognized net gains on debt extinguishment of $0.6 million and $1.8 million in fiscal years 2025 and 2024, respectively, which is included in “Other income, net” in the Consolidated Statements of Operations. The Company repaid the remaining principal balance of $412.5 million of the 2024 Notes, plus accrued and unpaid interest, with cash on hand upon maturity in December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on the 2024 Notes during fiscal years 2025 and 2024 was $7.2 million and $8.6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Company may redeem the 2029 Notes, in whole or in part, at the redemption prices specified in the 2019 Indenture, plus accrued and unpaid interest. The 2019 Indenture contains customary events of default, including payment default, exchange default, failure to provide certain notices thereunder and certain provisions related to bankruptcy events. The 2019 Indenture also contains customary 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is payable on the 2029 Notes on April 15 and October 15 of each year. Interest paid on the 2029 Notes during each of the fiscal years 2026, 2025 and 2024 was $37.2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2031 Notes were issued pursuant to an indenture, dated as of September 29, 2020, by and among the Company, the Guarantors and MUFG Union Bank, N.A., as trustee (the “2020 Indenture”). The Company may redeem the 2031 Notes, in whole or in part, at the redemption prices specified in the 2020 Indenture, plus accrued and unpaid interest. The 2020 Indenture contains substantially the same customary events of default and negative covenants as the 2019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2031 Notes have not been and will not be registered under the Securities Act of 1933, as amended (the “Securities Act”), or any state securities laws, and may not be offered or sold in the United States absent an applicable exemption from the registration requirements of the Securities Act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is payable on the 2031 Notes on April 1 and October 1 of each year. Interest paid on the 2031 Notes during fiscal years 2026, 2025 and 2024 was $23.6 million, $23.6 million and $11.8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debt is carried at amortized cost and is measured at fair value quarterly for disclosure purposes. The estimated fair value of the 2029 Notes and the 2031 Notes as of March 28, 2026 was $829.4 million and $629.5 million, respectively (compared to the outstanding principal amount of $850.0 million and $700.0 million, respectively). The estimated fair value of the 2029 Notes and the 2031 Notes as of March 29, 2025 was $812.8 million and $613.5 million, respectively (compared to the outstanding principal amount of $850.0 million and $700.0 million, respectively). The Company considers its debt to be Level 2 in the fair value hierarchy. Fair values are estimated based on quoted market prices for identical or similar instruments. The 2029 Notes and the 2031 Notes currently trade over-the-counter, and the fair values were estimated based upon the value of the last trade at the end of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2026, the Company recognized $76.5 million of interest expense primarily related to the 2029 Notes and the 2031 Notes, which was partially offset by $3.3 million of interest capitalized to property and equipment. During fiscal 2025, the Company recognized $82.2 million of interest expense primarily related to the 2024 Notes, the 2029 Notes and the 2031 Notes, which was partially offset by $3.9 million of interest capitalized to property and equipment. Interest expense in fiscal years 2026 and 2025 also includes financing costs related to certain inventory (subject to repurchase) in connection with a supply agreement. During fiscal 2024, the Company recognized $72.1 million of interest expense primarily related to the 2024 Notes, the 2029 Notes and the 2031 Notes, which was partially offset by $2.9 million of interest capitalized to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RETIREMENT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Contribution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tax-beneficial retirement contribution plans to eligible employees in the U.S. and certain other countries. Eligible employees in certain countries outside of the U.S. are eligible to participate in stakeholder, group, or national pension plans with differing eligibility and contributory requirements based on local and national regulations. U.S. employees are eligible to participate in the Company’s fully qualified 401(k) plan 30 days after their date of hire. An employee may contribute and invest pretax and/or Roth dollars into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total, the Company contributed $23.2 million, $23.5 million and $20.3 million to its domestic and foreign defined contribution plans during fiscal years 2026,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Benefit Pension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two qualified defined benefit pension plans for its subsidiaries located in Germany. One of the plans is funded through a self-paid reinsurance program with assets valued at $3.8 million as of March 28, 2026 and March 29, 2025 (included in “Other non-current assets” in the Consolidated Balance Sheets). The pension benefit obligations of the Company’s plans totaled $9.4 million and $9.2 million as of March 28, 2026 and March 29, 2025, respectively, which is included in “Accrued liabilities” and “Other long-term liabilities” in the Consolidated Balance Sheets. The benefit obligations for the plans are calculated annually by an independent actuary and require the use of significant judgment including assumptions based on local economic conditions. The net periodic benefit cost was approximately $0.5 million for fiscal years 2026,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Non-Qualified Deferred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employees and members of the Board of Directors are eligible to participate in the Company’s Non-Qualified Deferred Compensation Plan (the “NQDC Plan”). The NQDC Plan provides eligible participants the opportunity to defer and invest a specified percentage of their cash compensation. The NQDC Plan is a non-qualified plan that is maintained in a rabbi trust, which restricts the Company’s use and access to the assets held but is subject to the claims of the Company’s general creditors in the event that the Company becomes insolvent. The amount of compensation to be deferred by each participant is based on their own elections and is adjusted for any investment changes that the participant directs. This plan does not provide for employer contributions. The deferred compensation obligation and the fair value of the investments held in the rabbi trust were $66.4 million and $58.4 million as of March 28, 2026 and March 29, 2025, respectively. The current portion of the deferred compensation obligation and fair value of the assets held in the rabbi trust were $3.9 million and $2.9 million as of March 28, 2026 and March 29, 2025, respectively, and are included in “Other current assets” and “Accrued liabilities” in the Consolidated Balance Sheets. The non-current portion of the deferred compensation obligation and fair value of the assets held in the rabbi trust were $62.5 million and $55.5 million as of March 28, 2026 and March 29, 2025, respectively, and are included in “Other non-current assets” and “Other long-term liabilities” in the Consolidated Balance Sheets. Fluctuations in the market value of the investments held in the rabbi trust result in the recognition of an investment gain or loss and deferred compensation expense or income. The change in the market value of the assets and the corresponding deferred compensation expense are recognized in “Other income, net” and “Other operating expenses,” respectively,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COMMITMENTS AND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purchase obligations include noncancelable purchases of materials, manufacturing services and equipment and software, with the majority of payments due within the next 12 months. The majority of noncancelable purchase obligations are not recorded as liabilities in the Consolidated Balance Sheet because the Company has not received the related goods or services as of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fiscal 2026, the Company initiated further actions to reduce operating expenses, streamline its manufacturing footprint and accelerate its focus on long-term profitability objectives (the “2026 Restructuring Initiatives”). As part of these actions, the Company decided to close its North Carolina fabrication facility and transfer surface acoustic wave filter production to its Texas fabrication facility. In the fourth quarter of fiscal 2026, the Company completed the sale of its North Carolina fabrication facility for net proceeds of $36.8 million, resulting in a net gain on sale of $7.9 million, and is operating under a short-term supply agreement with the buyer until the Company completes the transfer of SAW filter production to its Texas facility. In addition, the Company consolidated the CSG organizational structure as it continues to align total Company resources, improve efficiency and narrow its focus on a higher margin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charges resulting from the 2026 Restructuring Initiatives (in thousands):</w:t>
      </w:r>
    </w:p>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530"/>
        <w:gridCol w:w="60"/>
        <w:gridCol w:w="326"/>
        <w:gridCol w:w="1268"/>
        <w:gridCol w:w="60"/>
        <w:gridCol w:w="60"/>
        <w:gridCol w:w="359"/>
        <w:gridCol w:w="1700"/>
        <w:gridCol w:w="80"/>
        <w:gridCol w:w="60"/>
        <w:gridCol w:w="125"/>
        <w:gridCol w:w="590"/>
        <w:gridCol w:w="9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2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termination and other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11,562</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impairment costs and gain on sale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(6,131</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employee termination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37,086</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42,517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Operating Expense” includes a gain on sale of the North Carolina fabrication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incur additional charges associated with the 2026 Restructuring Initiatives of approximately $10.0 million to $20.0 million, primarily related to employee termination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liability activity related to the 2026 Restructuring Initiative (in thousands):</w:t>
      </w:r>
    </w:p>
    <w:p>
      <w:pPr>
        <w:pStyle w:val="TextBody"/>
        <w:bidi w:val="0"/>
        <w:spacing w:before="0" w:after="0"/>
        <w:ind w:left="0" w:right="0" w:hanging="0"/>
        <w:jc w:val="left"/>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4220"/>
        <w:gridCol w:w="60"/>
        <w:gridCol w:w="280"/>
        <w:gridCol w:w="1464"/>
        <w:gridCol w:w="80"/>
        <w:gridCol w:w="60"/>
        <w:gridCol w:w="464"/>
        <w:gridCol w:w="2195"/>
        <w:gridCol w:w="80"/>
        <w:gridCol w:w="60"/>
        <w:gridCol w:w="125"/>
        <w:gridCol w:w="650"/>
        <w:gridCol w:w="9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One-Time Employee </w:t>
              <w:br/>
              <w:t>Termination Benefits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Termination and Other </w:t>
              <w:br/>
              <w:t>Costs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restructuring balance as of March 29,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and charged to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48,648</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1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(19,299</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restructuring balance as of March 28, 2026</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46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19,856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29,349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additional immaterial legal fees and other costs in fiscal 2026 in connection with other miscellaneous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2025, the Company initiated actions to reduce operating expenses, streamline its manufacturing footprint and focus on opportunities that align with its long-term profitability objectives (the “2025 Restructuring Initiatives”). As part of these actions, the Company reduced its workforce related to its mass-market Android business, sold its SiC power device business, cancelled certain multiyear projects to update the Company’s core business systems, and began to seek strategic alternatives related to its MEMS-based sensing solutions business. In the third quarter of fiscal 2026, the Company completed the sale of its MEMS-based sensing solutions business, resulting in a gain of $19.2 million, which is included in “Other operating expense”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5 for additional information regarding the divestitures of the SiC power device business and the MEMS-based sensing solutions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charges resulting from the 2025 Restructuring Initiatives (in thousands):</w:t>
      </w:r>
    </w:p>
    <w:p>
      <w:pPr>
        <w:pStyle w:val="TextBody"/>
        <w:bidi w:val="0"/>
        <w:spacing w:before="0" w:after="0"/>
        <w:ind w:left="0" w:right="0" w:hanging="0"/>
        <w:jc w:val="left"/>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4475"/>
        <w:gridCol w:w="60"/>
        <w:gridCol w:w="326"/>
        <w:gridCol w:w="1268"/>
        <w:gridCol w:w="60"/>
        <w:gridCol w:w="60"/>
        <w:gridCol w:w="212"/>
        <w:gridCol w:w="1112"/>
        <w:gridCol w:w="80"/>
        <w:gridCol w:w="60"/>
        <w:gridCol w:w="125"/>
        <w:gridCol w:w="650"/>
        <w:gridCol w:w="9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w:t>
              <w:br/>
              <w:t>Expense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termination and other costs</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sz w:val="20"/>
              </w:rPr>
            </w:pPr>
            <w:r>
              <w:rPr>
                <w:sz w:val="20"/>
              </w:rPr>
              <w:t>$</w:t>
            </w:r>
          </w:p>
        </w:tc>
        <w:tc>
          <w:tcPr>
            <w:tcW w:w="1268" w:type="dxa"/>
            <w:tcBorders/>
            <w:shd w:fill="CCEEFF" w:val="clear"/>
            <w:vAlign w:val="center"/>
          </w:tcPr>
          <w:p>
            <w:pPr>
              <w:pStyle w:val="TableContents"/>
              <w:bidi w:val="0"/>
              <w:spacing w:before="0" w:after="283"/>
              <w:jc w:val="right"/>
              <w:rPr>
                <w:sz w:val="20"/>
              </w:rPr>
            </w:pPr>
            <w:r>
              <w:rPr>
                <w:sz w:val="20"/>
              </w:rPr>
              <w:t>3,430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50" w:type="dxa"/>
            <w:tcBorders/>
            <w:shd w:fill="CCEEFF" w:val="clear"/>
            <w:vAlign w:val="center"/>
          </w:tcPr>
          <w:p>
            <w:pPr>
              <w:pStyle w:val="TableContents"/>
              <w:bidi w:val="0"/>
              <w:spacing w:before="0" w:after="283"/>
              <w:jc w:val="right"/>
              <w:rPr>
                <w:sz w:val="20"/>
              </w:rPr>
            </w:pPr>
            <w:r>
              <w:rPr>
                <w:sz w:val="20"/>
              </w:rPr>
              <w:t>16,173</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impairment costs and gain on sale of business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(17,188</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employee termination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9692" w:type="dxa"/>
        <w:jc w:val="left"/>
        <w:tblInd w:w="0" w:type="dxa"/>
        <w:tblLayout w:type="fixed"/>
        <w:tblCellMar>
          <w:top w:w="0" w:type="dxa"/>
          <w:left w:w="0" w:type="dxa"/>
          <w:bottom w:w="0" w:type="dxa"/>
          <w:right w:w="0" w:type="dxa"/>
        </w:tblCellMar>
      </w:tblPr>
      <w:tblGrid>
        <w:gridCol w:w="4100"/>
        <w:gridCol w:w="60"/>
        <w:gridCol w:w="278"/>
        <w:gridCol w:w="1316"/>
        <w:gridCol w:w="60"/>
        <w:gridCol w:w="60"/>
        <w:gridCol w:w="203"/>
        <w:gridCol w:w="1136"/>
        <w:gridCol w:w="60"/>
        <w:gridCol w:w="60"/>
        <w:gridCol w:w="212"/>
        <w:gridCol w:w="1112"/>
        <w:gridCol w:w="80"/>
        <w:gridCol w:w="60"/>
        <w:gridCol w:w="125"/>
        <w:gridCol w:w="695"/>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w:t>
              <w:br/>
              <w:t>Intangible Asset</w:t>
              <w:br/>
              <w:t>Impairment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w:t>
              <w:br/>
              <w:t>Expense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7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termination and other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sz w:val="20"/>
              </w:rPr>
            </w:pPr>
            <w:r>
              <w:rPr>
                <w:sz w:val="20"/>
              </w:rPr>
              <w:t>$</w:t>
            </w:r>
          </w:p>
        </w:tc>
        <w:tc>
          <w:tcPr>
            <w:tcW w:w="1112" w:type="dxa"/>
            <w:tcBorders/>
            <w:shd w:fill="CCEEFF" w:val="clear"/>
            <w:vAlign w:val="center"/>
          </w:tcPr>
          <w:p>
            <w:pPr>
              <w:pStyle w:val="TableContents"/>
              <w:bidi w:val="0"/>
              <w:spacing w:before="0" w:after="283"/>
              <w:jc w:val="right"/>
              <w:rPr>
                <w:sz w:val="20"/>
              </w:rPr>
            </w:pPr>
            <w:r>
              <w:rPr>
                <w:sz w:val="20"/>
              </w:rPr>
              <w:t>43,443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55,065</w:t>
            </w:r>
          </w:p>
        </w:tc>
        <w:tc>
          <w:tcPr>
            <w:tcW w:w="75" w:type="dxa"/>
            <w:tcBorders/>
            <w:shd w:fill="CCEEFF" w:val="clear"/>
            <w:vAlign w:val="center"/>
          </w:tcPr>
          <w:p>
            <w:pPr>
              <w:pStyle w:val="TableContents"/>
              <w:bidi w:val="0"/>
              <w:spacing w:before="0" w:after="283"/>
              <w:ind w:left="0" w:right="0" w:hanging="162"/>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impairments and gain on sale of business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196,014</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employee termination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7,788</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258,867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Operating Expense” in fiscal 2026 includes a gain on sale of the MEMS-based sensing solutions business.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“Other Operating Expense” in fiscal 2025 includes a gain on sale of the SiC power device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28, 2026, the Company has recorded cumulative expenses of approximately $71.2 million for contract termination and other costs, $178.8 million for asset impairment costs and gain on sales of businesses, and $13.2 million for one-time employee termination benefits as a result of the 2025 Restructuring Initiatives. The Company does not expect to incur additional material charges related to the 2025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liability activity related to the 2025 Restructuring Initiatives (in thousands):</w:t>
      </w:r>
    </w:p>
    <w:p>
      <w:pPr>
        <w:pStyle w:val="TextBody"/>
        <w:bidi w:val="0"/>
        <w:spacing w:before="0" w:after="0"/>
        <w:ind w:left="0" w:right="0" w:hanging="0"/>
        <w:jc w:val="left"/>
        <w:rPr>
          <w:caps w:val="false"/>
          <w:smallCaps w:val="false"/>
        </w:rPr>
      </w:pPr>
      <w:r>
        <w:rPr>
          <w:caps w:val="false"/>
          <w:smallCaps w:val="false"/>
        </w:rPr>
        <w:t> </w:t>
      </w:r>
    </w:p>
    <w:tbl>
      <w:tblPr>
        <w:tblW w:w="9293" w:type="dxa"/>
        <w:jc w:val="left"/>
        <w:tblInd w:w="0" w:type="dxa"/>
        <w:tblLayout w:type="fixed"/>
        <w:tblCellMar>
          <w:top w:w="0" w:type="dxa"/>
          <w:left w:w="0" w:type="dxa"/>
          <w:bottom w:w="0" w:type="dxa"/>
          <w:right w:w="0" w:type="dxa"/>
        </w:tblCellMar>
      </w:tblPr>
      <w:tblGrid>
        <w:gridCol w:w="4220"/>
        <w:gridCol w:w="60"/>
        <w:gridCol w:w="325"/>
        <w:gridCol w:w="1419"/>
        <w:gridCol w:w="80"/>
        <w:gridCol w:w="60"/>
        <w:gridCol w:w="341"/>
        <w:gridCol w:w="1778"/>
        <w:gridCol w:w="80"/>
        <w:gridCol w:w="60"/>
        <w:gridCol w:w="125"/>
        <w:gridCol w:w="650"/>
        <w:gridCol w:w="9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Employee</w:t>
              <w:br/>
              <w:t>Termination Benefits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Termination and</w:t>
              <w:br/>
              <w:t>Other Costs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restructuring balance as of March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and charged to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51,231</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(20,266</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restructuring balance as of March 29, 2025</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41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30,965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and charged to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18,130</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(22,162</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restructuring balance as of March 28, 2026</w:t>
            </w:r>
          </w:p>
        </w:tc>
        <w:tc>
          <w:tcPr>
            <w:tcW w:w="60"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41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Restructuring Initiative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2025 and 2024, the Company incurred $18.3 million and $53.0 million, respectively, in restructuring-related charges in connection with an initiative that began in fiscal 2024 to divest its assembly and test operations in China (the “2024 Restructuring Initiative”). The sale of these operations was completed in the first quarter of fiscal 2025 (refer to Note 5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immaterial costs in fiscal 2026 as a result of the 2024 Restructuring Initiative.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2024, the Company incurred $37.4 million in restructuring-related charges in connection with initiatives that began in fiscal 2023 to improve efficiencies in its operations and further align the organization with its strategic objectives, which primarily included seeking strategic alternatives related to its biotechnology business (the “2023 Restructuring Initiatives”). The Company completed the sale of its biotechnology business in the third quarter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immaterial costs in fiscal 2026 and fiscal 2025 as a result of the 2023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 consists of the following components (in thousands):</w:t>
      </w:r>
    </w:p>
    <w:p>
      <w:pPr>
        <w:pStyle w:val="TextBody"/>
        <w:bidi w:val="0"/>
        <w:spacing w:before="0" w:after="0"/>
        <w:ind w:left="0" w:right="0" w:hanging="0"/>
        <w:jc w:val="both"/>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1115"/>
        <w:gridCol w:w="60"/>
        <w:gridCol w:w="125"/>
        <w:gridCol w:w="755"/>
        <w:gridCol w:w="80"/>
        <w:gridCol w:w="60"/>
        <w:gridCol w:w="125"/>
        <w:gridCol w:w="755"/>
        <w:gridCol w:w="80"/>
        <w:gridCol w:w="60"/>
        <w:gridCol w:w="125"/>
        <w:gridCol w:w="755"/>
        <w:gridCol w:w="9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(405,546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(281,790</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500,688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355,350</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398,273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65,899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73,560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income tax provision are as follows (in thousands):</w:t>
      </w:r>
    </w:p>
    <w:tbl>
      <w:tblPr>
        <w:tblW w:w="5330" w:type="dxa"/>
        <w:jc w:val="left"/>
        <w:tblInd w:w="0" w:type="dxa"/>
        <w:tblLayout w:type="fixed"/>
        <w:tblCellMar>
          <w:top w:w="0" w:type="dxa"/>
          <w:left w:w="0" w:type="dxa"/>
          <w:bottom w:w="0" w:type="dxa"/>
          <w:right w:w="0" w:type="dxa"/>
        </w:tblCellMar>
      </w:tblPr>
      <w:tblGrid>
        <w:gridCol w:w="2525"/>
        <w:gridCol w:w="60"/>
        <w:gridCol w:w="125"/>
        <w:gridCol w:w="650"/>
        <w:gridCol w:w="80"/>
        <w:gridCol w:w="60"/>
        <w:gridCol w:w="125"/>
        <w:gridCol w:w="650"/>
        <w:gridCol w:w="80"/>
        <w:gridCol w:w="60"/>
        <w:gridCol w:w="125"/>
        <w:gridCol w:w="695"/>
        <w:gridCol w:w="9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50" w:type="dxa"/>
            <w:tcBorders/>
            <w:shd w:fill="FFFFFF" w:val="clear"/>
            <w:vAlign w:val="center"/>
          </w:tcPr>
          <w:p>
            <w:pPr>
              <w:pStyle w:val="TableContents"/>
              <w:bidi w:val="0"/>
              <w:spacing w:before="0" w:after="283"/>
              <w:jc w:val="right"/>
              <w:rPr>
                <w:sz w:val="20"/>
              </w:rPr>
            </w:pPr>
            <w:r>
              <w:rPr>
                <w:sz w:val="20"/>
              </w:rPr>
              <w:t>4,125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50" w:type="dxa"/>
            <w:tcBorders/>
            <w:shd w:fill="FFFFFF" w:val="clear"/>
            <w:vAlign w:val="center"/>
          </w:tcPr>
          <w:p>
            <w:pPr>
              <w:pStyle w:val="TableContents"/>
              <w:bidi w:val="0"/>
              <w:spacing w:before="0" w:after="283"/>
              <w:jc w:val="right"/>
              <w:rPr>
                <w:sz w:val="20"/>
              </w:rPr>
            </w:pPr>
            <w:r>
              <w:rPr>
                <w:sz w:val="20"/>
              </w:rPr>
              <w:t>19,482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36,155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124,477</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6,532</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59,284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143,882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U.S. federal statutory income tax rate to the Company’s effective tax rate, pursuant to the disclosure requirements of ASU 2023-09, is as follows (dollars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9"/>
        <w:gridCol w:w="60"/>
        <w:gridCol w:w="125"/>
        <w:gridCol w:w="650"/>
        <w:gridCol w:w="80"/>
        <w:gridCol w:w="60"/>
        <w:gridCol w:w="108"/>
        <w:gridCol w:w="797"/>
        <w:gridCol w:w="235"/>
        <w:gridCol w:w="60"/>
        <w:gridCol w:w="125"/>
        <w:gridCol w:w="650"/>
        <w:gridCol w:w="80"/>
        <w:gridCol w:w="60"/>
        <w:gridCol w:w="99"/>
        <w:gridCol w:w="806"/>
        <w:gridCol w:w="235"/>
        <w:gridCol w:w="60"/>
        <w:gridCol w:w="125"/>
        <w:gridCol w:w="695"/>
        <w:gridCol w:w="80"/>
        <w:gridCol w:w="60"/>
        <w:gridCol w:w="99"/>
        <w:gridCol w:w="806"/>
        <w:gridCol w:w="251"/>
      </w:tblGrid>
      <w:tr>
        <w:trPr/>
        <w:tc>
          <w:tcPr>
            <w:tcW w:w="3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2026</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2025</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2024</w:t>
            </w:r>
          </w:p>
        </w:tc>
        <w:tc>
          <w:tcPr>
            <w:tcW w:w="2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w:t>
            </w:r>
          </w:p>
        </w:tc>
        <w:tc>
          <w:tcPr>
            <w:tcW w:w="251"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50" w:type="dxa"/>
            <w:tcBorders/>
            <w:shd w:fill="CCEEFF" w:val="clear"/>
            <w:vAlign w:val="center"/>
          </w:tcPr>
          <w:p>
            <w:pPr>
              <w:pStyle w:val="TableContents"/>
              <w:bidi w:val="0"/>
              <w:spacing w:before="0" w:after="283"/>
              <w:jc w:val="right"/>
              <w:rPr>
                <w:sz w:val="20"/>
              </w:rPr>
            </w:pPr>
            <w:r>
              <w:rPr>
                <w:sz w:val="20"/>
              </w:rPr>
              <w:t>83,637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Local Taxes, Net of Federal Tax Effect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ind w:left="0" w:right="0" w:hanging="162"/>
              <w:jc w:val="left"/>
              <w:rPr/>
            </w:pPr>
            <w:r>
              <w:rPr/>
              <w:t> </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ind w:left="0" w:right="0" w:hanging="162"/>
              <w:jc w:val="left"/>
              <w:rPr/>
            </w:pPr>
            <w:r>
              <w:rPr/>
              <w:t> </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tax rate difference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holiday and other rate differences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Restructuring-related impact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minimum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ind w:left="0" w:right="0" w:hanging="162"/>
              <w:jc w:val="left"/>
              <w:rPr/>
            </w:pPr>
            <w:r>
              <w:rPr/>
              <w:t> </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tax rate difference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Restructuring-related impact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ind w:left="0" w:right="0" w:hanging="162"/>
              <w:jc w:val="left"/>
              <w:rPr/>
            </w:pPr>
            <w:r>
              <w:rPr/>
              <w:t> </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tax rate difference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ind w:left="0" w:right="0" w:hanging="162"/>
              <w:jc w:val="left"/>
              <w:rPr/>
            </w:pPr>
            <w:r>
              <w:rPr/>
              <w:t> </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tax rate difference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Restructuring-related impact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Foreign Jurisdictions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ind w:left="0" w:right="0" w:hanging="162"/>
              <w:jc w:val="left"/>
              <w:rPr/>
            </w:pPr>
            <w:r>
              <w:rPr/>
              <w:t> </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tax rate difference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Cross-Border Tax Laws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ind w:left="0" w:right="0" w:hanging="162"/>
              <w:jc w:val="left"/>
              <w:rPr/>
            </w:pPr>
            <w:r>
              <w:rPr/>
              <w:t> </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intangible low-taxed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150.3</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Subpart F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Foreign-derived intangible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Restructuring-related impact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ind w:left="0" w:right="0" w:hanging="162"/>
              <w:jc w:val="left"/>
              <w:rPr/>
            </w:pPr>
            <w:r>
              <w:rPr/>
              <w:t> </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&amp; development credits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 credit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Restructuring-related impact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Federal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ind w:left="0" w:right="0" w:hanging="162"/>
              <w:jc w:val="left"/>
              <w:rPr/>
            </w:pPr>
            <w:r>
              <w:rPr/>
              <w:t> </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Disallowed stock-based and officers’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Restructuring-related impact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Unrecognized Tax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251"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51"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w:t>
            </w:r>
          </w:p>
        </w:tc>
        <w:tc>
          <w:tcPr>
            <w:tcW w:w="2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Primarily consisting of taxes attributable to California and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“OBBBA”) was enacted in the United States. The OBBBA permanently extends several tax provisions originally introduced under the 2017 Tax Cuts and Jobs Act, and also repeals, modifies and introduces various other tax measures with varying effective dates. The OBBBA did not have a material impact on the Consolidated Financial Statements for the fiscal year ended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cash paid for income taxes, net of refunds received, by jurisdiction, pursuant to the disclosure requirements of ASU 2023-09 (in thousands):</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235"/>
        <w:gridCol w:w="60"/>
        <w:gridCol w:w="125"/>
        <w:gridCol w:w="590"/>
        <w:gridCol w:w="60"/>
        <w:gridCol w:w="60"/>
        <w:gridCol w:w="125"/>
        <w:gridCol w:w="590"/>
        <w:gridCol w:w="60"/>
        <w:gridCol w:w="60"/>
        <w:gridCol w:w="125"/>
        <w:gridCol w:w="695"/>
        <w:gridCol w:w="95"/>
      </w:tblGrid>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13,659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8,065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16,123</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local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33,414</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11,333</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55,932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89,212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104,652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cash tax payments and refunds is determined by jurisdiction-specific statutory requirements, which may not correspond to the period in which the related income tax expense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net deferred income taxes are as follows (in thousands):</w:t>
      </w:r>
    </w:p>
    <w:p>
      <w:pPr>
        <w:pStyle w:val="TextBody"/>
        <w:bidi w:val="0"/>
        <w:spacing w:before="0" w:after="0"/>
        <w:ind w:left="0" w:right="0" w:hanging="0"/>
        <w:jc w:val="both"/>
        <w:rPr>
          <w:caps w:val="false"/>
          <w:smallCaps w:val="false"/>
        </w:rPr>
      </w:pPr>
      <w:r>
        <w:rPr>
          <w:caps w:val="false"/>
          <w:smallCaps w:val="false"/>
        </w:rPr>
        <w:t> </w:t>
      </w:r>
    </w:p>
    <w:tbl>
      <w:tblPr>
        <w:tblW w:w="7793" w:type="dxa"/>
        <w:jc w:val="left"/>
        <w:tblInd w:w="0" w:type="dxa"/>
        <w:tblLayout w:type="fixed"/>
        <w:tblCellMar>
          <w:top w:w="0" w:type="dxa"/>
          <w:left w:w="0" w:type="dxa"/>
          <w:bottom w:w="0" w:type="dxa"/>
          <w:right w:w="0" w:type="dxa"/>
        </w:tblCellMar>
      </w:tblPr>
      <w:tblGrid>
        <w:gridCol w:w="4880"/>
        <w:gridCol w:w="60"/>
        <w:gridCol w:w="199"/>
        <w:gridCol w:w="1110"/>
        <w:gridCol w:w="80"/>
        <w:gridCol w:w="60"/>
        <w:gridCol w:w="199"/>
        <w:gridCol w:w="1110"/>
        <w:gridCol w:w="9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2025</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research and development expenses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sz w:val="20"/>
              </w:rPr>
            </w:pPr>
            <w:r>
              <w:rPr>
                <w:sz w:val="20"/>
              </w:rPr>
              <w:t>$</w:t>
            </w:r>
          </w:p>
        </w:tc>
        <w:tc>
          <w:tcPr>
            <w:tcW w:w="1110" w:type="dxa"/>
            <w:tcBorders/>
            <w:shd w:fill="FFFFFF" w:val="clear"/>
            <w:vAlign w:val="center"/>
          </w:tcPr>
          <w:p>
            <w:pPr>
              <w:pStyle w:val="TableContents"/>
              <w:bidi w:val="0"/>
              <w:spacing w:before="0" w:after="283"/>
              <w:jc w:val="right"/>
              <w:rPr>
                <w:sz w:val="20"/>
              </w:rPr>
            </w:pPr>
            <w:r>
              <w:rPr>
                <w:sz w:val="20"/>
              </w:rPr>
              <w:t>103,142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sz w:val="20"/>
              </w:rPr>
            </w:pPr>
            <w:r>
              <w:rPr>
                <w:sz w:val="20"/>
              </w:rPr>
              <w:t>$</w:t>
            </w:r>
          </w:p>
        </w:tc>
        <w:tc>
          <w:tcPr>
            <w:tcW w:w="1110" w:type="dxa"/>
            <w:tcBorders/>
            <w:shd w:fill="FFFFFF" w:val="clear"/>
            <w:vAlign w:val="center"/>
          </w:tcPr>
          <w:p>
            <w:pPr>
              <w:pStyle w:val="TableContents"/>
              <w:bidi w:val="0"/>
              <w:spacing w:before="0" w:after="283"/>
              <w:jc w:val="right"/>
              <w:rPr>
                <w:sz w:val="20"/>
              </w:rPr>
            </w:pPr>
            <w:r>
              <w:rPr>
                <w:sz w:val="20"/>
              </w:rPr>
              <w:t>96,198</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other tax credits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42,066</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34,335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loss carryforwards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29,334</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carryforwards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17,485</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13,713</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14,012</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income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272,188</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(85,722</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income tax assets, net of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186,466</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sz w:val="20"/>
              </w:rPr>
            </w:pPr>
            <w:r>
              <w:rPr>
                <w:sz w:val="20"/>
              </w:rPr>
              <w:t>$</w:t>
            </w:r>
          </w:p>
        </w:tc>
        <w:tc>
          <w:tcPr>
            <w:tcW w:w="1110" w:type="dxa"/>
            <w:tcBorders/>
            <w:shd w:fill="FFFFFF" w:val="clear"/>
            <w:vAlign w:val="center"/>
          </w:tcPr>
          <w:p>
            <w:pPr>
              <w:pStyle w:val="TableContents"/>
              <w:bidi w:val="0"/>
              <w:spacing w:before="0" w:after="283"/>
              <w:jc w:val="right"/>
              <w:rPr>
                <w:sz w:val="20"/>
              </w:rPr>
            </w:pPr>
            <w:r>
              <w:rPr>
                <w:sz w:val="20"/>
              </w:rPr>
              <w:t>(34,912</w:t>
            </w:r>
          </w:p>
        </w:tc>
        <w:tc>
          <w:tcPr>
            <w:tcW w:w="95" w:type="dxa"/>
            <w:tcBorders/>
            <w:shd w:fill="FFFFFF" w:val="clear"/>
            <w:vAlign w:val="center"/>
          </w:tcPr>
          <w:p>
            <w:pPr>
              <w:pStyle w:val="TableContents"/>
              <w:bidi w:val="0"/>
              <w:spacing w:before="0" w:after="283"/>
              <w:ind w:left="0" w:right="0" w:hanging="162"/>
              <w:jc w:val="left"/>
              <w:rPr>
                <w:sz w:val="20"/>
              </w:rPr>
            </w:pPr>
            <w:r>
              <w:rPr>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(34,289</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(12,985</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tax on unremitted foreign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(8,701</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(4,948</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income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(95,835</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income tax asset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129,502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90,631</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included in the Consolidated Balance Sheets: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sz w:val="20"/>
              </w:rPr>
            </w:pPr>
            <w:r>
              <w:rPr>
                <w:sz w:val="20"/>
              </w:rPr>
              <w:t>$</w:t>
            </w:r>
          </w:p>
        </w:tc>
        <w:tc>
          <w:tcPr>
            <w:tcW w:w="1110" w:type="dxa"/>
            <w:tcBorders/>
            <w:shd w:fill="FFFFFF" w:val="clear"/>
            <w:vAlign w:val="center"/>
          </w:tcPr>
          <w:p>
            <w:pPr>
              <w:pStyle w:val="TableContents"/>
              <w:bidi w:val="0"/>
              <w:spacing w:before="0" w:after="283"/>
              <w:jc w:val="right"/>
              <w:rPr>
                <w:sz w:val="20"/>
              </w:rPr>
            </w:pPr>
            <w:r>
              <w:rPr>
                <w:sz w:val="20"/>
              </w:rPr>
              <w:t>130,794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sz w:val="20"/>
              </w:rPr>
            </w:pPr>
            <w:r>
              <w:rPr>
                <w:sz w:val="20"/>
              </w:rPr>
              <w:t>$</w:t>
            </w:r>
          </w:p>
        </w:tc>
        <w:tc>
          <w:tcPr>
            <w:tcW w:w="1110" w:type="dxa"/>
            <w:tcBorders/>
            <w:shd w:fill="FFFFFF" w:val="clear"/>
            <w:vAlign w:val="center"/>
          </w:tcPr>
          <w:p>
            <w:pPr>
              <w:pStyle w:val="TableContents"/>
              <w:bidi w:val="0"/>
              <w:spacing w:before="0" w:after="283"/>
              <w:jc w:val="right"/>
              <w:rPr>
                <w:sz w:val="20"/>
              </w:rPr>
            </w:pPr>
            <w:r>
              <w:rPr>
                <w:sz w:val="20"/>
              </w:rPr>
              <w:t>101,439</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(10,808</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income tax asset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a valuation allowance against certain U.S. and foreign deferred tax assets as of March 28, 2026 and March 29, 2025. These valuation allowances were established based upon management’s opinion that it is more likely than not (a likelihood of more than 50 percent) that the benefit of these deferred tax assets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change in valuation allowances and ending balances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3770"/>
        <w:gridCol w:w="60"/>
        <w:gridCol w:w="125"/>
        <w:gridCol w:w="590"/>
        <w:gridCol w:w="60"/>
        <w:gridCol w:w="60"/>
        <w:gridCol w:w="125"/>
        <w:gridCol w:w="590"/>
        <w:gridCol w:w="80"/>
        <w:gridCol w:w="60"/>
        <w:gridCol w:w="125"/>
        <w:gridCol w:w="590"/>
        <w:gridCol w:w="95"/>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43,636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35,896</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Charged (credited) to 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tax attributes and 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(3,367</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 attributes and 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10,904</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and other charges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85,722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43,636</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ending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65,769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32,406</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11,230</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90,855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charges primarily relate to purchase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28, 2026, the Company had federal tax loss carryforwards of approximately $20.4 million, some of which expire in fiscal years 2029 to 2038, and state tax loss carryforwards of approximately $91.9 million, some of which expire in fiscal years 2027 to 2044, the remainder of which will carry forward indefinitely. Federal research tax credits of $87.7 million expire in fiscal years 2044 to 2046, and a portion of the Company’s state research tax credits of $72.0 million expire in fiscal years 2027 to 2043, while the remainder carry forward indefinitely. The Company had foreign tax loss carryforwards of $97.0 million as of March 28, 2026, the majority of which will carry forward indefinitely. Each tax loss carryforward and tax credit expires only if unused prior to its respective expiration date. The utilization of acquired domestic tax assets is subject to certain annual limitations as required under Section 382 of the Internal Revenue Code of 1986, as amended, and similar state income tax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operates in numerous international jurisdictions, which expose the Company to taxation in various regions. The Company is not permanently reinvested on earnings of its foreign subsidiaries which have been subject to U.S. federal taxation and has recognized a corresponding deferred tax liability for the estimated tax that would be incurred upon repatriation.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foreign subsidiaries with tax holiday agreements in Costa Rica and Singapore, which provide for reduced income tax rates expiring in December 2027 and December 2031, respectively. These incentives are contingent upon the Company satisfying specified employment and investment requirements. Upon the divestiture of operations in Costa Rica, the Company began the process to deregister from the Costa Rica tax holiday agreement. As a result of the Company’s active tax holiday agreements, income tax expense decreased relative to the statutory rate by $64.0 million (an impact of approximately $0.69 per basic share and $0.68 per diluted share) in fiscal 2026 and $54.0 million (an impact of approximately $0.57 per basic and diluted share) in fiscal 2025. The overall benefit derived from the Company’s Singapore tax holiday was adversely impacted in fiscal 2026 due to Singapore’s implementation of a minimum tax of 15% on income, which resulted in the Company recording $39.0 million of incremental income tax expense. Certain countries in which the Company operates, including Singapore, have implemented legislation and other guidance to align their international tax rules with the Organization for Economic Co-operation and Development’s (the “OECD”) Base Erosion and Profit Shifting recommendations and action plan, including establishment of a minimum tax of 15% on global income (commonly referred to as the OECD’s global minimum tax regime or “Pillar Two”). On January 5, 2026, the OECD released additional Pillar Two guidance introducing a new “side-by-side” system, which, upon adoption by local legislatures, will exclude U.S. headquartered companies from some aspects of minimum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gross unrecognized tax benefits totaled $154.6 million, $145.7 million and $158.9 million as of March 28, 2026, March 29, 2025 and March 30, 2024, respectively. Of these amounts, $148.8 million, $139.6 million and $152.6 million as of March 28, 2026, March 29, 2025 and March 30, 2024, respectively, represent the amounts of unrecognized tax benefits that, if recognized, would impact the effective tax rate in each of the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gross unrecognized tax benefits increased from $145.7 million as of March 29, 2025 to $154.6 million as of March 28, 2026, primarily due to current year tax positions, partially offset by the expiration of statute of limitations on prior-year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changes in the amount of gross unrecognized tax benefits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4220"/>
        <w:gridCol w:w="60"/>
        <w:gridCol w:w="125"/>
        <w:gridCol w:w="695"/>
        <w:gridCol w:w="80"/>
        <w:gridCol w:w="60"/>
        <w:gridCol w:w="125"/>
        <w:gridCol w:w="695"/>
        <w:gridCol w:w="80"/>
        <w:gridCol w:w="60"/>
        <w:gridCol w:w="125"/>
        <w:gridCol w:w="695"/>
        <w:gridCol w:w="9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158,899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152,331</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based on positions related to current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for tax positions in prior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for tax positions in prior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(2,416</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of statute of limitations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(reductions) additions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145,717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158,899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Relates to divestitures and purchase accounting related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Company’s policy to recognize interest and penalties related to uncertain tax positions as a component of income tax expense. During fiscal years 2026, 2025 and 2024, the Company recognized $0.8 million, $2.2 million and $3.5 million, respectively, of interest and penalties related to uncertain tax positions. Accrued interest and penalties related to unrecognized tax benefits totaled $8.3 million, $7.5 million and $5.3 million as of March 28, 2026, March 29, 2025 and March 30,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unrecognized tax benefits of $154.6 million and accrued interest and penalties of $8.3 million as of March 28, 2026 are recorded in the Consolidated Balance Sheet as a $44.4 million other long-term liability, with the balance reducing the carrying value of the gross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a consolidated U.S. federal income tax return, as well as separate and combined income tax returns in numerous state and international jurisdictions. The Company’s fiscal 2021 U.S. federal and state tax returns and subsequent tax years remain open for examination, as well as attributes brought forward into those years. As of March 28, 2026, the Company’s U.S. federal income tax return for fiscal 2023 is under examination. While the ultimate resolution of this examination is uncertain, the Company believes that its tax positions are reasonably supported and that adequate reserves, if any, have been recorded in accordance with ASC 740. The Company is also subject to examination by various international tax authorities, with tax years subject to examination varying by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NET INCOME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income (loss) per share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0"/>
        <w:gridCol w:w="60"/>
        <w:gridCol w:w="125"/>
        <w:gridCol w:w="695"/>
        <w:gridCol w:w="60"/>
        <w:gridCol w:w="60"/>
        <w:gridCol w:w="125"/>
        <w:gridCol w:w="590"/>
        <w:gridCol w:w="60"/>
        <w:gridCol w:w="60"/>
        <w:gridCol w:w="125"/>
        <w:gridCol w:w="650"/>
        <w:gridCol w:w="95"/>
      </w:tblGrid>
      <w:tr>
        <w:trPr/>
        <w:tc>
          <w:tcPr>
            <w:tcW w:w="7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7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 for basic and diluted net income (loss) per share — net income (loss) available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(70,322</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7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basic net income (loss) per share — weighted-average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97,557</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7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awards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diluted net income (loss) per share — adjusted weighted-average shares and assumed conversions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97,557</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7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computation of diluted net income per share for fiscal years 2026 and 2025, approximately 1.1 million and 1.0 million shares, respectively, of outstanding stock-based awards were excluded because the effect of their inclusion would have been anti-dilutive. In the computation of net loss per share for fiscal 2024, approximately 1.5 million shares of outstanding stock-based awards were excluded because the effect of their inclusion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pre-tax stock-based compensation expense recognized in the Consolidated Statements of Operations was $136.1 million, $136.3 million and $120.8 million for fiscal years 2026, 2025 and 2024, respectively. The net tax benefit realized for the tax deduction from stock-based compensation was $14.7 million, $17.3 million and $16.2 million for fiscal years 2026,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Incentive Award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2022 Stock Incentive Plan – Qorvo,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grants equity-based awards to eligible employees, directors and independent contractors under the Qorvo, Inc. Amended and Restated 2022 Stock Incentive Plan (the “2022 Plan”), which was amended and restated upon approval by stockholders at the Annual Meeting of Stockholders held on August 13, 2025 to increase the number of shares that may be issued in connection with awards granted thereunder by approximately 3.2 million shares (subject to adjustment for anti-dilution purposes). Under the 2022 Plan, the Company is permitted to grant awards, such as restricted stock units (“RSUs”), restricted stock awards, performance shares, performance units, stock options, stock appreciation rights and phantom stock awards, to eligible participants. The maximum number of shares issuable under the 2022 Plan may not exceed approximately 7.7 million shares (subject to adjustment for anti-dilution purposes). As of March 28, 2026, approximately 3.8 million shares were available for issuance under the 2022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granted by the Company in fiscal years 2026, 2025 and 2024 are either service-based or performance-based. Service-based RSUs generally vest over a four-year period from the grant date. Performance-based awards are comprised of corporate objective-based awards and gross margin-based awards. Corporate objective-based awards are earned based on Company achievement of specific performance targets and, if earned, generally vest one-half when earned and the remaining balance vests in equal installments over each of the following two years. Gross margin-based awards are earned based on Company achievement of gross margin targets and, if earned, generally vest when earned. RSUs granted to non-employee directors generally vest over a one-year period from the grant date. In fiscal 2026, each non-employee director was eligible to receive an annual grant of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2026, stock-based compensation of $34.9 million was recognized upon the grant of 0.1 million service-based RSUs and 0.3 million performance-based RSUs to certain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per unit of each RSU is determined on the grant date, and the compensation expense is based on awards ultimately expected to vest. The Company has elected to estimate forfeitures at the time of grant and if actual forfeitures differ from those estimates, the Company revises the estimates in subsequent periods. Based upon historical pre-vesting forfeiture experience, the Company assumed an annualized forfeiture rate of 2.4% for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with respect to RSUs under the Company’s director and employee stock plans is as follows:</w:t>
      </w:r>
    </w:p>
    <w:p>
      <w:pPr>
        <w:pStyle w:val="TextBody"/>
        <w:bidi w:val="0"/>
        <w:spacing w:before="0" w:after="0"/>
        <w:ind w:left="0" w:right="0" w:hanging="0"/>
        <w:jc w:val="left"/>
        <w:rPr>
          <w:caps w:val="false"/>
          <w:smallCaps w:val="false"/>
        </w:rPr>
      </w:pPr>
      <w:r>
        <w:rPr>
          <w:caps w:val="false"/>
          <w:smallCaps w:val="false"/>
        </w:rPr>
        <w:t> </w:t>
      </w:r>
    </w:p>
    <w:tbl>
      <w:tblPr>
        <w:tblW w:w="6229" w:type="dxa"/>
        <w:jc w:val="left"/>
        <w:tblInd w:w="0" w:type="dxa"/>
        <w:tblLayout w:type="fixed"/>
        <w:tblCellMar>
          <w:top w:w="0" w:type="dxa"/>
          <w:left w:w="0" w:type="dxa"/>
          <w:bottom w:w="0" w:type="dxa"/>
          <w:right w:w="0" w:type="dxa"/>
        </w:tblCellMar>
      </w:tblPr>
      <w:tblGrid>
        <w:gridCol w:w="3230"/>
        <w:gridCol w:w="60"/>
        <w:gridCol w:w="115"/>
        <w:gridCol w:w="1059"/>
        <w:gridCol w:w="80"/>
        <w:gridCol w:w="60"/>
        <w:gridCol w:w="270"/>
        <w:gridCol w:w="1280"/>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w:t>
              <w:br/>
              <w:t>(in thousands)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w:t>
              <w:br/>
              <w:t>Grant-Date</w:t>
              <w:br/>
              <w:t>Fair Value</w:t>
            </w:r>
          </w:p>
        </w:tc>
        <w:tc>
          <w:tcPr>
            <w:tcW w:w="7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balance as of March 29,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102.45</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87.26</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106.83</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96.94</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balance as of March 28,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28, 2026, total remaining unearned compensation cost related to unvested RSUs was $167.0 million, which will be amortized over the weighted-average remaining service period of approximately 1.3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intrinsic value of RSUs that vested during fiscal years 2026, 2025 and 2024 was $96.4 million, $96.3 million and $85.8 million, respectively, based upon the fair market value of the Company’s common stock on the vesting date. The Company settles RSUs with newly issued shares of the Company’s common stock. For the majority of RSUs, shares are issued on the vesting date net of the amount of shares needed to satisfy statutory tax withholding obligations to be paid by the Company on behalf of the employees. As a result, the actual number of shares issued will be fewer than the number of RSUs unvested.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Qorvo, Inc. Amended and Restated 2007 Employee Stock Purchase Plan (the “ESPP”), which is intended to qualify as an “employee stock purchase plan” under Section 423 of the Internal Revenue Code, was assumed by the Company in connection with the Business Combination and was amended and restated upon approval by stockholders at the Annual Meeting of Stockholders held on August 13, 2025 to increase the number of shares that may be made available for sale thereunder by 4.0 million shares (subject to adjustment for anti-dilution purposes). All employees who meet the eligibility requirements of the plan may participate in the ESPP, which provides employees an opportunity to acquire the Company’s common stock at 85% of the lower of the closing price per share of the Company’s common stock on the first or last day of each six-month purchase period. The maximum number of shares issuable under the ESPP is approximately 10.2 million shares (subject to adjustment for anti-dilution purposes). As of March 28, 2026, 5.0 million shares were available for future issuance under this plan. The Company makes no cash contributions to the ESPP but bears the expenses of its administration. The Company issued 0.7 million shares under the ESPP in fiscal 2026 and 0.5 million shares in both fiscal years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received from participation in the ESPP (excluding accrued unremitted employee funds) was approximately $36.9 million for fiscal 2026 and is reflected in cash flows from financing activities in the Consolidated Statement of Cash Flows. The Company settles ESPP purchases with newly issued shares of the Company’s common stock. The fair value of each award is estimated on the date of grant using a Black-Scholes pricing model based on the historical volatility, dividend yield, term and risk-free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Following the execution of the Merger Agreement in the third quarter of fiscal 2026, the Company suspended its share repurchase activity; however, in the fourth quarter of fiscal 2026, the Company resumed share repurchases in accordance with the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2026, 2025 and 2024, the Company repurchased approximately 6.6 million shares, 4.0 million shares and 4.0 million shares of its common stock, respectively, for approximately $536.7 million, $358.8 million and $403.0 million, respectively (including transaction costs and excise tax, as applicable) under the share repurchase program. As of March 28, 2026, approximately $416.2 million remains authorized for repurchases under the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Reserved For Future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28, 2026, the Company had reserved a total of approximately 11.8 million of its authorized 405.0 million shares of common stock for possible future issuance as follows (in thousands):</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525"/>
        <w:gridCol w:w="60"/>
        <w:gridCol w:w="60"/>
        <w:gridCol w:w="590"/>
        <w:gridCol w:w="75"/>
      </w:tblGrid>
      <w:tr>
        <w:trPr/>
        <w:tc>
          <w:tcPr>
            <w:tcW w:w="252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stock incentive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3,789</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stock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5,005</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restricted stock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2,971</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shares reserved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OPERATING SEGMENT AND 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into three operating and reportable segments that align technologies and applications with customers and end markets: HPA, CSG and ACG.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 is a leading global supplier of RF, analog mixed signal and power management solutions. HPA leverages a diverse portfolio of differentiated process technologies and products to serve customers in consumer, defense and aerospace, infrastructure, and industrial and enterprise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 is a leading global supplier of connectivity solutions, with broad expertise spanning ultra-wideband, Matter®, Bluetooth® Low Energy, Zigbee®, Thread®, Wi-Fi® and cellular solutions for the Internet of Things to serve customers in automotive, consumer, industrial and enterprise, and mobile markets.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three operating and reportable segments are based on the organizational structure and information reviewed by the Company’s Chief Executive Officer, who is also the Company’s chief operating decision maker (the “CODM”). The CODM primarily uses segment operating income (loss) to evaluate each segment’s performance and 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have intercompany revenue. The CODM does not evaluate operating segments using discrete asset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details of the Company’s operating and reportable segments and a reconciliation of segment operating income (loss) to consolidated income before income taxes (in thousands):</w:t>
      </w:r>
    </w:p>
    <w:p>
      <w:pPr>
        <w:pStyle w:val="TextBody"/>
        <w:bidi w:val="0"/>
        <w:spacing w:before="0" w:after="0"/>
        <w:ind w:left="0" w:right="0" w:hanging="0"/>
        <w:jc w:val="left"/>
        <w:rPr>
          <w:caps w:val="false"/>
          <w:smallCaps w:val="false"/>
        </w:rPr>
      </w:pPr>
      <w:r>
        <w:rPr>
          <w:caps w:val="false"/>
          <w:smallCaps w:val="false"/>
        </w:rPr>
        <w:t> </w:t>
      </w:r>
    </w:p>
    <w:tbl>
      <w:tblPr>
        <w:tblW w:w="9110" w:type="dxa"/>
        <w:jc w:val="left"/>
        <w:tblInd w:w="0" w:type="dxa"/>
        <w:tblLayout w:type="fixed"/>
        <w:tblCellMar>
          <w:top w:w="0" w:type="dxa"/>
          <w:left w:w="0" w:type="dxa"/>
          <w:bottom w:w="0" w:type="dxa"/>
          <w:right w:w="0" w:type="dxa"/>
        </w:tblCellMar>
      </w:tblPr>
      <w:tblGrid>
        <w:gridCol w:w="5765"/>
        <w:gridCol w:w="60"/>
        <w:gridCol w:w="125"/>
        <w:gridCol w:w="845"/>
        <w:gridCol w:w="80"/>
        <w:gridCol w:w="60"/>
        <w:gridCol w:w="125"/>
        <w:gridCol w:w="845"/>
        <w:gridCol w:w="80"/>
        <w:gridCol w:w="60"/>
        <w:gridCol w:w="125"/>
        <w:gridCol w:w="845"/>
        <w:gridCol w:w="95"/>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0" w:type="dxa"/>
            <w:gridSpan w:val="10"/>
            <w:tcBorders>
              <w:bottom w:val="single" w:sz="8" w:space="0" w:color="000000"/>
            </w:tcBorders>
            <w:tcMar>
              <w:bottom w:w="28" w:type="dxa"/>
            </w:tcMar>
            <w:vAlign w:val="center"/>
          </w:tcPr>
          <w:p>
            <w:pPr>
              <w:pStyle w:val="TableContents"/>
              <w:bidi w:val="0"/>
              <w:spacing w:before="0" w:after="283"/>
              <w:jc w:val="center"/>
              <w:rPr>
                <w:sz w:val="20"/>
              </w:rPr>
            </w:pPr>
            <w:r>
              <w:rPr>
                <w:sz w:val="20"/>
              </w:rPr>
              <w:t>Fiscal Year</w:t>
            </w:r>
          </w:p>
        </w:tc>
        <w:tc>
          <w:tcPr>
            <w:tcW w:w="9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705,657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637,261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572,953</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472,521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434,537</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2,609,189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2,762,016</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3,678,517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3,718,971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3,769,506</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288,847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279,516</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150,955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52,565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28,371</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82,501</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243,521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291,350</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133,252</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74,455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24,129</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(88,649</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1,363,621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1,456,799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1,523,025</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390,596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406,776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373,473</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56,687</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80,925</w:t>
            </w:r>
          </w:p>
        </w:tc>
        <w:tc>
          <w:tcPr>
            <w:tcW w:w="9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667,352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602,447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727,906</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814,455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721,758</w:t>
            </w:r>
          </w:p>
        </w:tc>
        <w:tc>
          <w:tcPr>
            <w:tcW w:w="95" w:type="dxa"/>
            <w:tcBorders/>
            <w:shd w:fill="CCEEFF" w:val="clear"/>
            <w:vAlign w:val="center"/>
          </w:tcPr>
          <w:p>
            <w:pPr>
              <w:pStyle w:val="TableContents"/>
              <w:bidi w:val="0"/>
              <w:spacing w:before="0" w:after="283"/>
              <w:ind w:left="0" w:right="0" w:hanging="162"/>
              <w:jc w:val="left"/>
              <w:rPr/>
            </w:pPr>
            <w:r>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Unallocated amounts: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62"/>
              <w:jc w:val="left"/>
              <w:rPr/>
            </w:pPr>
            <w:r>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(120,834</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(121,809</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Restructuring-related charges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(92,764</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Merger-related costs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 impairment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(221,414</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adjustments related to a terminated capacity reservation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(38,419</w:t>
            </w:r>
          </w:p>
        </w:tc>
        <w:tc>
          <w:tcPr>
            <w:tcW w:w="95"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(34,817</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91,701</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(69,245</w:t>
            </w:r>
          </w:p>
        </w:tc>
        <w:tc>
          <w:tcPr>
            <w:tcW w:w="95"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51,104</w:t>
            </w:r>
          </w:p>
        </w:tc>
        <w:tc>
          <w:tcPr>
            <w:tcW w:w="9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73,560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Refer to Note 12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Refer to Note 2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Refer to Note 7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Includes acquisition and integration-related costs; certain settlements, gains, losses and other charges; costs associated with upgrading certain of the Company’s core business systems; and start-up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unallocated amounts in the table above are not allocated to the Company’s operating segments because they are not included in the segment operating performance measures evaluated by the Company’s CODM. Except as discussed above regarding the unallocated amounts, the Company’s accounting policies for segment reporting are the same as for the Company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Inc. and Subsidiaries</w:t>
        <w:br/>
        <w:t>Notes to Consolidated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revenue to customers by geographic region (based on the location of the customers’ headquarters) that are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1160"/>
        <w:gridCol w:w="60"/>
        <w:gridCol w:w="125"/>
        <w:gridCol w:w="845"/>
        <w:gridCol w:w="60"/>
        <w:gridCol w:w="60"/>
        <w:gridCol w:w="125"/>
        <w:gridCol w:w="845"/>
        <w:gridCol w:w="60"/>
        <w:gridCol w:w="60"/>
        <w:gridCol w:w="125"/>
        <w:gridCol w:w="845"/>
        <w:gridCol w:w="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7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62"/>
              <w:jc w:val="lef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2,315,762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2,227,177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2,175,937</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474,870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726,810</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431,862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444,352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517,683</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357,739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341,161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260,839</w:t>
            </w:r>
          </w:p>
        </w:tc>
        <w:tc>
          <w:tcPr>
            <w:tcW w:w="75"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88,237</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3,678,517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3,718,971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3,769,506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following long-lived tangible asset amounts related to operations of the Company by geographic region (in thousands):</w:t>
      </w:r>
    </w:p>
    <w:p>
      <w:pPr>
        <w:pStyle w:val="TextBody"/>
        <w:bidi w:val="0"/>
        <w:spacing w:before="0" w:after="0"/>
        <w:ind w:left="0" w:right="0" w:hanging="0"/>
        <w:jc w:val="left"/>
        <w:rPr>
          <w:caps w:val="false"/>
          <w:smallCaps w:val="false"/>
        </w:rPr>
      </w:pPr>
      <w:r>
        <w:rPr>
          <w:caps w:val="false"/>
          <w:smallCaps w:val="false"/>
        </w:rPr>
        <w:t> </w:t>
      </w:r>
    </w:p>
    <w:tbl>
      <w:tblPr>
        <w:tblW w:w="5113" w:type="dxa"/>
        <w:jc w:val="left"/>
        <w:tblInd w:w="0" w:type="dxa"/>
        <w:tblLayout w:type="fixed"/>
        <w:tblCellMar>
          <w:top w:w="0" w:type="dxa"/>
          <w:left w:w="0" w:type="dxa"/>
          <w:bottom w:w="0" w:type="dxa"/>
          <w:right w:w="0" w:type="dxa"/>
        </w:tblCellMar>
      </w:tblPr>
      <w:tblGrid>
        <w:gridCol w:w="2240"/>
        <w:gridCol w:w="60"/>
        <w:gridCol w:w="199"/>
        <w:gridCol w:w="1110"/>
        <w:gridCol w:w="60"/>
        <w:gridCol w:w="60"/>
        <w:gridCol w:w="199"/>
        <w:gridCol w:w="1110"/>
        <w:gridCol w:w="75"/>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2025</w:t>
            </w:r>
          </w:p>
        </w:tc>
        <w:tc>
          <w:tcPr>
            <w:tcW w:w="75"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tangible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62"/>
              <w:jc w:val="left"/>
              <w:rPr/>
            </w:pPr>
            <w:r>
              <w:rPr/>
              <w:t> </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650,340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725,620</w:t>
            </w:r>
          </w:p>
        </w:tc>
        <w:tc>
          <w:tcPr>
            <w:tcW w:w="75"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countries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 Qorvo,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Qorvo, Inc. and subsidiaries (the Company) as of March 28, 2026 and March 29, 2025, the related consolidated statements of operations, comprehensive income (loss), stockholders’ equity and cash flows for each of the three years in the period ended March 28, 2026, and the related notes (collectively referred to as the “consolidated financial statements”). In our opinion, the consolidated financial statements present fairly, in all material respects, the financial position of the Company at March 28, 2026 and March 29, 2025, and the results of its operations and its cash flows for each of the three years in the period ended March 28, 2026,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audited, in accordance with the standards of the Public Company Accounting Oversight Board (United States) (PCAOB), the Company’s internal control over financial reporting as of March 28, 2026, based on criteria established in Internal Control—Integrated Framework issued by the Committee of Sponsoring Organizations of the Treadway Commission (2013 framework), and our report dated May 8, 2026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 Valuation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5"/>
        <w:gridCol w:w="60"/>
        <w:gridCol w:w="8700"/>
      </w:tblGrid>
      <w:tr>
        <w:trPr/>
        <w:tc>
          <w:tcPr>
            <w:tcW w:w="14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Description of the Matter</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inventory, net totaled $553.7 million as of March 28, 2026, representing approximately 9.5% of total assets. As explained in Note 1 to the consolidated financial statements, the Company assesses the valuation of inventories on a material or product family basis each reporting period. Obsolete inventory or inventory in excess of management’s demand forecasts is written down to its estimated net realizable value if less than cost by recording an inventory reserve at each reporting period.</w:t>
              <w:br/>
              <w:t> </w:t>
              <w:br/>
              <w:t>Auditing management’s estimates for inventory reserves involved significant judgment because the assessment considers a number of factors, including demand forecasts, changes in the customer base, and customer acceptance of the Company’s products and technologies that are affected at least partially by market and economic conditions outside the Company’s control.</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controls that address the risk of material misstatement relating to the Company’s inventory reserves estimation process, including controls over management’s development and review of the assumptions and data underlying the inventory reserves.</w:t>
              <w:br/>
              <w:br/>
              <w:t>Our audit procedures included, among others, testing the reasonableness of the significant assumptions and testing the accuracy and completeness of underlying data used in management’s assessment of inventory reserves. We evaluated inventory levels compared to forecasted demand, historical sales and specific product considerations. We also assessed the historical accuracy of management’s estimates for both the demand forecast assumptions and the reserve estimate by comparing management’s historical estimates to actual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2018.</w:t>
        <w:br/>
        <w:t>Charlotte, North Carolina</w:t>
        <w:br/>
        <w:t>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 Qorvo,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Qorvo, Inc. and subsidiaries’ internal control over financial reporting as of March 28, 2026,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March 28, 2026, based on the COSO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audited, in accordance with the standards of the Public Company Accounting Oversight Board (United States) (PCAOB), the consolidated balance sheets of the Company as of March 28, 2026 and March 29, 2025, the related consolidated statements of operations, comprehensive income (loss), stockholders’ equity and cash flows for each of the three years in the period ended March 28, 2026, and the related notes and our report dated May 8, 2026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br/>
        <w:t>Charlotte, North Carolina</w:t>
        <w:br/>
        <w:t>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right"/>
        <w:rPr>
          <w:caps w:val="false"/>
          <w:smallCaps w:val="false"/>
        </w:rPr>
      </w:pPr>
      <w:bookmarkStart w:id="6" w:name="tm2614811d5_ex99-2.htm"/>
      <w:bookmarkStart w:id="7" w:name="kstm2614811d5_ex992"/>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are provided for general information, do not purport to be complete, and are qualified in their entirety by reference to the full text of the Agreement and Plan of Merger (the “Merger Agreement”), by and among Skyworks Solutions, Inc., a Delaware corporation (“Skyworks”), Qorvo, Inc., a Delaware corporation (“Qorvo”), Comet Acquisition Corp., a Delaware corporation and a wholly owned subsidiary of Skyworks (“Merger Sub I”), and Comet Acquisition II, LLC, a Delaware limited liability company and a wholly owned subsidiary of Skyworks (“Merger Sub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Mergers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On October 27, 2025, Skyworks, Qorvo, Merger Sub I and Merger Sub II entered into the Merger Agreement. Pursuant to the Merger Agreement, and subject to the satisfaction or waiver of the conditions specified therein, (i) Merger Sub I will merge with and into Qorvo (the “First Merger”), with Qorvo surviving the First Merger as a wholly 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 Forma Financial Statements</w:t>
      </w:r>
      <w:r>
        <w:rPr>
          <w:rFonts w:ascii="Times New Roman;Times;Serif" w:hAnsi="Times New Roman;Times;Serif"/>
          <w:b w:val="false"/>
          <w:i w:val="false"/>
          <w:caps w:val="false"/>
          <w:smallCaps w:val="false"/>
          <w:sz w:val="20"/>
        </w:rPr>
        <w:t>. The following Unaudited Pro Forma Condensed Combined Statements of Operations (the “Pro Forma Statements of Operations”) for the six months ended April 3, 2026 and twelve months ended October 3, 2025, combine the historical consolidated statements of operations of Skyworks and Qorvo, after giving effect to the Mergers and other adjustments (as described in the Notes to the Unaudited Pro Forma Condensed Combined Financial Statements) as if they occurred on September 28, 2024. The Unaudited Pro Forma Condensed Combined Balance Sheet (the “Pro Forma Balance Sheet” and together with the Pro Forma Statements of Operations, the “Pro Forma Financial Statements”) as of April 3, 2026, combines the historical condensed consolidated balance sheets of Skyworks and Qorvo, after giving effect to the Mergers and other adjustments as if they had occurred on April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were prepared for illustrative and informational purposes only, in accordance with Regulation S-X Article 11, to demonstrate the estimated effects of the Mergers and certain other related transactions and adjustments (collectively referred to as transaction accounting adjustments), such as (a) the alignment of Qorvo’s statements of operations and balance sheet amounts to Skyworks’ presentation, (b) adjustments based upon preliminary estimates of the fair value of assets to be acquired and liabilities to be assumed, (c) transaction and financing costs expected to be incurred by Skyworks, and (d) the associated income tax impacts of recognizing these adjustments. The Pro Forma Financial Statements were prepared using the acquisition method of accounting in accordance with United States generally accepted accounting principles, applied on a consistent basis (“GAAP”), with the expectation that Skyworks will be identified as the acquirer. The transaction accounting adjustments were prepared on the basis that such preliminary estimated adjustments will be incurred to achieve the Mergers, are pending finalization of various estimates, inputs and analyses, and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post-Mergers costs, such as restructuring and integration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are based on various adjustments and assumptions and are not necessarily indicative of what the combined statements of operations or balance sheets would have actually been had the transaction accounting adjustments been consummated as of the dates indicated. Further, the Pro Forma Financial Statements do not purport to project the future financial position or results of operations of the Skyworks and its subsidiaries (including Qorvo and its subsidiaries, taken as a whole, after giving effect to the Mergers (the “Combined Company”)), which may differ materially and adversely from the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reflect transaction accounting adjustments that Skyworks believes are necessary to present fairly the Pro Forma Statements of Operations and Pro Forma Balance Sheet following the consummation of the Mergers as of and for the periods indicated. The transaction accounting adjustments are based on currently available information and assumptions that Skyworks believes are, under the circumstances and given the information available at this time, reasonable, directly attributable to the Mergers, and reflective of adjustments necessary to report the combined financial condition and results of operations as if Skyworks and Qorvo consummated the Mergers. The final acquisition accounting will be based upon the actual consideration and the fair value of the assets to be acquired and the liabilities to be assumed of the party that is determined to be the acquiree under GAAP as of the date of the consummation of the Mergers (the “Closing Date”). In addition, subsequent to the Closing Date, there will be further refinements of the acquisition accounting as additional information becomes available. Accordingly, the final acquisition accounting may differ materially from the Pro Forma Financial Statements reflected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should be read in conjunction with the accompanying notes. In addition, the Pro Forma Financial Statements were based on and should be read in conjunction with the following historical consolidated financial statements and accompanying 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Consolidated Financial Statements of Skyworks, as included in Skyworks’ Annual Report on Form 10-K for the fiscal year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Unaudited Interim Consolidated Financial Statements of Skyworks, as included in Skyworks’ Quarterly Report on Form 10-Q for the quarterly period ended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Consolidated Financial Statements of Qorvo for the fiscal years ended March 28, 2026 and March 29, 2025, as included in Qorvo’s Annual Report on Form 10-K for the fiscal year ended March 28, 2026 and March 29, 2025;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Unaudited Interim Condensed Consolidated Financial Statements of Qorvo for the quarterly periods ended September 27, 2025 and September 28, 2024, as included in Qorvo’s Quarterly Report on Form 10-Q for the quarterly period ended September 27, 2025 and September 28,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9"/>
        <w:gridCol w:w="60"/>
        <w:gridCol w:w="213"/>
        <w:gridCol w:w="827"/>
        <w:gridCol w:w="80"/>
        <w:gridCol w:w="60"/>
        <w:gridCol w:w="223"/>
        <w:gridCol w:w="868"/>
        <w:gridCol w:w="80"/>
        <w:gridCol w:w="60"/>
        <w:gridCol w:w="358"/>
        <w:gridCol w:w="847"/>
        <w:gridCol w:w="80"/>
        <w:gridCol w:w="425"/>
        <w:gridCol w:w="211"/>
        <w:gridCol w:w="679"/>
        <w:gridCol w:w="110"/>
        <w:gridCol w:w="280"/>
        <w:gridCol w:w="263"/>
        <w:gridCol w:w="627"/>
        <w:gridCol w:w="80"/>
        <w:gridCol w:w="280"/>
        <w:gridCol w:w="200"/>
        <w:gridCol w:w="776"/>
        <w:gridCol w:w="99"/>
      </w:tblGrid>
      <w:tr>
        <w:trPr/>
        <w:tc>
          <w:tcPr>
            <w:tcW w:w="2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center"/>
              <w:rPr/>
            </w:pPr>
            <w:r>
              <w:rPr/>
              <w:t> </w:t>
            </w:r>
          </w:p>
        </w:tc>
        <w:tc>
          <w:tcPr>
            <w:tcW w:w="976"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2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Skyworks</w:t>
              <w:br/>
              <w:t>Solutions,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Qorvo,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r>
              <w:rPr>
                <w:b/>
                <w:sz w:val="16"/>
              </w:rPr>
              <w:t>Reclassification</w:t>
            </w:r>
          </w:p>
        </w:tc>
        <w:tc>
          <w:tcPr>
            <w:tcW w:w="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Merger</w:t>
            </w:r>
          </w:p>
        </w:tc>
        <w:tc>
          <w:tcPr>
            <w:tcW w:w="11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r>
              <w:rPr>
                <w:b/>
                <w:sz w:val="16"/>
              </w:rPr>
              <w:t>Financing</w:t>
            </w:r>
          </w:p>
        </w:tc>
        <w:tc>
          <w:tcPr>
            <w:tcW w:w="8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center"/>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 Forma</w:t>
              <w:br/>
              <w:t>Combined 6[i]</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Six Months </w:t>
              <w:br/>
              <w:t xml:space="preserve">Ended </w:t>
              <w:br/>
              <w:t>April 3,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Six Months </w:t>
              <w:br/>
              <w:t xml:space="preserve">Ended </w:t>
              <w:br/>
              <w:t>March 28,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center"/>
              <w:rPr>
                <w:caps w:val="false"/>
                <w:smallCaps w:val="false"/>
              </w:rPr>
            </w:pPr>
            <w:r>
              <w:rPr>
                <w:caps w:val="false"/>
                <w:smallCaps w:val="false"/>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April 3, 2026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6[e]</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6[e]</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pPr>
            <w:r>
              <w:rPr/>
              <w:t> </w:t>
            </w:r>
          </w:p>
        </w:tc>
        <w:tc>
          <w:tcPr>
            <w:tcW w:w="263"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pPr>
            <w:r>
              <w:rPr/>
              <w:t> </w:t>
            </w:r>
          </w:p>
        </w:tc>
        <w:tc>
          <w:tcPr>
            <w:tcW w:w="20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6[a][1]</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6[e]</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6[a][2]</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Marketing and selling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6[a][1]</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6[a][2]</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intangibles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6[e]</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Restructuring and other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6[a][3]</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Goodwill and intangible asset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6[h]</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operating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6[a][3]</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w:t>
            </w:r>
          </w:p>
        </w:tc>
        <w:tc>
          <w:tcPr>
            <w:tcW w:w="80" w:type="dxa"/>
            <w:tcBorders/>
            <w:shd w:fill="CCEEFF" w:val="clear"/>
            <w:vAlign w:val="center"/>
          </w:tcPr>
          <w:p>
            <w:pPr>
              <w:pStyle w:val="TableContents"/>
              <w:bidi w:val="0"/>
              <w:spacing w:before="0" w:after="283"/>
              <w:jc w:val="left"/>
              <w:rPr>
                <w:sz w:val="16"/>
              </w:rPr>
            </w:pPr>
            <w:r>
              <w:rPr>
                <w:sz w:val="16"/>
              </w:rPr>
              <w:t>)</w:t>
            </w:r>
          </w:p>
        </w:tc>
        <w:tc>
          <w:tcPr>
            <w:tcW w:w="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6[d]</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w:t>
            </w:r>
          </w:p>
        </w:tc>
        <w:tc>
          <w:tcPr>
            <w:tcW w:w="80" w:type="dxa"/>
            <w:tcBorders/>
            <w:shd w:fill="CCEEFF" w:val="clear"/>
            <w:vAlign w:val="center"/>
          </w:tcPr>
          <w:p>
            <w:pPr>
              <w:pStyle w:val="TableContents"/>
              <w:bidi w:val="0"/>
              <w:spacing w:before="0" w:after="283"/>
              <w:jc w:val="left"/>
              <w:rPr>
                <w:sz w:val="16"/>
              </w:rPr>
            </w:pPr>
            <w:r>
              <w:rPr>
                <w:sz w:val="16"/>
              </w:rPr>
              <w:t>)</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(benefit)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6[f]</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80" w:type="dxa"/>
            <w:tcBorders/>
            <w:shd w:fill="FFFFFF" w:val="clear"/>
            <w:vAlign w:val="center"/>
          </w:tcPr>
          <w:p>
            <w:pPr>
              <w:pStyle w:val="TableContents"/>
              <w:bidi w:val="0"/>
              <w:spacing w:before="0" w:after="283"/>
              <w:jc w:val="left"/>
              <w:rPr>
                <w:sz w:val="16"/>
              </w:rPr>
            </w:pPr>
            <w:r>
              <w:rPr>
                <w:sz w:val="16"/>
              </w:rPr>
              <w:t>)</w:t>
            </w:r>
          </w:p>
        </w:tc>
        <w:tc>
          <w:tcPr>
            <w:tcW w:w="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6[f]</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7"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w:t>
            </w:r>
          </w:p>
        </w:tc>
        <w:tc>
          <w:tcPr>
            <w:tcW w:w="80" w:type="dxa"/>
            <w:tcBorders/>
            <w:shd w:fill="CCEEFF" w:val="clear"/>
            <w:vAlign w:val="center"/>
          </w:tcPr>
          <w:p>
            <w:pPr>
              <w:pStyle w:val="TableContents"/>
              <w:bidi w:val="0"/>
              <w:spacing w:before="0" w:after="283"/>
              <w:jc w:val="left"/>
              <w:rPr>
                <w:sz w:val="16"/>
              </w:rPr>
            </w:pPr>
            <w:r>
              <w:rPr>
                <w:sz w:val="16"/>
              </w:rPr>
              <w:t>)</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Earnings (loss) per share: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pPr>
            <w:r>
              <w:rPr/>
              <w:t> </w:t>
            </w:r>
          </w:p>
        </w:tc>
        <w:tc>
          <w:tcPr>
            <w:tcW w:w="263"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Weighted average shares: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pPr>
            <w:r>
              <w:rPr/>
              <w:t> </w:t>
            </w:r>
          </w:p>
        </w:tc>
        <w:tc>
          <w:tcPr>
            <w:tcW w:w="263"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pPr>
            <w:r>
              <w:rPr/>
              <w:t> </w:t>
            </w:r>
          </w:p>
        </w:tc>
        <w:tc>
          <w:tcPr>
            <w:tcW w:w="20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280"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280" w:type="dxa"/>
            <w:tcBorders/>
            <w:shd w:fill="CCEEFF" w:val="clear"/>
            <w:vAlign w:val="center"/>
          </w:tcPr>
          <w:p>
            <w:pPr>
              <w:pStyle w:val="TableContents"/>
              <w:bidi w:val="0"/>
              <w:spacing w:before="0" w:after="283"/>
              <w:jc w:val="center"/>
              <w:rPr/>
            </w:pPr>
            <w:r>
              <w:rPr/>
              <w:t> </w:t>
            </w:r>
          </w:p>
        </w:tc>
        <w:tc>
          <w:tcPr>
            <w:tcW w:w="263"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center"/>
              <w:rPr/>
            </w:pPr>
            <w:r>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2"/>
        <w:gridCol w:w="60"/>
        <w:gridCol w:w="233"/>
        <w:gridCol w:w="909"/>
        <w:gridCol w:w="80"/>
        <w:gridCol w:w="60"/>
        <w:gridCol w:w="252"/>
        <w:gridCol w:w="982"/>
        <w:gridCol w:w="80"/>
        <w:gridCol w:w="60"/>
        <w:gridCol w:w="273"/>
        <w:gridCol w:w="872"/>
        <w:gridCol w:w="80"/>
        <w:gridCol w:w="385"/>
        <w:gridCol w:w="211"/>
        <w:gridCol w:w="679"/>
        <w:gridCol w:w="110"/>
        <w:gridCol w:w="263"/>
        <w:gridCol w:w="211"/>
        <w:gridCol w:w="679"/>
        <w:gridCol w:w="80"/>
        <w:gridCol w:w="292"/>
        <w:gridCol w:w="228"/>
        <w:gridCol w:w="824"/>
        <w:gridCol w:w="100"/>
      </w:tblGrid>
      <w:tr>
        <w:trPr/>
        <w:tc>
          <w:tcPr>
            <w:tcW w:w="22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center"/>
              <w:rPr/>
            </w:pPr>
            <w:r>
              <w:rPr/>
              <w:t> </w:t>
            </w:r>
          </w:p>
        </w:tc>
        <w:tc>
          <w:tcPr>
            <w:tcW w:w="1052"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22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Skyworks</w:t>
              <w:br/>
              <w:t>Solutions, Inc.</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Qorvo, Inc.</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sz w:val="16"/>
              </w:rPr>
            </w:pPr>
            <w:r>
              <w:rPr>
                <w:b/>
                <w:sz w:val="16"/>
              </w:rPr>
              <w:t>Reclassification</w:t>
            </w:r>
          </w:p>
        </w:tc>
        <w:tc>
          <w:tcPr>
            <w:tcW w:w="80" w:type="dxa"/>
            <w:tcBorders/>
            <w:vAlign w:val="center"/>
          </w:tcPr>
          <w:p>
            <w:pPr>
              <w:pStyle w:val="TableContents"/>
              <w:bidi w:val="0"/>
              <w:spacing w:before="0" w:after="283"/>
              <w:jc w:val="center"/>
              <w:rPr/>
            </w:pPr>
            <w:r>
              <w:rPr/>
              <w:t> </w:t>
            </w:r>
          </w:p>
        </w:tc>
        <w:tc>
          <w:tcPr>
            <w:tcW w:w="385"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Merger</w:t>
            </w:r>
          </w:p>
        </w:tc>
        <w:tc>
          <w:tcPr>
            <w:tcW w:w="110" w:type="dxa"/>
            <w:tcBorders/>
            <w:vAlign w:val="center"/>
          </w:tcPr>
          <w:p>
            <w:pPr>
              <w:pStyle w:val="TableContents"/>
              <w:bidi w:val="0"/>
              <w:spacing w:before="0" w:after="283"/>
              <w:jc w:val="center"/>
              <w:rPr/>
            </w:pPr>
            <w:r>
              <w:rPr/>
              <w:t> </w:t>
            </w:r>
          </w:p>
        </w:tc>
        <w:tc>
          <w:tcPr>
            <w:tcW w:w="263"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Financing</w:t>
            </w:r>
          </w:p>
        </w:tc>
        <w:tc>
          <w:tcPr>
            <w:tcW w:w="80" w:type="dxa"/>
            <w:tcBorders/>
            <w:vAlign w:val="center"/>
          </w:tcPr>
          <w:p>
            <w:pPr>
              <w:pStyle w:val="TableContents"/>
              <w:bidi w:val="0"/>
              <w:spacing w:before="0" w:after="283"/>
              <w:jc w:val="center"/>
              <w:rPr/>
            </w:pPr>
            <w:r>
              <w:rPr/>
              <w:t> </w:t>
            </w:r>
          </w:p>
        </w:tc>
        <w:tc>
          <w:tcPr>
            <w:tcW w:w="292" w:type="dxa"/>
            <w:tcBorders/>
            <w:vAlign w:val="center"/>
          </w:tcPr>
          <w:p>
            <w:pPr>
              <w:pStyle w:val="TableContents"/>
              <w:bidi w:val="0"/>
              <w:spacing w:before="0" w:after="283"/>
              <w:jc w:val="center"/>
              <w:rPr>
                <w:caps w:val="false"/>
                <w:smallCaps w:val="false"/>
              </w:rPr>
            </w:pPr>
            <w:r>
              <w:rPr>
                <w:caps w:val="false"/>
                <w:smallCaps w:val="false"/>
              </w:rPr>
              <w:t> </w:t>
            </w:r>
          </w:p>
        </w:tc>
        <w:tc>
          <w:tcPr>
            <w:tcW w:w="10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 Forma</w:t>
              <w:br/>
              <w:t>Combined 6[i]</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2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Twelve Months </w:t>
              <w:br/>
              <w:t xml:space="preserve">Ended </w:t>
              <w:br/>
              <w:t>October 3,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Twelve Months </w:t>
              <w:br/>
              <w:t xml:space="preserve">Ended </w:t>
              <w:br/>
              <w:t>September 27,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385"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292" w:type="dxa"/>
            <w:tcBorders/>
            <w:vAlign w:val="center"/>
          </w:tcPr>
          <w:p>
            <w:pPr>
              <w:pStyle w:val="TableContents"/>
              <w:bidi w:val="0"/>
              <w:spacing w:before="0" w:after="283"/>
              <w:jc w:val="center"/>
              <w:rPr>
                <w:caps w:val="false"/>
                <w:smallCaps w:val="false"/>
              </w:rPr>
            </w:pPr>
            <w:r>
              <w:rPr>
                <w:caps w:val="false"/>
                <w:smallCaps w:val="false"/>
              </w:rPr>
              <w:t> </w:t>
            </w:r>
          </w:p>
        </w:tc>
        <w:tc>
          <w:tcPr>
            <w:tcW w:w="10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October 3, 2025</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7,750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6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6[e]</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4,916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6[e]</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center"/>
              <w:rPr/>
            </w:pPr>
            <w:r>
              <w:rPr/>
              <w:t> </w:t>
            </w:r>
          </w:p>
        </w:tc>
        <w:tc>
          <w:tcPr>
            <w:tcW w:w="228"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256</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6[g]</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center"/>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center"/>
              <w:rPr/>
            </w:pPr>
            <w:r>
              <w:rPr/>
              <w:t> </w:t>
            </w:r>
          </w:p>
        </w:tc>
        <w:tc>
          <w:tcPr>
            <w:tcW w:w="228"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229</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6[a][1]</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6[c]</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6[a][2]</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6[b]</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center"/>
              <w:rPr/>
            </w:pPr>
            <w:r>
              <w:rPr/>
              <w:t> </w:t>
            </w:r>
          </w:p>
        </w:tc>
        <w:tc>
          <w:tcPr>
            <w:tcW w:w="228"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6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6[e]</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center"/>
              <w:rPr/>
            </w:pPr>
            <w:r>
              <w:rPr/>
              <w:t> </w:t>
            </w:r>
          </w:p>
        </w:tc>
        <w:tc>
          <w:tcPr>
            <w:tcW w:w="228"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Marketing and selling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6[a][1]</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6[a][2]</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intangibles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6[e]</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Restructuring and other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6[a][3]</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Goodwill and intangible asset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6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6[h]</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operating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6[a][3]</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(739</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9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6[d]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(249</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(benefit)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6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6[f]</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9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6[f]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6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Earnings (loss) per share:</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center"/>
              <w:rPr/>
            </w:pPr>
            <w:r>
              <w:rPr/>
              <w:t> </w:t>
            </w:r>
          </w:p>
        </w:tc>
        <w:tc>
          <w:tcPr>
            <w:tcW w:w="228"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(0.22</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(0.22</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Weighted average shares: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center"/>
              <w:rPr/>
            </w:pPr>
            <w:r>
              <w:rPr/>
              <w:t> </w:t>
            </w:r>
          </w:p>
        </w:tc>
        <w:tc>
          <w:tcPr>
            <w:tcW w:w="228"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263"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263"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4"/>
        <w:gridCol w:w="60"/>
        <w:gridCol w:w="213"/>
        <w:gridCol w:w="827"/>
        <w:gridCol w:w="80"/>
        <w:gridCol w:w="60"/>
        <w:gridCol w:w="213"/>
        <w:gridCol w:w="832"/>
        <w:gridCol w:w="60"/>
        <w:gridCol w:w="60"/>
        <w:gridCol w:w="288"/>
        <w:gridCol w:w="917"/>
        <w:gridCol w:w="80"/>
        <w:gridCol w:w="374"/>
        <w:gridCol w:w="230"/>
        <w:gridCol w:w="660"/>
        <w:gridCol w:w="80"/>
        <w:gridCol w:w="258"/>
        <w:gridCol w:w="182"/>
        <w:gridCol w:w="708"/>
        <w:gridCol w:w="232"/>
        <w:gridCol w:w="60"/>
        <w:gridCol w:w="155"/>
        <w:gridCol w:w="732"/>
        <w:gridCol w:w="100"/>
      </w:tblGrid>
      <w:tr>
        <w:trPr/>
        <w:tc>
          <w:tcPr>
            <w:tcW w:w="27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7"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27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Skyworks</w:t>
              <w:br/>
              <w:t>Solutions, Inc.</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Qorvo, Inc.</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05" w:type="dxa"/>
            <w:gridSpan w:val="2"/>
            <w:tcBorders/>
            <w:vAlign w:val="center"/>
          </w:tcPr>
          <w:p>
            <w:pPr>
              <w:pStyle w:val="TableContents"/>
              <w:bidi w:val="0"/>
              <w:spacing w:before="0" w:after="283"/>
              <w:jc w:val="center"/>
              <w:rPr/>
            </w:pPr>
            <w:r>
              <w:rPr/>
              <w:t> </w:t>
            </w:r>
            <w:r>
              <w:rPr>
                <w:b/>
                <w:sz w:val="16"/>
              </w:rPr>
              <w:t>Reclassification</w:t>
            </w:r>
          </w:p>
        </w:tc>
        <w:tc>
          <w:tcPr>
            <w:tcW w:w="80" w:type="dxa"/>
            <w:tcBorders/>
            <w:vAlign w:val="center"/>
          </w:tcPr>
          <w:p>
            <w:pPr>
              <w:pStyle w:val="TableContents"/>
              <w:bidi w:val="0"/>
              <w:spacing w:before="0" w:after="283"/>
              <w:jc w:val="center"/>
              <w:rPr/>
            </w:pPr>
            <w:r>
              <w:rPr/>
              <w:t> </w:t>
            </w:r>
          </w:p>
        </w:tc>
        <w:tc>
          <w:tcPr>
            <w:tcW w:w="374"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Merger</w:t>
            </w:r>
          </w:p>
        </w:tc>
        <w:tc>
          <w:tcPr>
            <w:tcW w:w="80" w:type="dxa"/>
            <w:tcBorders/>
            <w:vAlign w:val="center"/>
          </w:tcPr>
          <w:p>
            <w:pPr>
              <w:pStyle w:val="TableContents"/>
              <w:bidi w:val="0"/>
              <w:spacing w:before="0" w:after="283"/>
              <w:jc w:val="center"/>
              <w:rPr/>
            </w:pPr>
            <w:r>
              <w:rPr/>
              <w:t> </w:t>
            </w:r>
          </w:p>
        </w:tc>
        <w:tc>
          <w:tcPr>
            <w:tcW w:w="258"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Financing</w:t>
            </w:r>
          </w:p>
        </w:tc>
        <w:tc>
          <w:tcPr>
            <w:tcW w:w="2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 Forma</w:t>
              <w:br/>
              <w:t>Combined</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As of </w:t>
              <w:br/>
              <w:t>April 3,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As of </w:t>
              <w:br/>
              <w:t>March 28,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374"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258"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23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As of </w:t>
              <w:br/>
              <w:t>April 3, 2026</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ASSETS</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89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center"/>
              <w:rPr/>
            </w:pPr>
            <w:r>
              <w:rPr/>
              <w:t> </w:t>
            </w:r>
          </w:p>
        </w:tc>
        <w:tc>
          <w:tcPr>
            <w:tcW w:w="890" w:type="dxa"/>
            <w:gridSpan w:val="2"/>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87" w:type="dxa"/>
            <w:gridSpan w:val="2"/>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assets: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16"/>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(2,860)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7[b]</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2,835</w:t>
              <w:tab/>
            </w:r>
          </w:p>
        </w:tc>
        <w:tc>
          <w:tcPr>
            <w:tcW w:w="23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Receivables, net of allowances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243</w:t>
              <w:tab/>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7[c]</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7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7[a][1]</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7[a][2]</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7[a][1]</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7[a][2]</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2,835</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5,650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52</w:t>
              <w:tab/>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7[a][3]</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(2,353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7[d]</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6,667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4,490</w:t>
              <w:tab/>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7[d]</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7[e]</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4,365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3,643</w:t>
              <w:tab/>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7[e]</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Deferred tax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131</w:t>
              <w:tab/>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7[f]</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7[a][5]</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7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7[a][3]</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7[a][4]</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16</w:t>
              <w:tab/>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7[a][5]</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center"/>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2,835</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19,467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center"/>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16"/>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157</w:t>
              <w:tab/>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7[g]</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Accrued compensation and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121</w:t>
              <w:tab/>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7[a][6]</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50</w:t>
              <w:tab/>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7[h]</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17</w:t>
              <w:tab/>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7[i]</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portion of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7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7[a][6]</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7[a][7]</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7[a][7]</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7[j]</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2,835</w:t>
              <w:tab/>
            </w:r>
          </w:p>
        </w:tc>
        <w:tc>
          <w:tcPr>
            <w:tcW w:w="23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4,790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7[a][8]</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7[f]</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740</w:t>
              <w:tab/>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7[f]</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7[a][9]</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7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7[i]</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7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7[a][9]</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2,835</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8,171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Stockholders’ equity:</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center"/>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(3,302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7[k]</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22</w:t>
              <w:tab/>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7[b]</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5,715</w:t>
              <w:tab/>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7[b]</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5,890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7[k]</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5,351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(157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7[g]</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7[h]</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5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7[k]</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11,296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2,835</w:t>
            </w:r>
          </w:p>
        </w:tc>
        <w:tc>
          <w:tcPr>
            <w:tcW w:w="2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19,467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Description Of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Skyworks, Qorvo, Merger Sub I and Merger Sub II entered into the Merger Agreement. Pursuant to the terms of the Merger Agreement, and subject to the satisfaction or waiver of the conditions specified therein, (a) Merger Sub I will merge with and into Qorvo, with Qorvo continuing as the Surviving Corporation, and (b) immediately following the First Merger and as the second step in a single integrated transaction with the First Merger, the Surviving Corporation will merge with and into Merger Sub II, with Merger Sub II continuing as the Surviving Company and a wholly-owned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First Merger (the “Effective Time”), each share of Qorvo common stock issued and outstanding immediately prior to the Effective Time, except for shares held by Skyworks or Qorvo, or their direct or indirect subsidiaries (other than, with respect to shares held by Skyworks, Qorvo, Merger Sub I, or Merger Sub II, shares held on behalf of third parties), will be converted automatically into the right to receive (i) 0.960 shares (the “Exchange Ratio”) of Skyworks common stock, without interest, and (ii) $32.50 in cash, without interest (the “Per Share Cash Amount”), subject to applicable withholding taxes (collectively,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were prepared on the basis that Skyworks, assuming receipt of the requisite regulatory approvals and completion of the Mergers, will account for the Mergers as a purchase of Qorvo using the acquisition method pursuant to Financial Accounting Standards Board (FASB) Accounting Standards Codification (ASC) 805, Business Combinations. Under the acquisition method, the assets and liabilities of Qorvo are recorded at their fair value at the effective time of the Mergers. In addition, the total consideration, measured at the market price at the Effective Time, is allocated to the tangible and intangible assets acquired and liabilities assumed. Fair value is defined in ASC 820, Fair Value Measurements, as “the price that would be received to sell an asset or paid to transfer a liability in an orderly transaction between market participants at the measurement date.” Many of these fair value measurements can be highly subjective, and it is possible that other professionals, applying reasonable judgment to the same facts and circumstances, could develop and support a range of alternative estimated amounts. Once requisite regulatory approvals are received, Skyworks will consolidate Qorvo prospectively.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accounting adjustments to the Pro Forma Financial Statements are preliminary and have been made solely for the purpose of presenting the Pro Forma Financial Statements, which are necessary to comply with applicable disclosure and reporting requirements. The allocation of the estimated consideration is pending finalization of various estimates, inputs, and analyses. Since these Pro Forma Financial Statements were prepared based on preliminary estimates of consideration and fair values attributable to the purchase of Qorvo, the actual amounts eventually recorded for the purchase accounting, including the identifiable goodwill, may differ materially from the information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were prepared from and should be read in conjunction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Skyworks, as included in Skyworks’ Annual Report on Form 10-K for the fiscal year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Consolidated Financial Statements of Skyworks, as included in Skyworks’ Quarterly Report on Form 10-Q for the quarterly period ended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Qorvo for the fiscal years ended March 28, 2026 and March 29, 2025, as included in Qorvo’s Annual Report on Form 10-K for the fiscal year ended March 28, 2026 and March 29, 2025;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Condensed Consolidated Financial Statements of Qorvo for the quarterly periods ended September 27, 2025 and September 28, 2024, as included in Qorvo’s Quarterly Report on Form 10-Q for the quarterly period ended September 27, 2025 and September 28,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include adjustments necessary to be consistent with GAAP and in accordance with Regulation S-X Article 11. The Pro Forma Statements of Operations give effect to the Mergers as if they occurred on September 28, 2024. The Pro Forma Balance Sheet gives effect to the Mergers as if they had occurred on April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post-merger costs, such as restructuring and integration charges. Under ASC 805, acquisition-related transaction costs (e.g., advisory, legal, valuation, and other professional fees) are not included as a component of consideration transferred but are accounted for as expenses in the periods in which the costs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are based on various adjustments and assumptions and are not necessarily indicative of what the combined statements of operations or financial position would have actually been had the transaction accounting adjustments been completed as of the dates indicated. Further, the Pro Forma Financial Statements do not purport to project the future financial position or results of operations of the Combined Company after the Mergers, which may differ materially and adversely from the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Skyworks is not aware of any differences in accounting policies that would have a material impact on the Pro Forma Financial Statements. The known differences in classifications were included in the transaction accounting adjustments described in Notes 6 and 7 under the heading “Reclassification adjustments”. Following the Mergers, Skyworks will conduct a review of Qorvo’s accounting policies in an effort to determine if there are any material differences that require reclassification of Qorvo’s revenues, expenses, assets, or liabilities to conform with Skyworks’ accounting policies and classifications. As a result of that review, Skyworks may identify differences between the accounting policies and classifications of the two companies that, when conformed, could have a material impact on the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Estimate Of Consideration Expected To Be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described in Note 1 of these Pro Forma Financial Statements are anticipated to result in the following estimated merger consideration (in millions):</w:t>
      </w:r>
    </w:p>
    <w:p>
      <w:pPr>
        <w:pStyle w:val="TextBody"/>
        <w:bidi w:val="0"/>
        <w:spacing w:before="0" w:after="0"/>
        <w:ind w:left="0" w:right="0" w:hanging="0"/>
        <w:jc w:val="left"/>
        <w:rPr>
          <w:caps w:val="false"/>
          <w:smallCaps w:val="false"/>
        </w:rPr>
      </w:pPr>
      <w:r>
        <w:rPr>
          <w:caps w:val="false"/>
          <w:smallCaps w:val="false"/>
        </w:rPr>
        <w:t> </w:t>
      </w:r>
    </w:p>
    <w:tbl>
      <w:tblPr>
        <w:tblW w:w="8660" w:type="dxa"/>
        <w:jc w:val="left"/>
        <w:tblInd w:w="0" w:type="dxa"/>
        <w:tblLayout w:type="fixed"/>
        <w:tblCellMar>
          <w:top w:w="0" w:type="dxa"/>
          <w:left w:w="0" w:type="dxa"/>
          <w:bottom w:w="0" w:type="dxa"/>
          <w:right w:w="0" w:type="dxa"/>
        </w:tblCellMar>
      </w:tblPr>
      <w:tblGrid>
        <w:gridCol w:w="7610"/>
        <w:gridCol w:w="60"/>
        <w:gridCol w:w="245"/>
        <w:gridCol w:w="60"/>
        <w:gridCol w:w="125"/>
        <w:gridCol w:w="485"/>
        <w:gridCol w:w="75"/>
      </w:tblGrid>
      <w:tr>
        <w:trPr/>
        <w:tc>
          <w:tcPr>
            <w:tcW w:w="76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 Transferred [a]:</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cash consideration</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Skyworks common stock to be issued</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assumed Qorvo equity awards attributable to pre-combination services</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merger consideration</w:t>
            </w:r>
          </w:p>
        </w:tc>
        <w:tc>
          <w:tcPr>
            <w:tcW w:w="6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cash consideration</w:t>
            </w:r>
          </w:p>
        </w:tc>
        <w:tc>
          <w:tcPr>
            <w:tcW w:w="6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equity consideration</w:t>
            </w:r>
          </w:p>
        </w:tc>
        <w:tc>
          <w:tcPr>
            <w:tcW w:w="6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merger consideration</w:t>
            </w:r>
          </w:p>
        </w:tc>
        <w:tc>
          <w:tcPr>
            <w:tcW w:w="6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are provided for general information, do not purport to be complete, and are qualified in their entirety by reference to the full text of the Merger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The total estimated merger consideration does not purport to represent the actual value of the Merger Consideration that will be received by Qorvo shareholders and employees after the Mergers are completed.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Skyworks common stock to be issued in the Mergers is estimated at $66.78 per share, which is the closing stock price on May 8, 2026, a date that was in reasonable proximity to the filing date of these Pro Forma Financial Statements. The actual value of the Merger Consideration will be based on the closing price of Skyworks common stock at the Effective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issued and outstanding shares of Qorvo common stock was estimated at 88,013,673 based on the shares outstanding on May 1, 2026. The actual Merger Consideration will be based on the actual Qorvo common stock outstanding as of immediately prior to the closing of the Mergers.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or decrease of 10% in the price of Skyworks common stock would cause approximately a $574 million increase or decrease in the estimated value of the total consideration, which would correspondingly increase or decrease the estimated value of goodwill.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Each share of Qorvo common stock outstanding will also receive $32.50 in cash, without interest, subject to applicable withholding taxes.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[c]</w:t>
            </w:r>
          </w:p>
        </w:tc>
        <w:tc>
          <w:tcPr>
            <w:tcW w:w="9886" w:type="dxa"/>
            <w:tcBorders/>
            <w:vAlign w:val="center"/>
          </w:tcPr>
          <w:p>
            <w:pPr>
              <w:pStyle w:val="TableContents"/>
              <w:bidi w:val="0"/>
              <w:spacing w:before="0" w:after="283"/>
              <w:jc w:val="both"/>
              <w:rPr/>
            </w:pPr>
            <w:r>
              <w:rPr/>
              <w:t>Each share of Qorvo common stock outstanding will receive 0.960 share of Skyworks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both"/>
              <w:rPr/>
            </w:pPr>
            <w:r>
              <w:rPr/>
              <w:t>At the Effective Time, each outstanding Qorvo restricted stock unit (each, a “Qorvo RSU Award”) that is (A) vested but not yet settled as of immediately prior to the Effective Time, (B) by its terms becomes vested in all respects as a result of the occurrence of the Closing or (C) is held by a non-employee member of the Qorvo board of directors (“Qorvo Board”) as of immediately prior to the Effective Time (collectively, the “Accelerated Qorvo RSUs”), shall be cancelled in consideration for the right to receive (1) the Merger Consideration in respect of each share of Qorvo common stock that was subject to such Accelerated Qorvo RSU immediately prior to the Effective Time and (2) an amount in cash equal to all dividend equivalents, if any, accrued but unpaid as of the Effective Time with respect to each such Accelerated Qorvo RSU (collectively, the “Accelerated RSU Consideration”). The number of shares of Qorvo common stock subject to any Accelerated Qorvo RSUs that remains subject to performance-based vesting conditions as of immediately prior to the date on which the closing of the Mergers occurs (the “Closing Date”) (i.e., any Qorvo RSU Award for which the level of performance vesting has not yet been determined) shall be determined by assuming, in respect of such Qorvo RSU Award, achievement at target performance (except that such number for each holder with an individual agreement (each, an “Individual Agreement”) shall be determined by assuming achievement at the greater of (I) target performance and (II) actual performance as of immediately prior to the Effective Time as determined in good faith by the Compensation Committee of the Qorvo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Qorvo RSU Award that is outstanding immediately prior to the Effective Time, other than an Accelerated Qorvo RSU, without any action on the part of Skyworks, Qorvo or the holder thereof, shall be assumed by Skyworks and converted automatically into and become a restricted stock unit award covering shares of Skyworks Common Stock (each, an “Adjusted RSU Award”), on the same terms and conditions as were applicable under the Qorvo RSU Award as of immediately prior to the Effective Time (except as set forth in Section 3.2(a)(ii) of the Merger Agreement and other than performance-based vesting conditions, which shall not apply following the Effective Time, with dividend equivalents continuing to accrue in respect of such Adjusted RSU Awards and with all accrued dividend equivalents (whether accrued prior to, at or after the Effective Time) paid at the time that such Adjusted RSU Award is settled), except that the number of shares of Skyworks common stock subject to the Adjusted RSU Award as of the Effective Time will be determined by multiplying (A) the number of shares of Qorvo common stock subject to the corresponding Qorvo RSU Award immediately prior to the Effective Time by (B) an amount equal to the sum of (i) the Exchange Ratio, plus (ii) the quotient obtained by dividing the Per Share Cash Amount by the volume weighted average trading price of Skyworks common stock on Nasdaq for the five (5) consecutive trading days ending on the trading day immediately preceding the Closing Date, as calculated by Bloomberg L.P. (such amount, the “Conversion Ratio”), with any fractional shares in the resulting product rounded to the nearest whole share. The number of shares of Qorvo common stock subject to any Qorvo RSU Award that remains subject to performance-based vesting conditions as of immediately prior to the Closing Date, including any accrued but unpaid dividend equivalents thereon (i.e., any Qorvo RSU Award for which the level of performance vesting has not yet been determined), shall be determined by assuming, in respect of such Qorvo RSU Award, achievement at target performance (except that such number for each holder with an Individual Agreement shall be determined by assuming achievement at the greater of (1) target performance and (2) actual performance as of immediately prior to the Effective Time as determined in good faith by the Compensation Committee of the Qorvo Board). In the event of a termination of employment of any holder of an Adjusted RSU Award by Skyworks, the Surviving Company or one of their affiliates without “cause” or by such holder with “good reason” (as defined in the applicable Qorvo Stock Plan or award agreement), in each case within the eighteen (18)-month period following the Closing Date, any such Adjusted RSU Award(s) held by such holder shall accelerate and vest in full. For the avoidance of doubt, any unpaid dividend equivalents accrued in respect of an Adjusted RSU Award shall be paid at such time as the Adjusted RSU Award vests and settles.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Qorvo equity awards attributable to pre-combination and post-combination service is estimated based on the ratio of the service period rendered as of May 1, 2026 to the total service period. The fair value of awards attributed to pre-combination service was recognized as a component of the purchase price. For the purpose of these Pro Forma Financial Statements, we assumed that all outstanding Qorvo RSU Awards and performance goals applicable to Qorvo RSU Awards that are subject to performance-based vesting conditions (each, a “Qorvo PBRSU Award”) on May 1, 2026, were outstanding at the effective time of the Mergers and each Qorvo PBRSU Award was converted to Skyworks stock unit awards based on the target level of performance.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Qorvo’s outstanding equity awards, and certain of Skyworks’ outstanding equity awards, include a provision for acceleration of vesting in certain circumstances involving termination in connection with a change in control. No adjustments have been made to the Pro Forma Financial Statements as a result of this provision, as Skyworks cannot currently predict the nature and extent of terminations to be made in connection with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Estimate Of Assets To Be Acquired And Liabilities To Be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acquisition method of accounting, Qorvo’s identifiable assets acquired and liabilities assumed by Skyworks will be recorded at the acquisition date fair values and added to those of Skyworks. The pro forma adjustments are preliminary and based on estimates of the fair value and useful lives of the assets acquired and liabilities assumed and are prepared to illustrate the estimated effect of the transactions contemplated by the Merger Agreement (the “Transactions”). The final determination of the purchase price allocation will be completed as soon as practicable after the completion of the Transactions and will be based on the fair values of the assets acquired and liabilities assumed as of the Closing Date. The final amounts allocated to assets acquired and liabilities assumed could differ significantly from the amounts presented in the Pro Forma Financial Statements.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material changes to the estimates of fair value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is preliminary and will change as a result of several factors, including the finalization of the fair value measurement of assets acquired and liabilities assumed. The following is a preliminary estimate of the assets to be acquired and the liabilities to be assumed by Skyworks at the effective time of the Mergers, reconciled to the preliminary Merger Consideration (in millions):</w:t>
      </w:r>
    </w:p>
    <w:p>
      <w:pPr>
        <w:pStyle w:val="TextBody"/>
        <w:bidi w:val="0"/>
        <w:spacing w:before="0" w:after="0"/>
        <w:ind w:left="0" w:right="0" w:hanging="0"/>
        <w:jc w:val="left"/>
        <w:rPr>
          <w:caps w:val="false"/>
          <w:smallCaps w:val="false"/>
        </w:rPr>
      </w:pPr>
      <w:r>
        <w:rPr>
          <w:caps w:val="false"/>
          <w:smallCaps w:val="false"/>
        </w:rPr>
        <w:t> </w:t>
      </w:r>
    </w:p>
    <w:tbl>
      <w:tblPr>
        <w:tblW w:w="5974" w:type="dxa"/>
        <w:jc w:val="left"/>
        <w:tblInd w:w="0" w:type="dxa"/>
        <w:tblLayout w:type="fixed"/>
        <w:tblCellMar>
          <w:top w:w="0" w:type="dxa"/>
          <w:left w:w="0" w:type="dxa"/>
          <w:bottom w:w="0" w:type="dxa"/>
          <w:right w:w="0" w:type="dxa"/>
        </w:tblCellMar>
      </w:tblPr>
      <w:tblGrid>
        <w:gridCol w:w="3740"/>
        <w:gridCol w:w="245"/>
        <w:gridCol w:w="60"/>
        <w:gridCol w:w="341"/>
        <w:gridCol w:w="1493"/>
        <w:gridCol w:w="95"/>
      </w:tblGrid>
      <w:tr>
        <w:trPr/>
        <w:tc>
          <w:tcPr>
            <w:tcW w:w="3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Fair Value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 of allowances</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other current liabilities</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identifiable net assets</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purchase price</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goodwill</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Balances represent the estimated fair value of tangible assets acquired and liabilities assumed. These estimates are based on a preliminary valuation performed as of April 3, 2026, and are subject to further review by management. See Note 7 below for a further explanation of the assumptions related to the fair value estimates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i/>
              </w:rPr>
              <w:t>Property, plant, and equipment, net</w:t>
            </w:r>
            <w:r>
              <w:rPr/>
              <w:t>—The carrying value of Qorvo’s property and equipment was used in the preliminary purchase price allocation, and no adjustments were made to the unaudited pro forma condensed combined balance sheet. Adjustments may be required when additional information is obtained and a more detailed review is performed over the fair value of property and equipment. The actual amounts recorded when the Mergers are completed may differ materially from the current book value of property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i/>
              </w:rPr>
              <w:t>Intangible assets, net</w:t>
            </w:r>
            <w:r>
              <w:rPr/>
              <w:t>—Estimated fair value as of the Pro Forma Balance Sheet date was comprised of (in millions):</w:t>
            </w:r>
          </w:p>
        </w:tc>
      </w:tr>
    </w:tbl>
    <w:p>
      <w:pPr>
        <w:pStyle w:val="TextBody"/>
        <w:bidi w:val="0"/>
        <w:spacing w:before="0" w:after="0"/>
        <w:ind w:left="0" w:right="0" w:hanging="0"/>
        <w:jc w:val="left"/>
        <w:rPr>
          <w:caps w:val="false"/>
          <w:smallCaps w:val="false"/>
        </w:rPr>
      </w:pPr>
      <w:r>
        <w:rPr>
          <w:caps w:val="false"/>
          <w:smallCaps w:val="false"/>
        </w:rPr>
        <w:t> </w:t>
      </w:r>
    </w:p>
    <w:tbl>
      <w:tblPr>
        <w:tblW w:w="6689" w:type="dxa"/>
        <w:jc w:val="left"/>
        <w:tblInd w:w="0" w:type="dxa"/>
        <w:tblLayout w:type="fixed"/>
        <w:tblCellMar>
          <w:top w:w="0" w:type="dxa"/>
          <w:left w:w="0" w:type="dxa"/>
          <w:bottom w:w="28" w:type="dxa"/>
          <w:right w:w="0" w:type="dxa"/>
        </w:tblCellMar>
      </w:tblPr>
      <w:tblGrid>
        <w:gridCol w:w="2495"/>
        <w:gridCol w:w="60"/>
        <w:gridCol w:w="1835"/>
        <w:gridCol w:w="60"/>
        <w:gridCol w:w="60"/>
        <w:gridCol w:w="430"/>
        <w:gridCol w:w="1674"/>
        <w:gridCol w:w="75"/>
      </w:tblGrid>
      <w:tr>
        <w:trPr/>
        <w:tc>
          <w:tcPr>
            <w:tcW w:w="24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 Life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Fair Value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based intangibles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Customer-based intangibles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pPr>
            <w:r>
              <w:rPr>
                <w:i/>
              </w:rPr>
              <w:t>Estimated Goodwill</w:t>
            </w:r>
            <w:r>
              <w:rPr/>
              <w:t>—Represents the excess of the preliminary estimated Merger Consideration over the estimated fair value of the underlying net assets acquired. Goodwill will not be amortized but instead will be reviewed for impairment annually on the first day of the fourth fiscal quarter, or more frequently if facts and circumstances warrant a review. Goodwill is attributable to the assembled workforce of Qorvo, planned growth in new markets, and synergies expected to be achieved from the combined operations of Skyworks and Qorvo. Goodwill recognized in the Merger is not expected to be deductible for tax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Pro Forma Statement Of Operations Accounting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i/>
              </w:rPr>
              <w:t>Reclassification adjustments</w:t>
            </w:r>
            <w:r>
              <w:rPr/>
              <w:t>—Certain reclassification transaction accounting adjustments were made to the Pro Forma Statements of Operations to make the presentation conform to the presentation adopted by Skyworks.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Revised the presentation of Qorvo’s marketing and selling expense in the amount of $99 million and $229 million to selling, general, and administrative for the six months ended March 28, 2026 and twelve months ended September 27,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Revised the presentation of Qorvo’s general and administrative expense in the amount of $67 million and $167 million to selling, general, and administrative for the six months ended March 28, 2026 and twelve months ended September 27,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[3]</w:t>
            </w:r>
          </w:p>
        </w:tc>
        <w:tc>
          <w:tcPr>
            <w:tcW w:w="9924" w:type="dxa"/>
            <w:tcBorders/>
            <w:vAlign w:val="center"/>
          </w:tcPr>
          <w:p>
            <w:pPr>
              <w:pStyle w:val="TableContents"/>
              <w:bidi w:val="0"/>
              <w:spacing w:before="0" w:after="283"/>
              <w:jc w:val="both"/>
              <w:rPr/>
            </w:pPr>
            <w:r>
              <w:rPr/>
              <w:t>Revised the presentation of Qorvo’s other operating expense in the amount of $39 million and $105 million to restructuring and other charges for the six months ended March 28, 2026 and twelve months ended September 27,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i/>
              </w:rPr>
              <w:t>Retention cash bonuses</w:t>
            </w:r>
            <w:r>
              <w:rPr/>
              <w:t>—Related to the Mergers, Qorvo and Skyworks have each established retention cash bonus programs for its respective employees. While the Skyworks retention program includes that grants to certain individuals, if any, will be in the form of equity, certain details of the plans have yet to be determined, and the entire program is assumed to be cash awards for purposes of the Pro Forma Financial Statements. For the purposes of the Pro Forma Statements of Operations, the compensation and benefits expense reflects the maximum amount payable under the retention cash bonus programs and was assumed to be amortized completely in the twelve months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i/>
              </w:rPr>
              <w:t>Merger costs</w:t>
            </w:r>
            <w:r>
              <w:rPr/>
              <w:t>—Reflects the total estimated transaction costs for Skyworks that have not yet been recognized in the statement of operations for the twelve months ended October 3, 2025. Transaction costs are expensed as incurred and reflected as if incurred on September 28, 2024, and the date the Transactions are assumed to have been completed for the purposes of the Pro Forma Statements of Operations. This is a non-recurring item.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pPr>
            <w:r>
              <w:rPr>
                <w:i/>
              </w:rPr>
              <w:t>Interest expense</w:t>
            </w:r>
            <w:r>
              <w:rPr/>
              <w:t>—For the purposes of these Pro Forma Financial Statements, we assume the entire cash consideration will be funded through new debt; however, we expect cash consideration will be funded through a combination of new debt and cash accumulated through cash provided by operating activities. The Pro Forma Statements of Operations assume that Skyworks funded the entire cash consideration through the issuance of new debt as of September 28, 2024, a reasonable interest rate of 5%, and issuance costs of $25 million that will be amortized over an assumed life of 10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hypothetical increase or decrease of 0.125% in the assumed interest rate would result in a $4 million increase or decrease in the estimated annual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$1 billion of cash is accumulated before the Effective Time and the amount of debt used to cover the cash consideration is correspondingly reduced, assuming an interest rate of 5%, the estimated annual interest expense would decrease $50 million.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i/>
              </w:rPr>
              <w:t>Amortization expense</w:t>
            </w:r>
            <w:r>
              <w:rPr/>
              <w:t>—Represents the adjustment to record elimination of historical amortization expense and recognition of new amortization expense related to identifiable intangible assets based on the estimated fair value. Amortization expense is calculated based on the estimated fair value of each of the identifiable intangible assets and the associated estimated useful lives as discussed in Note 7(e) below, and is allocated between amortization of acquisition-related intangible assets – cost of goods sold and selling, general, and administrative expense based on the nature of activities associated with the intangible assets acquired.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[f]</w:t>
            </w:r>
          </w:p>
        </w:tc>
        <w:tc>
          <w:tcPr>
            <w:tcW w:w="9991" w:type="dxa"/>
            <w:tcBorders/>
            <w:vAlign w:val="center"/>
          </w:tcPr>
          <w:p>
            <w:pPr>
              <w:pStyle w:val="TableContents"/>
              <w:bidi w:val="0"/>
              <w:spacing w:before="0" w:after="283"/>
              <w:jc w:val="both"/>
              <w:rPr/>
            </w:pPr>
            <w:r>
              <w:rPr>
                <w:i/>
              </w:rPr>
              <w:t>Provision for income taxes</w:t>
            </w:r>
            <w:r>
              <w:rPr/>
              <w:t>—The estimated transaction accounting adjustments to income tax benefit relates primarily to the decrease in income before income taxes in the statement of operations for the six months ended April 3, 2026 and twelve months ended October 3, 2025, and the corresponding income tax benefit is recognized for the respective period presented. A blended statutory tax rate of approximately 15% is assumed for the amortization of intangible assets, and a blended statutory tax rate of approximately 18% is assumed for all other pro forma adjustments. The applicable blended statutory tax rates are based on the jurisdictions in which the assets are located and are not necessarily indicative of the effective tax rate of Skyworks following the transactions, which could be significantly different depending on post-acquisition activities, including the geographical mix of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[g]</w:t>
            </w:r>
          </w:p>
        </w:tc>
        <w:tc>
          <w:tcPr>
            <w:tcW w:w="9918" w:type="dxa"/>
            <w:tcBorders/>
            <w:vAlign w:val="center"/>
          </w:tcPr>
          <w:p>
            <w:pPr>
              <w:pStyle w:val="TableContents"/>
              <w:bidi w:val="0"/>
              <w:spacing w:before="0" w:after="283"/>
              <w:jc w:val="both"/>
              <w:rPr/>
            </w:pPr>
            <w:r>
              <w:rPr>
                <w:i/>
              </w:rPr>
              <w:t>Amortization of inventory step-up</w:t>
            </w:r>
            <w:r>
              <w:rPr/>
              <w:t>—Based on estimated inventory turnover, the inventory step-up fair value adjustment was assumed to be amortized completely in the twelve months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[h]</w:t>
            </w:r>
          </w:p>
        </w:tc>
        <w:tc>
          <w:tcPr>
            <w:tcW w:w="9939" w:type="dxa"/>
            <w:tcBorders/>
            <w:vAlign w:val="center"/>
          </w:tcPr>
          <w:p>
            <w:pPr>
              <w:pStyle w:val="TableContents"/>
              <w:bidi w:val="0"/>
              <w:spacing w:before="0" w:after="283"/>
              <w:jc w:val="both"/>
              <w:rPr/>
            </w:pPr>
            <w:r>
              <w:rPr>
                <w:i/>
              </w:rPr>
              <w:t>Goodwill Impairment</w:t>
            </w:r>
            <w:r>
              <w:rPr/>
              <w:t>—Represents the elimination of historical goodwill impairment of $37 million and $48 million recorded by Qorvo during the six months ended March 28, 2026 and twelve months ended September 27, 2025, respectively. Qorvo's historical goodwill is eliminated and replaced with goodwill resulting from the preliminary purchase price allocation. Accordingly, the historical goodwill impairment charge is no longer applicable and has been eliminated.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i/>
              </w:rPr>
              <w:t>Anticipated benefits and transaction related charges</w:t>
            </w:r>
            <w:r>
              <w:rPr/>
              <w:t>—The Pro Forma Financial Statements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post-transaction costs, such as restructuring and integration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Pro Forma Balance Sheet Accounting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i/>
              </w:rPr>
              <w:t>Reclassification adjustments</w:t>
            </w:r>
            <w:r>
              <w:rPr/>
              <w:t>—Certain reclassification transaction accounting adjustments were made to the Pro Forma Balance Sheet to make the presentation conform to the presentation adopted by Skyworks.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83" w:type="dxa"/>
            <w:tcBorders/>
            <w:vAlign w:val="center"/>
          </w:tcPr>
          <w:p>
            <w:pPr>
              <w:pStyle w:val="TableContents"/>
              <w:bidi w:val="0"/>
              <w:spacing w:before="0" w:after="283"/>
              <w:jc w:val="both"/>
              <w:rPr/>
            </w:pPr>
            <w:r>
              <w:rPr/>
              <w:t>Reclassified Qorvo’s prepaid expenses to other current assets in the amount of $37 million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[2]</w:t>
            </w:r>
          </w:p>
        </w:tc>
        <w:tc>
          <w:tcPr>
            <w:tcW w:w="9883" w:type="dxa"/>
            <w:tcBorders/>
            <w:vAlign w:val="center"/>
          </w:tcPr>
          <w:p>
            <w:pPr>
              <w:pStyle w:val="TableContents"/>
              <w:bidi w:val="0"/>
              <w:spacing w:before="0" w:after="283"/>
              <w:jc w:val="both"/>
              <w:rPr/>
            </w:pPr>
            <w:r>
              <w:rPr/>
              <w:t>Reclassified Qorvo’s other receivables to other current assets in the amount of $16 million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[3]</w:t>
            </w:r>
          </w:p>
        </w:tc>
        <w:tc>
          <w:tcPr>
            <w:tcW w:w="9900" w:type="dxa"/>
            <w:tcBorders/>
            <w:vAlign w:val="center"/>
          </w:tcPr>
          <w:p>
            <w:pPr>
              <w:pStyle w:val="TableContents"/>
              <w:bidi w:val="0"/>
              <w:spacing w:before="0" w:after="283"/>
              <w:jc w:val="both"/>
              <w:rPr/>
            </w:pPr>
            <w:r>
              <w:rPr/>
              <w:t>Reclassified a portion of Qorvo’s other long-term assets to operating lease right-of-use assets in the amount of $52 million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[4]</w:t>
            </w:r>
          </w:p>
        </w:tc>
        <w:tc>
          <w:tcPr>
            <w:tcW w:w="9896" w:type="dxa"/>
            <w:tcBorders/>
            <w:vAlign w:val="center"/>
          </w:tcPr>
          <w:p>
            <w:pPr>
              <w:pStyle w:val="TableContents"/>
              <w:bidi w:val="0"/>
              <w:spacing w:before="0" w:after="283"/>
              <w:jc w:val="both"/>
              <w:rPr/>
            </w:pPr>
            <w:r>
              <w:rPr/>
              <w:t>Reclassified a portion of Qorvo’s other long-term assets to deferred tax assets, net in the amount of $131 million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[5]</w:t>
            </w:r>
          </w:p>
        </w:tc>
        <w:tc>
          <w:tcPr>
            <w:tcW w:w="9888" w:type="dxa"/>
            <w:tcBorders/>
            <w:vAlign w:val="center"/>
          </w:tcPr>
          <w:p>
            <w:pPr>
              <w:pStyle w:val="TableContents"/>
              <w:bidi w:val="0"/>
              <w:spacing w:before="0" w:after="283"/>
              <w:jc w:val="both"/>
              <w:rPr/>
            </w:pPr>
            <w:r>
              <w:rPr/>
              <w:t>Reclassified Qorvo’s long-term investments to other long-term assets in the amount of $16 million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[6]</w:t>
            </w:r>
          </w:p>
        </w:tc>
        <w:tc>
          <w:tcPr>
            <w:tcW w:w="9900" w:type="dxa"/>
            <w:tcBorders/>
            <w:vAlign w:val="center"/>
          </w:tcPr>
          <w:p>
            <w:pPr>
              <w:pStyle w:val="TableContents"/>
              <w:bidi w:val="0"/>
              <w:spacing w:before="0" w:after="283"/>
              <w:jc w:val="both"/>
              <w:rPr/>
            </w:pPr>
            <w:r>
              <w:rPr/>
              <w:t>Reclassified a portion of Qorvo’s accrued liabilities to accrued compensation and benefits in the amount of $121 million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[7]</w:t>
            </w:r>
          </w:p>
        </w:tc>
        <w:tc>
          <w:tcPr>
            <w:tcW w:w="9899" w:type="dxa"/>
            <w:tcBorders/>
            <w:vAlign w:val="center"/>
          </w:tcPr>
          <w:p>
            <w:pPr>
              <w:pStyle w:val="TableContents"/>
              <w:bidi w:val="0"/>
              <w:spacing w:before="0" w:after="283"/>
              <w:jc w:val="both"/>
              <w:rPr/>
            </w:pPr>
            <w:r>
              <w:rPr/>
              <w:t>Reclassified the remaining portion of Qorvo’s accrued liabilities to other current liabilities in the amount of $127 million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[8]</w:t>
            </w:r>
          </w:p>
        </w:tc>
        <w:tc>
          <w:tcPr>
            <w:tcW w:w="9897" w:type="dxa"/>
            <w:tcBorders/>
            <w:vAlign w:val="center"/>
          </w:tcPr>
          <w:p>
            <w:pPr>
              <w:pStyle w:val="TableContents"/>
              <w:bidi w:val="0"/>
              <w:spacing w:before="0" w:after="283"/>
              <w:jc w:val="both"/>
              <w:rPr/>
            </w:pPr>
            <w:r>
              <w:rPr/>
              <w:t>Reclassified a portion of Qorvo’s other long-term liabilities to long-term tax liabilities in the amount of $89 million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[9]</w:t>
            </w:r>
          </w:p>
        </w:tc>
        <w:tc>
          <w:tcPr>
            <w:tcW w:w="9902" w:type="dxa"/>
            <w:tcBorders/>
            <w:vAlign w:val="center"/>
          </w:tcPr>
          <w:p>
            <w:pPr>
              <w:pStyle w:val="TableContents"/>
              <w:bidi w:val="0"/>
              <w:spacing w:before="0" w:after="283"/>
              <w:jc w:val="both"/>
              <w:rPr/>
            </w:pPr>
            <w:r>
              <w:rPr/>
              <w:t>Reclassified a portion of Qorvo’s other long-term liabilities to long-term operating lease liabilities in the amount of $40 million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i/>
              </w:rPr>
              <w:t>Consideration</w:t>
            </w:r>
            <w:r>
              <w:rPr/>
              <w:t>—Represents the total Merger Consideration of $8,597 million, consisting of (i) cash consideration of $2,860 million, (ii) issuance of approximately 84,500,000 shares of Skyworks common stock with an estimated fair value of $5,643 million, and (iii) issuance of approximately 1,411,000 Skyworks restricted stock unit awards with an estimated fair value of $94 million attributable to pre-combination services. The calculation of preliminary Merger Consideration is based on 88,013,673 shares of Qorvo common stock outstanding as of May 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both"/>
              <w:rPr/>
            </w:pPr>
            <w:r>
              <w:rPr>
                <w:i/>
              </w:rPr>
              <w:t>Inventory</w:t>
            </w:r>
            <w:r>
              <w:rPr/>
              <w:t>—Raw material inventory is measured at fair value (current replacement cost), which is estimated to be the current carrying value. Work-in-process inventory is estimated at the fair market value, which is the estimated selling price less the sum of (a) costs to complete the manufacturing process, (b) costs of selling effort, and (c) a reasonable profit margin for the completion of the manufacturing process and selling effort. Finished goods inventory is estimated at the fair market value, which is the estimated selling price less the sum of (a) costs of selling effort, and (b) a reasonable profit margin for the selling effort.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i/>
              </w:rPr>
              <w:t>Goodwill</w:t>
            </w:r>
            <w:r>
              <w:rPr/>
              <w:t>—Represents the adjustment to eliminate Qorvo’s historical goodwill balance and estimate the goodwill value acquired in the transaction based on the preliminary purchase price allocation, as further described in Note 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i/>
              </w:rPr>
              <w:t>Intangible assets, net</w:t>
            </w:r>
            <w:r>
              <w:rPr/>
              <w:t>—Represents the adjustments to eliminate Qorvo’s historical net intangible assets carrying value and estimate the fair value of intangible assets acquired in the Transactions. Preliminary identifiable intangible assets in the Pro Forma Financial Statements are provided in the table above. The amortization related to these identifiable intangible assets is reflected as a transaction adjustment in the Pro Forma Statements of Operations, as further described in Note 5. The identifiable intangible assets and related amortization are preliminary and are based on management’s estimates after consideration of similar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[f]</w:t>
            </w:r>
          </w:p>
        </w:tc>
        <w:tc>
          <w:tcPr>
            <w:tcW w:w="9990" w:type="dxa"/>
            <w:tcBorders/>
            <w:vAlign w:val="center"/>
          </w:tcPr>
          <w:p>
            <w:pPr>
              <w:pStyle w:val="TableContents"/>
              <w:bidi w:val="0"/>
              <w:spacing w:before="0" w:after="283"/>
              <w:jc w:val="both"/>
              <w:rPr/>
            </w:pPr>
            <w:r>
              <w:rPr>
                <w:i/>
              </w:rPr>
              <w:t>Deferred income taxes</w:t>
            </w:r>
            <w:r>
              <w:rPr/>
              <w:t>—Represents the adjustment to the deferred tax assets and the deferred tax liability balance associated with the incremental differences in the book and tax basis created from the preliminary purchase price allocation, primarily resulting from the preliminary fair value of intangible assets. Deferred taxes are established based on a blended statutory tax rate based on jurisdiction where income is generated. The effective tax rate of Skyworks following the Transactions could be significantly different (even higher or lower) depending on post-acquisition activities, including the geographical mix of income. This determination is preliminary and subject to change based upon the final determination of the closing date fair value, primarily of the identifiable 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both"/>
              <w:rPr/>
            </w:pPr>
            <w:r>
              <w:rPr>
                <w:i/>
              </w:rPr>
              <w:t>Merger costs</w:t>
            </w:r>
            <w:r>
              <w:rPr/>
              <w:t>—A transaction accounting adjustment was made for the estimated $157 million in merger costs to be incurred by Skyworks. The adjustment was assumed to be recorded in accounts payable as of April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[h]</w:t>
            </w:r>
          </w:p>
        </w:tc>
        <w:tc>
          <w:tcPr>
            <w:tcW w:w="9945" w:type="dxa"/>
            <w:tcBorders/>
            <w:vAlign w:val="center"/>
          </w:tcPr>
          <w:p>
            <w:pPr>
              <w:pStyle w:val="TableContents"/>
              <w:bidi w:val="0"/>
              <w:spacing w:before="0" w:after="283"/>
              <w:jc w:val="both"/>
              <w:rPr/>
            </w:pPr>
            <w:r>
              <w:rPr>
                <w:i/>
              </w:rPr>
              <w:t>Retention cash bonuses</w:t>
            </w:r>
            <w:r>
              <w:rPr/>
              <w:t>—Related to the Mergers, Skyworks and Qorvo have each established retention cash bonus programs for its respective employees. While the Skyworks retention program includes that grants to certain individuals, if any, will be in the form of equity, certain details of the programs have yet to be determined, and the entire program is assumed to be cash awards for purposes of the pro forma financial statements. Awards under Skyworks’ program vest 50% at closing and 50% six months thereafter, and awards under Qorvo’s program vest 60% at closing and 40% six months thereafter. For the purposes of this Pro Forma Balance Sheet, the accrued compensation and benefits reflects the maximum amount payable under the retention bonus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i/>
              </w:rPr>
              <w:t>Deferred compensation</w:t>
            </w:r>
            <w:r>
              <w:rPr/>
              <w:t xml:space="preserve">—Qorvo has a non-qualified deferred compensation plan that requires a lump-sum payout upon change in control at the election of the eligible employees and members of the Qorvo’s board. The </w:t>
            </w:r>
            <w:r>
              <w:rPr>
                <w:i/>
              </w:rPr>
              <w:t>Transaction Accounting</w:t>
            </w:r>
            <w:r>
              <w:rPr/>
              <w:t xml:space="preserve"> adjustment of $17 million relates to the portion of deferred compensation obligation that is being paid out as a result of the change in control.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[j]</w:t>
            </w:r>
          </w:p>
        </w:tc>
        <w:tc>
          <w:tcPr>
            <w:tcW w:w="9979" w:type="dxa"/>
            <w:tcBorders/>
            <w:vAlign w:val="center"/>
          </w:tcPr>
          <w:p>
            <w:pPr>
              <w:pStyle w:val="TableContents"/>
              <w:bidi w:val="0"/>
              <w:spacing w:before="0" w:after="283"/>
              <w:jc w:val="both"/>
              <w:rPr/>
            </w:pPr>
            <w:r>
              <w:rPr>
                <w:i/>
              </w:rPr>
              <w:t>Debt—</w:t>
            </w:r>
            <w:r>
              <w:rPr/>
              <w:t>Represents the net adjustment to the estimated fair value of Qorvo’s senior notes assumed in connection with the transactions, based on the aggregate principal amount of such senior notes as of May 20,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[k]</w:t>
            </w:r>
          </w:p>
        </w:tc>
        <w:tc>
          <w:tcPr>
            <w:tcW w:w="9889" w:type="dxa"/>
            <w:tcBorders/>
            <w:vAlign w:val="center"/>
          </w:tcPr>
          <w:p>
            <w:pPr>
              <w:pStyle w:val="TableContents"/>
              <w:bidi w:val="0"/>
              <w:spacing w:before="0" w:after="283"/>
              <w:jc w:val="both"/>
              <w:rPr/>
            </w:pPr>
            <w:r>
              <w:rPr>
                <w:i/>
              </w:rPr>
              <w:t>Historical shareholders’ equity</w:t>
            </w:r>
            <w:r>
              <w:rPr/>
              <w:t>—The historical shareholder’s equity of Qorvo will be eliminated as part of the Mergers.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[l]</w:t>
            </w:r>
          </w:p>
        </w:tc>
        <w:tc>
          <w:tcPr>
            <w:tcW w:w="10000" w:type="dxa"/>
            <w:tcBorders/>
            <w:vAlign w:val="center"/>
          </w:tcPr>
          <w:p>
            <w:pPr>
              <w:pStyle w:val="TableContents"/>
              <w:bidi w:val="0"/>
              <w:spacing w:before="0" w:after="283"/>
              <w:jc w:val="both"/>
              <w:rPr/>
            </w:pPr>
            <w:r>
              <w:rPr>
                <w:i/>
              </w:rPr>
              <w:t>Debt—</w:t>
            </w:r>
            <w:r>
              <w:rPr/>
              <w:t>For the purposes of these Pro Forma Financial Statements, we assume the entire cash consideration will be funded through new debt of $2,860 million; however, we expect cash consideration will be funded through a combination of new debt and cash accumulated through cash provided by operating activities. The financing transaction adjustment, which includes issuance and liability management costs of $25 million assumed to be paid in cash, was assumed to be recorded on April 3, 2026, for this Pro Forma Balance Sheet.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 Forma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basic and diluted earnings per share for the periods presented are based on the combined weighted average basic and diluted common stock of Skyworks and Qorvo. As of the beginning of the periods presented, the historical weighted average basic and diluted shares of Qorvo were assumed to be replaced by the common stock issued and share settlement of stock-based compensation by Skyworks at the effective time of the Mergers as discussed in Note 4. The number of issued and outstanding shares of Qorvo common stock was estimated at 88,013,673 based on the shares outstanding on May 1, 2026. Each share of Qorvo common stock outstanding will receive 0.96 share of Skyworks common stock, yielding a pro forma adjustment of 84,493,126 shares of basic and diluted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27129</Words>
  <Characters>151743</Characters>
  <CharactersWithSpaces>182142</CharactersWithSpaces>
  <Paragraphs>9969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