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filename1.htm"/>
      <w:bookmarkStart w:id="1" w:name="ksfilename1"/>
      <w:bookmarkEnd w:id="0"/>
      <w:bookmarkEnd w:id="1"/>
      <w:r>
        <w:rPr/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Skyworks Solutions, Inc.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5260 California Avenue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Irvine, California 92617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May 27, 2026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VIA EDGAR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Office of Manufacturing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Division of Corporation Finance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U.S. Securities and Exchange Commission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100 F Street, NE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Washington, D.C. 20549</w:t>
      </w:r>
    </w:p>
    <w:tbl>
      <w:tblPr>
        <w:tblW w:w="4690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5"/>
        <w:gridCol w:w="4235"/>
      </w:tblGrid>
      <w:tr>
        <w:trPr/>
        <w:tc>
          <w:tcPr>
            <w:tcW w:w="4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Attn:</w:t>
            </w:r>
          </w:p>
        </w:tc>
        <w:tc>
          <w:tcPr>
            <w:tcW w:w="4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Sarah Sidwell</w:t>
            </w:r>
          </w:p>
        </w:tc>
      </w:tr>
      <w:tr>
        <w:trPr/>
        <w:tc>
          <w:tcPr>
            <w:tcW w:w="4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Re:</w:t>
            </w:r>
          </w:p>
        </w:tc>
        <w:tc>
          <w:tcPr>
            <w:tcW w:w="4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Skyworks Solutions, Inc.</w:t>
            </w:r>
          </w:p>
        </w:tc>
      </w:tr>
      <w:tr>
        <w:trPr/>
        <w:tc>
          <w:tcPr>
            <w:tcW w:w="4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Registration Statement on Form S-4, as amended</w:t>
            </w:r>
          </w:p>
        </w:tc>
      </w:tr>
      <w:tr>
        <w:trPr/>
        <w:tc>
          <w:tcPr>
            <w:tcW w:w="4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File No. 333-296084 (the “Registration Statement”)</w:t>
            </w:r>
          </w:p>
        </w:tc>
      </w:tr>
    </w:tbl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Ladies and Gentlemen: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firstLine="49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Rule 461 under the Securities Act of 1933, as amended, Skyworks Solutions, Inc. (the “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Company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 hereby requests that the effective date of the Registration Statement be accelerated by the Securities and Exchange Commission so that the Registration Statement will become effective at 4:30 PM, Eastern Time, on May 29, 2026, or as soon as practicable thereafter. The Company hereby authorizes P. Michelle Gasaway of Skadden, Arps, Slate, Meagher &amp; Flom LLP, counsel to the Company, to modify or withdraw this request for acceleration orally.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firstLine="49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Company requests that we be notified of such effectiveness by a telephone call to Ms. Gasaway at (213) 687-5122 and that such effectiveness also be confirmed in writing.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295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20"/>
        <w:gridCol w:w="545"/>
        <w:gridCol w:w="4355"/>
      </w:tblGrid>
      <w:tr>
        <w:trPr/>
        <w:tc>
          <w:tcPr>
            <w:tcW w:w="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220" w:type="dxa"/>
            <w:gridSpan w:val="3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Very truly yours,</w:t>
            </w:r>
          </w:p>
        </w:tc>
      </w:tr>
      <w:tr>
        <w:trPr/>
        <w:tc>
          <w:tcPr>
            <w:tcW w:w="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220" w:type="dxa"/>
            <w:gridSpan w:val="3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220" w:type="dxa"/>
            <w:gridSpan w:val="3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Skyworks Solutions, Inc.</w:t>
            </w:r>
          </w:p>
        </w:tc>
      </w:tr>
      <w:tr>
        <w:trPr/>
        <w:tc>
          <w:tcPr>
            <w:tcW w:w="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900" w:type="dxa"/>
            <w:gridSpan w:val="2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4900" w:type="dxa"/>
            <w:gridSpan w:val="2"/>
            <w:tcBorders>
              <w:bottom w:val="single" w:sz="8" w:space="0" w:color="000000"/>
            </w:tcBorders>
            <w:shd w:fill="FFFFFF" w:val="clear"/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Robert J. Terry</w:t>
            </w:r>
          </w:p>
        </w:tc>
      </w:tr>
      <w:tr>
        <w:trPr/>
        <w:tc>
          <w:tcPr>
            <w:tcW w:w="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</w:t>
            </w:r>
          </w:p>
        </w:tc>
        <w:tc>
          <w:tcPr>
            <w:tcW w:w="43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Robert J. Terry</w:t>
            </w:r>
          </w:p>
        </w:tc>
      </w:tr>
      <w:tr>
        <w:trPr/>
        <w:tc>
          <w:tcPr>
            <w:tcW w:w="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43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Senior Vice President, General Counsel and Secretary</w:t>
            </w:r>
          </w:p>
        </w:tc>
      </w:tr>
    </w:tbl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895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0"/>
        <w:gridCol w:w="3560"/>
      </w:tblGrid>
      <w:tr>
        <w:trPr/>
        <w:tc>
          <w:tcPr>
            <w:tcW w:w="2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cc:</w:t>
            </w:r>
          </w:p>
        </w:tc>
        <w:tc>
          <w:tcPr>
            <w:tcW w:w="3620" w:type="dxa"/>
            <w:gridSpan w:val="2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P. Michelle Gasaway</w:t>
            </w:r>
          </w:p>
        </w:tc>
      </w:tr>
      <w:tr>
        <w:trPr/>
        <w:tc>
          <w:tcPr>
            <w:tcW w:w="2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Skadden, Arps, Slate, Meagher &amp; Flom LLP</w:t>
            </w:r>
          </w:p>
        </w:tc>
      </w:tr>
    </w:tbl>
    <w:p>
      <w:pPr>
        <w:pStyle w:val="TextBody"/>
        <w:shd w:fill="FFFFFF" w:val="clear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205</Words>
  <Characters>1136</Characters>
  <CharactersWithSpaces>1340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