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0808d7_fwp.htm"/>
      <w:bookmarkStart w:id="1" w:name="kstm2620808d7_fwp"/>
      <w:bookmarkEnd w:id="0"/>
      <w:bookmarkEnd w:id="1"/>
      <w:r>
        <w:rPr/>
        <w:t> </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Issuer Free Writing Prospectus</w:t>
        <w:br/>
        <w:t>Dated August 4, 2026</w:t>
        <w:br/>
        <w:t>Filed pursuant to Rule 433</w:t>
        <w:br/>
        <w:t>Registration No. 333-297918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Skyworks Solutions,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$800,000,000 5.000% Senior Notes due 2028</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$600,000,000 5.750% Senior Notes due 2032</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$600,000,000 6.250% Senior Notes due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Pricing Term Sheet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172"/>
        <w:gridCol w:w="4941"/>
        <w:gridCol w:w="1562"/>
        <w:gridCol w:w="2530"/>
      </w:tblGrid>
      <w:tr>
        <w:trPr/>
        <w:tc>
          <w:tcPr>
            <w:tcW w:w="1172" w:type="dxa"/>
            <w:tcBorders/>
            <w:vAlign w:val="center"/>
          </w:tcPr>
          <w:p>
            <w:pPr>
              <w:pStyle w:val="TableContents"/>
              <w:bidi w:val="0"/>
              <w:spacing w:before="0" w:after="283"/>
              <w:jc w:val="left"/>
              <w:rPr/>
            </w:pPr>
            <w:r>
              <w:rPr/>
              <w:t> </w:t>
            </w:r>
          </w:p>
        </w:tc>
        <w:tc>
          <w:tcPr>
            <w:tcW w:w="4941"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5.000% Senior Notes due 2028</w:t>
            </w:r>
          </w:p>
        </w:tc>
        <w:tc>
          <w:tcPr>
            <w:tcW w:w="1562"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5.750% Senior Notes due 2032</w:t>
            </w:r>
          </w:p>
        </w:tc>
        <w:tc>
          <w:tcPr>
            <w:tcW w:w="2530"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6.250% Senior Notes due 2036</w:t>
            </w:r>
          </w:p>
        </w:tc>
      </w:tr>
      <w:tr>
        <w:trPr/>
        <w:tc>
          <w:tcPr>
            <w:tcW w:w="1172" w:type="dxa"/>
            <w:tcBorders/>
            <w:vAlign w:val="center"/>
          </w:tcPr>
          <w:p>
            <w:pPr>
              <w:pStyle w:val="TableContents"/>
              <w:bidi w:val="0"/>
              <w:spacing w:before="0" w:after="283"/>
              <w:jc w:val="left"/>
              <w:rPr/>
            </w:pPr>
            <w:r>
              <w:rPr/>
              <w:t> </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“2028 Notes”)</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“2032 Notes”)</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(the “2036 Notes” and, together with the 2028 Notes and the 2032 Notes, the “notes”)</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Issuer:</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Principal Amount:</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$800,000,000</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$600,000,000</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$600,000,000</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Coupon:</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5.000%</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5.750%</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6.250%</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Format:</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SEC Registered</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Trade Date:</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4, 2026</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Settlement Date:</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 (T+4)</w:t>
            </w:r>
            <w:r>
              <w:rPr>
                <w:rFonts w:ascii="Times New Roman;Times;Serif" w:hAnsi="Times New Roman;Times;Serif"/>
                <w:position w:val="7"/>
                <w:sz w:val="16"/>
                <w:sz w:val="20"/>
              </w:rPr>
              <w:t>(1)</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 (T+4)</w:t>
            </w:r>
            <w:r>
              <w:rPr>
                <w:rFonts w:ascii="Times New Roman;Times;Serif" w:hAnsi="Times New Roman;Times;Serif"/>
                <w:position w:val="7"/>
                <w:sz w:val="16"/>
                <w:sz w:val="20"/>
              </w:rPr>
              <w:t>(1)</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2026 (T+4)</w:t>
            </w:r>
            <w:r>
              <w:rPr>
                <w:rFonts w:ascii="Times New Roman;Times;Serif" w:hAnsi="Times New Roman;Times;Serif"/>
                <w:position w:val="7"/>
                <w:sz w:val="16"/>
                <w:sz w:val="20"/>
              </w:rPr>
              <w:t>(1)</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Maturity Date:</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2028</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10, 2032</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10, 2036</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Public Offering Price:</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99.722% of the principal amount</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99.932% of the principal amount</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98.680% of the principal amount</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Yield to Maturity:</w:t>
            </w:r>
          </w:p>
        </w:tc>
        <w:tc>
          <w:tcPr>
            <w:tcW w:w="494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5.148%</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5.766%</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6.431%</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 xml:space="preserve">Benchmark Spread to Treasury: </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95 basis points</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143 basis points</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180 basis points</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Issue:</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4.250% due July 31, 2028</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July 31, 2031</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4.375% due May 15, 2036</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Price:</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100-03 &amp;frac18;</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100-05+</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98-00 </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Benchmark Treasury Yield:</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4.198%</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4.336%</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4.631%</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Interest Payment Dates:</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10 and August 10, commencing February 10, 2027</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January 10 and July 10, commencing January 10, 2027</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February 10 and August 10, commencing February 10, 2027</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Optional Redemption:</w:t>
            </w:r>
          </w:p>
        </w:tc>
        <w:tc>
          <w:tcPr>
            <w:tcW w:w="4941"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None.</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T+15 basis points.</w:t>
            </w:r>
          </w:p>
        </w:tc>
        <w:tc>
          <w:tcPr>
            <w:tcW w:w="1562"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on or after December 10, 2031 (the date that is one month prior to maturity).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T+25 basis points.</w:t>
            </w:r>
          </w:p>
        </w:tc>
        <w:tc>
          <w:tcPr>
            <w:tcW w:w="253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 call on or after May 10, 2036 (the date that is three months prior to maturity).</w:t>
            </w:r>
          </w:p>
          <w:p>
            <w:pPr>
              <w:pStyle w:val="TableContents"/>
              <w:bidi w:val="0"/>
              <w:spacing w:before="0" w:after="0"/>
              <w:ind w:left="0" w:right="0" w:hanging="0"/>
              <w:jc w:val="left"/>
              <w:rPr>
                <w:caps w:val="false"/>
                <w:smallCaps w:val="false"/>
              </w:rPr>
            </w:pPr>
            <w:r>
              <w:rPr>
                <w:caps w:val="false"/>
                <w:smallCaps w:val="false"/>
              </w:rPr>
              <w:t> </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Make-whole call at T+30 basis points.</w:t>
            </w:r>
          </w:p>
        </w:tc>
      </w:tr>
      <w:tr>
        <w:trPr/>
        <w:tc>
          <w:tcPr>
            <w:tcW w:w="1172"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Special Mandatory Redemption:</w:t>
            </w:r>
          </w:p>
        </w:tc>
        <w:tc>
          <w:tcPr>
            <w:tcW w:w="494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Mandatorily redeemable at 101% of the principal amount of the 2028 Notes then outstanding plus accrued and unpaid interest to, but not including, the date of the special mandatory redemption if (i) the consummation of the Mergers (as defined in the prospectus supplement) does not occur on or before 11:59 p.m. Pacific Time on November 3, 2027, (ii) the Issuer notifies the trustee and the holders of the 2028 Notes that the Issuer will not pursue the consummation of the Mergers or (iii) the Merger Agreement (as defined in the prospectus supplement) has been terminated without the consummation of the Mergers (any event described in clause (i), (ii) or (iii), a “Special Mandatory Redemption Trigger”).</w:t>
            </w:r>
          </w:p>
        </w:tc>
        <w:tc>
          <w:tcPr>
            <w:tcW w:w="156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None.</w:t>
            </w:r>
          </w:p>
        </w:tc>
        <w:tc>
          <w:tcPr>
            <w:tcW w:w="25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Mandatorily redeemable at 101% of the principal amount of the 2036 Notes then outstanding plus accrued and unpaid interest to, but not including, the date of the special mandatory redemption upon the occurrence of a Special Mandatory Redemption Trigger.</w:t>
            </w:r>
          </w:p>
        </w:tc>
      </w:tr>
    </w:tbl>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76"/>
        <w:gridCol w:w="2788"/>
        <w:gridCol w:w="2812"/>
        <w:gridCol w:w="2829"/>
      </w:tblGrid>
      <w:tr>
        <w:trPr/>
        <w:tc>
          <w:tcPr>
            <w:tcW w:w="17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Change of Control Repurchase Event Put:</w:t>
            </w:r>
          </w:p>
        </w:tc>
        <w:tc>
          <w:tcPr>
            <w:tcW w:w="2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 of the principal amount plus accrued interest to, but not including, the repurchase date.</w:t>
            </w:r>
          </w:p>
        </w:tc>
        <w:tc>
          <w:tcPr>
            <w:tcW w:w="2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 of the principal amount plus accrued interest to, but not including, the repurchase date.</w:t>
            </w:r>
          </w:p>
        </w:tc>
        <w:tc>
          <w:tcPr>
            <w:tcW w:w="2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101% of the principal amount plus accrued interest to, but not including, the repurchase date.</w:t>
            </w:r>
          </w:p>
        </w:tc>
      </w:tr>
      <w:tr>
        <w:trPr/>
        <w:tc>
          <w:tcPr>
            <w:tcW w:w="17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CUSIP:</w:t>
            </w:r>
          </w:p>
        </w:tc>
        <w:tc>
          <w:tcPr>
            <w:tcW w:w="2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83088MAP7</w:t>
            </w:r>
          </w:p>
        </w:tc>
        <w:tc>
          <w:tcPr>
            <w:tcW w:w="2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83088MAQ5</w:t>
            </w:r>
          </w:p>
        </w:tc>
        <w:tc>
          <w:tcPr>
            <w:tcW w:w="2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83088MAR3</w:t>
            </w:r>
          </w:p>
        </w:tc>
      </w:tr>
      <w:tr>
        <w:trPr/>
        <w:tc>
          <w:tcPr>
            <w:tcW w:w="17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ISIN:</w:t>
            </w:r>
          </w:p>
        </w:tc>
        <w:tc>
          <w:tcPr>
            <w:tcW w:w="2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US83088MAP77</w:t>
            </w:r>
          </w:p>
        </w:tc>
        <w:tc>
          <w:tcPr>
            <w:tcW w:w="2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US83088MAQ50</w:t>
            </w:r>
          </w:p>
        </w:tc>
        <w:tc>
          <w:tcPr>
            <w:tcW w:w="2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US83088MAR34</w:t>
            </w:r>
          </w:p>
        </w:tc>
      </w:tr>
      <w:tr>
        <w:trPr/>
        <w:tc>
          <w:tcPr>
            <w:tcW w:w="17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Ratings*:</w:t>
            </w:r>
          </w:p>
        </w:tc>
        <w:tc>
          <w:tcPr>
            <w:tcW w:w="2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BBB- (stable) / BBB+ (negative) (S&amp;P/Fitch)</w:t>
            </w:r>
          </w:p>
        </w:tc>
        <w:tc>
          <w:tcPr>
            <w:tcW w:w="2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BBB- (stable) / BBB+ (negative) (S&amp;P/Fitch)</w:t>
            </w:r>
          </w:p>
        </w:tc>
        <w:tc>
          <w:tcPr>
            <w:tcW w:w="2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BBB- (stable) / BBB+ (negative) (S&amp;P/Fitch)</w:t>
            </w:r>
          </w:p>
        </w:tc>
      </w:tr>
      <w:tr>
        <w:trPr/>
        <w:tc>
          <w:tcPr>
            <w:tcW w:w="17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Minimum Denomination:</w:t>
            </w:r>
          </w:p>
        </w:tc>
        <w:tc>
          <w:tcPr>
            <w:tcW w:w="2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$2,000 and integral multiples of $1,000 in excess thereof </w:t>
            </w:r>
          </w:p>
        </w:tc>
        <w:tc>
          <w:tcPr>
            <w:tcW w:w="2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$2,000 and integral multiples of $1,000 in excess thereof </w:t>
            </w:r>
          </w:p>
        </w:tc>
        <w:tc>
          <w:tcPr>
            <w:tcW w:w="2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$2,000 and integral multiples of $1,000 in excess thereof</w:t>
            </w:r>
          </w:p>
        </w:tc>
      </w:tr>
      <w:tr>
        <w:trPr/>
        <w:tc>
          <w:tcPr>
            <w:tcW w:w="17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Joint Book-Running Managers:</w:t>
            </w:r>
          </w:p>
        </w:tc>
        <w:tc>
          <w:tcPr>
            <w:tcW w:w="2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br/>
              <w:t>BofA Securities, Inc.</w:t>
              <w:br/>
              <w:t>Citigroup Global Markets Inc.</w:t>
              <w:br/>
              <w:t>J.P. Morgan Securities LLC</w:t>
              <w:br/>
              <w:t>Wells Fargo Securities, LLC</w:t>
            </w:r>
          </w:p>
        </w:tc>
        <w:tc>
          <w:tcPr>
            <w:tcW w:w="2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br/>
              <w:t xml:space="preserve">BofA Securities, Inc. </w:t>
              <w:br/>
              <w:t>Citigroup Global Markets Inc.</w:t>
              <w:br/>
              <w:t>J.P. Morgan Securities LLC</w:t>
              <w:br/>
              <w:t>Wells Fargo Securities, LLC</w:t>
            </w:r>
          </w:p>
        </w:tc>
        <w:tc>
          <w:tcPr>
            <w:tcW w:w="2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Goldman Sachs &amp; Co. LLC</w:t>
              <w:br/>
              <w:t xml:space="preserve">BofA Securities, Inc. </w:t>
              <w:br/>
              <w:t>Citigroup Global Markets Inc.</w:t>
              <w:br/>
              <w:t>J.P. Morgan Securities LLC</w:t>
              <w:br/>
              <w:t>Wells Fargo Securities, LLC</w:t>
            </w:r>
          </w:p>
        </w:tc>
      </w:tr>
      <w:tr>
        <w:trPr/>
        <w:tc>
          <w:tcPr>
            <w:tcW w:w="17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Senior Co-Managers:</w:t>
            </w:r>
          </w:p>
        </w:tc>
        <w:tc>
          <w:tcPr>
            <w:tcW w:w="2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BNP Paribas Securities Corp.</w:t>
              <w:br/>
              <w:t>Oversea-Chinese Banking Corporation Limited**</w:t>
              <w:br/>
              <w:t>PNC Capital Markets LLC</w:t>
              <w:br/>
              <w:t>RBC Capital Markets, LLC</w:t>
              <w:br/>
              <w:t>U.S. Bancorp Investments, Inc.***</w:t>
            </w:r>
          </w:p>
        </w:tc>
        <w:tc>
          <w:tcPr>
            <w:tcW w:w="2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BNP Paribas Securities Corp.</w:t>
              <w:br/>
              <w:t>Oversea-Chinese Banking Corporation Limited**</w:t>
              <w:br/>
              <w:t>PNC Capital Markets LLC</w:t>
              <w:br/>
              <w:t>RBC Capital Markets, LLC</w:t>
              <w:br/>
              <w:t>U.S. Bancorp Investments, Inc.***</w:t>
            </w:r>
          </w:p>
        </w:tc>
        <w:tc>
          <w:tcPr>
            <w:tcW w:w="2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Academy Securities, Inc.</w:t>
              <w:br/>
              <w:t>BNP Paribas Securities Corp.</w:t>
              <w:br/>
              <w:t>Oversea-Chinese Banking Corporation Limited**</w:t>
              <w:br/>
              <w:t>PNC Capital Markets LLC</w:t>
              <w:br/>
              <w:t>RBC Capital Markets, LLC</w:t>
              <w:br/>
              <w:t>U.S. Bancorp Investments, Inc.***</w:t>
            </w:r>
          </w:p>
        </w:tc>
      </w:tr>
      <w:tr>
        <w:trPr/>
        <w:tc>
          <w:tcPr>
            <w:tcW w:w="1776"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Co-Managers:</w:t>
            </w:r>
          </w:p>
        </w:tc>
        <w:tc>
          <w:tcPr>
            <w:tcW w:w="2788"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(Europe) S.A.</w:t>
              <w:br/>
              <w:t>HSBC Securities (USA) Inc.</w:t>
            </w:r>
          </w:p>
        </w:tc>
        <w:tc>
          <w:tcPr>
            <w:tcW w:w="28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(Europe) S.A.</w:t>
              <w:br/>
              <w:t>HSBC Securities (USA) Inc.</w:t>
            </w:r>
          </w:p>
        </w:tc>
        <w:tc>
          <w:tcPr>
            <w:tcW w:w="282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Bank of China (Europe) S.A.</w:t>
              <w:br/>
              <w:t>HSBC Securities (USA) Inc.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The Issuer expects that delivery of the notes will be made against payment therefor on or about August 10, 2026, which will be the fourth business day following the date of pricing of the notes (such settlement cycle being herein referred to as “T+4”). Under Rule 15c6-1 of the Exchange Act, trades in the secondary market generally are required to settle in one business day, unless the parties to any such trade expressly agree otherwise. Accordingly, purchasers who wish to trade notes prior to the first business day before settlement will be required, by virtue of the fact that the notes initially will settle T+4, to specify an alternate settlement cycle at the time of any such trade to prevent a failed settlement. Purchasers of notes who wish to trade notes prior to the first business day before settlement should consult their own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*Note: A securities rating is not a recommendation to buy, sell or hold securities and may be revised or withdrawn at any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**Oversea-Chinese Banking Corporation Limited (“OCBC”) is restricted in its securities dealings in the United States and will not underwrite, subscribe, agree to purchase or procure purchasers to purchase notes that are offered or sold in the United States.  Accordingly, OCBC shall not be obligated to, and shall not, underwrite, subscribe, agree to purchase or procure purchasers to purchase notes that may be offered or sold by other underwriters in the United States.  OCBC shall offer and sell the notes constituting part of its allotment solely outside the United States.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 Bancorp Investments, Inc., is an affiliate of the trustee under the indenture governing the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Issuer has filed an automatic shelf registration statement on Form S-3ASR, including a prospectus dated August 3, 2026 (File No. 333-297918) and a preliminary prospectus supplement dated August 3, 2026 with the Securities and Exchange Commission (the “SEC”) for the offering to which this communication relates. Before you invest, you should read the prospectus in that registration statement, the preliminary prospectus supplement and other documents the Issuer has filed with the SEC for more complete information about the Issuer and this offering. You may get these documents for free by visiting EDGAR on the SEC’s website at www.sec.gov. Alternatively, the Issuer, any underwriter or any dealer participating in this offering will arrange to send you the prospectus if you request it by calling Goldman Sachs &amp; Co. LLC toll-free at 1-866-471-2526, BofA Securities, Inc. toll-free at 1-800-294-1322, J.P. Morgan Securities LLC collect at 1-212-834-4533 or Wells Fargo Securities, LLC toll-free at 1-800-645-3751.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1146</Words>
  <Characters>6329</Characters>
  <CharactersWithSpaces>7388</CharactersWithSpaces>
  <Paragraphs>137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