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6934d1_8k.htm"/>
      <w:bookmarkStart w:id="1" w:name="kstm2626934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 xml:space="preserve">FORM </w:t>
      </w:r>
      <w:bookmarkStart w:id="2" w:name="xdx_901_edei--DocumentType_c20261005__20"/>
      <w:bookmarkEnd w:id="2"/>
      <w:r>
        <w:rPr>
          <w:rFonts w:ascii="Times New Roman;Times;Serif" w:hAnsi="Times New Roman;Times;Serif"/>
          <w:b/>
          <w:i w:val="false"/>
          <w:caps w:val="false"/>
          <w:smallCaps w:val="false"/>
          <w:sz w:val="48"/>
        </w:rPr>
        <w:t>8-K</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8_edei--EntityRegistrantName_c2026"/>
      <w:bookmarkEnd w:id="4"/>
      <w:r>
        <w:rPr>
          <w:rFonts w:ascii="Times New Roman;Times;Serif" w:hAnsi="Times New Roman;Times;Serif"/>
          <w:b/>
          <w:i w:val="false"/>
          <w:caps w:val="false"/>
          <w:smallCaps w:val="false"/>
          <w:sz w:val="48"/>
        </w:rPr>
        <w:t>Skyworks 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0" w:type="dxa"/>
          <w:right w:w="0" w:type="dxa"/>
        </w:tblCellMar>
      </w:tblPr>
      <w:tblGrid>
        <w:gridCol w:w="3695"/>
        <w:gridCol w:w="2195"/>
        <w:gridCol w:w="2900"/>
      </w:tblGrid>
      <w:tr>
        <w:trPr/>
        <w:tc>
          <w:tcPr>
            <w:tcW w:w="3695" w:type="dxa"/>
            <w:tcBorders/>
            <w:vAlign w:val="center"/>
          </w:tcPr>
          <w:p>
            <w:pPr>
              <w:pStyle w:val="TableContents"/>
              <w:bidi w:val="0"/>
              <w:spacing w:before="0" w:after="283"/>
              <w:jc w:val="center"/>
              <w:rPr>
                <w:b/>
              </w:rPr>
            </w:pPr>
            <w:bookmarkStart w:id="5" w:name="xdx_90D_edei--EntityIncorporationStateCo"/>
            <w:bookmarkEnd w:id="5"/>
            <w:r>
              <w:rPr>
                <w:b/>
              </w:rPr>
              <w:t>Delaware</w:t>
            </w:r>
          </w:p>
        </w:tc>
        <w:tc>
          <w:tcPr>
            <w:tcW w:w="2195" w:type="dxa"/>
            <w:tcBorders/>
            <w:vAlign w:val="center"/>
          </w:tcPr>
          <w:p>
            <w:pPr>
              <w:pStyle w:val="TableContents"/>
              <w:bidi w:val="0"/>
              <w:spacing w:before="0" w:after="283"/>
              <w:jc w:val="center"/>
              <w:rPr/>
            </w:pPr>
            <w:bookmarkStart w:id="6" w:name="xdx_907_edei--EntityFileNumber_c20261005"/>
            <w:bookmarkEnd w:id="6"/>
            <w:r>
              <w:rPr/>
              <w:t>001-05560</w:t>
            </w:r>
          </w:p>
        </w:tc>
        <w:tc>
          <w:tcPr>
            <w:tcW w:w="2900" w:type="dxa"/>
            <w:tcBorders/>
            <w:vAlign w:val="center"/>
          </w:tcPr>
          <w:p>
            <w:pPr>
              <w:pStyle w:val="TableContents"/>
              <w:bidi w:val="0"/>
              <w:spacing w:before="0" w:after="283"/>
              <w:jc w:val="center"/>
              <w:rPr>
                <w:b/>
              </w:rPr>
            </w:pPr>
            <w:bookmarkStart w:id="7" w:name="xdx_90B_edei--EntityTaxIdentificationNum"/>
            <w:bookmarkEnd w:id="7"/>
            <w:r>
              <w:rPr>
                <w:b/>
              </w:rPr>
              <w:t>04-2302115</w:t>
            </w:r>
          </w:p>
        </w:tc>
      </w:tr>
      <w:tr>
        <w:trPr/>
        <w:tc>
          <w:tcPr>
            <w:tcW w:w="3695" w:type="dxa"/>
            <w:tcBorders/>
            <w:vAlign w:val="center"/>
          </w:tcPr>
          <w:p>
            <w:pPr>
              <w:pStyle w:val="TableContents"/>
              <w:bidi w:val="0"/>
              <w:spacing w:before="0" w:after="283"/>
              <w:jc w:val="center"/>
              <w:rPr>
                <w:i/>
                <w:sz w:val="20"/>
              </w:rPr>
            </w:pPr>
            <w:r>
              <w:rPr>
                <w:i/>
                <w:sz w:val="20"/>
              </w:rPr>
              <w:t>(State or other jurisdiction of incorporation)</w:t>
            </w:r>
          </w:p>
        </w:tc>
        <w:tc>
          <w:tcPr>
            <w:tcW w:w="2195" w:type="dxa"/>
            <w:tcBorders/>
            <w:vAlign w:val="center"/>
          </w:tcPr>
          <w:p>
            <w:pPr>
              <w:pStyle w:val="TableContents"/>
              <w:bidi w:val="0"/>
              <w:spacing w:before="0" w:after="283"/>
              <w:jc w:val="center"/>
              <w:rPr>
                <w:i/>
                <w:sz w:val="20"/>
              </w:rPr>
            </w:pPr>
            <w:r>
              <w:rPr>
                <w:i/>
                <w:sz w:val="20"/>
              </w:rPr>
              <w:t>(Commission File Number)</w:t>
            </w:r>
          </w:p>
        </w:tc>
        <w:tc>
          <w:tcPr>
            <w:tcW w:w="2900" w:type="dxa"/>
            <w:tcBorders/>
            <w:vAlign w:val="center"/>
          </w:tcPr>
          <w:p>
            <w:pPr>
              <w:pStyle w:val="TableContents"/>
              <w:bidi w:val="0"/>
              <w:spacing w:before="0" w:after="283"/>
              <w:jc w:val="center"/>
              <w:rPr>
                <w:i/>
                <w:sz w:val="20"/>
              </w:rPr>
            </w:pPr>
            <w:r>
              <w:rPr>
                <w:i/>
                <w:sz w:val="20"/>
              </w:rPr>
              <w:t>(I.R.S. Employer Identification No.)</w:t>
            </w:r>
          </w:p>
        </w:tc>
      </w:tr>
      <w:tr>
        <w:trPr/>
        <w:tc>
          <w:tcPr>
            <w:tcW w:w="369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bookmarkStart w:id="8" w:name="xdx_90C_edei--EntityAddressAddressLine1_"/>
            <w:bookmarkEnd w:id="8"/>
            <w:r>
              <w:rPr>
                <w:b/>
              </w:rPr>
              <w:t>5260 California Avenue</w:t>
            </w:r>
            <w:r>
              <w:rPr/>
              <w:br/>
            </w:r>
            <w:bookmarkStart w:id="9" w:name="xdx_90D_edei--EntityAddressCityOrTown_c2"/>
            <w:bookmarkEnd w:id="9"/>
            <w:r>
              <w:rPr>
                <w:b/>
              </w:rPr>
              <w:t>Irvine</w:t>
            </w:r>
            <w:r>
              <w:rPr/>
              <w:t xml:space="preserve">, </w:t>
            </w:r>
            <w:bookmarkStart w:id="10" w:name="xdx_907_edei--EntityAddressStateOrProvin"/>
            <w:bookmarkEnd w:id="10"/>
            <w:r>
              <w:rPr>
                <w:b/>
              </w:rPr>
              <w:t>California</w:t>
            </w:r>
          </w:p>
        </w:tc>
        <w:tc>
          <w:tcPr>
            <w:tcW w:w="2195"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center"/>
              <w:rPr>
                <w:b/>
              </w:rPr>
            </w:pPr>
            <w:bookmarkStart w:id="11" w:name="xdx_906_edei--EntityAddressPostalZipCode"/>
            <w:bookmarkEnd w:id="11"/>
            <w:r>
              <w:rPr>
                <w:b/>
              </w:rPr>
              <w:t>92617</w:t>
            </w:r>
          </w:p>
        </w:tc>
      </w:tr>
      <w:tr>
        <w:trPr/>
        <w:tc>
          <w:tcPr>
            <w:tcW w:w="3695" w:type="dxa"/>
            <w:tcBorders/>
            <w:vAlign w:val="center"/>
          </w:tcPr>
          <w:p>
            <w:pPr>
              <w:pStyle w:val="TableContents"/>
              <w:bidi w:val="0"/>
              <w:spacing w:before="0" w:after="283"/>
              <w:jc w:val="center"/>
              <w:rPr>
                <w:i/>
                <w:sz w:val="20"/>
              </w:rPr>
            </w:pPr>
            <w:r>
              <w:rPr>
                <w:i/>
                <w:sz w:val="20"/>
              </w:rPr>
              <w:t>(Address of principal executive offices)</w:t>
            </w:r>
          </w:p>
        </w:tc>
        <w:tc>
          <w:tcPr>
            <w:tcW w:w="2195" w:type="dxa"/>
            <w:tcBorders/>
            <w:vAlign w:val="center"/>
          </w:tcPr>
          <w:p>
            <w:pPr>
              <w:pStyle w:val="TableContents"/>
              <w:bidi w:val="0"/>
              <w:spacing w:before="0" w:after="283"/>
              <w:jc w:val="center"/>
              <w:rPr/>
            </w:pPr>
            <w:r>
              <w:rPr/>
              <w:t> </w:t>
            </w:r>
          </w:p>
        </w:tc>
        <w:tc>
          <w:tcPr>
            <w:tcW w:w="2900"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4534" w:type="dxa"/>
        <w:jc w:val="left"/>
        <w:tblInd w:w="0" w:type="dxa"/>
        <w:tblLayout w:type="fixed"/>
        <w:tblCellMar>
          <w:top w:w="0" w:type="dxa"/>
          <w:left w:w="0" w:type="dxa"/>
          <w:bottom w:w="0" w:type="dxa"/>
          <w:right w:w="0" w:type="dxa"/>
        </w:tblCellMar>
      </w:tblPr>
      <w:tblGrid>
        <w:gridCol w:w="75"/>
        <w:gridCol w:w="1586"/>
        <w:gridCol w:w="2798"/>
        <w:gridCol w:w="75"/>
      </w:tblGrid>
      <w:tr>
        <w:trPr/>
        <w:tc>
          <w:tcPr>
            <w:tcW w:w="75" w:type="dxa"/>
            <w:tcBorders/>
            <w:vAlign w:val="center"/>
          </w:tcPr>
          <w:p>
            <w:pPr>
              <w:pStyle w:val="TableContents"/>
              <w:bidi w:val="0"/>
              <w:spacing w:before="0" w:after="283"/>
              <w:jc w:val="left"/>
              <w:rPr/>
            </w:pPr>
            <w:r>
              <w:rPr/>
              <w:t> </w:t>
            </w:r>
          </w:p>
        </w:tc>
        <w:tc>
          <w:tcPr>
            <w:tcW w:w="1586" w:type="dxa"/>
            <w:tcBorders/>
            <w:vAlign w:val="center"/>
          </w:tcPr>
          <w:p>
            <w:pPr>
              <w:pStyle w:val="TableContents"/>
              <w:bidi w:val="0"/>
              <w:spacing w:before="0" w:after="283"/>
              <w:jc w:val="right"/>
              <w:rPr/>
            </w:pPr>
            <w:r>
              <w:rPr>
                <w:b/>
              </w:rPr>
              <w:t>(</w:t>
            </w:r>
            <w:bookmarkStart w:id="12" w:name="xdx_900_edei--CityAreaCode_c20261005__20"/>
            <w:bookmarkEnd w:id="12"/>
            <w:r>
              <w:rPr>
                <w:b/>
              </w:rPr>
              <w:t>949)</w:t>
            </w:r>
          </w:p>
        </w:tc>
        <w:tc>
          <w:tcPr>
            <w:tcW w:w="2798" w:type="dxa"/>
            <w:tcBorders/>
            <w:vAlign w:val="center"/>
          </w:tcPr>
          <w:p>
            <w:pPr>
              <w:pStyle w:val="TableContents"/>
              <w:bidi w:val="0"/>
              <w:spacing w:before="0" w:after="283"/>
              <w:jc w:val="left"/>
              <w:rPr>
                <w:b/>
              </w:rPr>
            </w:pPr>
            <w:bookmarkStart w:id="13" w:name="xdx_902_edei--LocalPhoneNumber_c20261005"/>
            <w:bookmarkEnd w:id="13"/>
            <w:r>
              <w:rPr>
                <w:b/>
              </w:rPr>
              <w:t>231-3000</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84" w:type="dxa"/>
            <w:gridSpan w:val="2"/>
            <w:tcBorders/>
            <w:vAlign w:val="center"/>
          </w:tcPr>
          <w:p>
            <w:pPr>
              <w:pStyle w:val="TableContents"/>
              <w:bidi w:val="0"/>
              <w:spacing w:before="0" w:after="283"/>
              <w:jc w:val="center"/>
              <w:rPr>
                <w:i/>
                <w:sz w:val="20"/>
              </w:rPr>
            </w:pPr>
            <w:r>
              <w:rPr>
                <w:i/>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180" w:type="dxa"/>
        <w:jc w:val="left"/>
        <w:tblInd w:w="0" w:type="dxa"/>
        <w:tblLayout w:type="fixed"/>
        <w:tblCellMar>
          <w:top w:w="0" w:type="dxa"/>
          <w:left w:w="0" w:type="dxa"/>
          <w:bottom w:w="0" w:type="dxa"/>
          <w:right w:w="0" w:type="dxa"/>
        </w:tblCellMar>
      </w:tblPr>
      <w:tblGrid>
        <w:gridCol w:w="75"/>
        <w:gridCol w:w="5030"/>
        <w:gridCol w:w="75"/>
      </w:tblGrid>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center"/>
              <w:rPr>
                <w:b/>
              </w:rPr>
            </w:pPr>
            <w:r>
              <w:rPr>
                <w:b/>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center"/>
              <w:rPr>
                <w:i/>
                <w:sz w:val="20"/>
              </w:rPr>
            </w:pPr>
            <w:r>
              <w:rPr>
                <w:i/>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4" w:name="xdx_909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C_edei--SolicitingMaterial_c202610"/>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A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3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5"/>
        <w:gridCol w:w="1894"/>
        <w:gridCol w:w="4376"/>
      </w:tblGrid>
      <w:tr>
        <w:trPr/>
        <w:tc>
          <w:tcPr>
            <w:tcW w:w="3935" w:type="dxa"/>
            <w:tcBorders>
              <w:bottom w:val="single" w:sz="8" w:space="0" w:color="000000"/>
            </w:tcBorders>
            <w:vAlign w:val="center"/>
          </w:tcPr>
          <w:p>
            <w:pPr>
              <w:pStyle w:val="TableContents"/>
              <w:bidi w:val="0"/>
              <w:spacing w:before="0" w:after="283"/>
              <w:jc w:val="center"/>
              <w:rPr>
                <w:b/>
              </w:rPr>
            </w:pPr>
            <w:r>
              <w:rPr>
                <w:b/>
              </w:rPr>
              <w:t>Title of each class</w:t>
            </w:r>
          </w:p>
        </w:tc>
        <w:tc>
          <w:tcPr>
            <w:tcW w:w="1894" w:type="dxa"/>
            <w:tcBorders>
              <w:bottom w:val="single" w:sz="8" w:space="0" w:color="000000"/>
            </w:tcBorders>
            <w:vAlign w:val="center"/>
          </w:tcPr>
          <w:p>
            <w:pPr>
              <w:pStyle w:val="TableContents"/>
              <w:bidi w:val="0"/>
              <w:spacing w:before="0" w:after="283"/>
              <w:jc w:val="center"/>
              <w:rPr>
                <w:b/>
              </w:rPr>
            </w:pPr>
            <w:r>
              <w:rPr>
                <w:b/>
              </w:rPr>
              <w:t>Trading Symbol(s)</w:t>
            </w:r>
          </w:p>
        </w:tc>
        <w:tc>
          <w:tcPr>
            <w:tcW w:w="4376"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935" w:type="dxa"/>
            <w:tcBorders/>
            <w:tcMar>
              <w:bottom w:w="0" w:type="dxa"/>
            </w:tcMar>
            <w:vAlign w:val="center"/>
          </w:tcPr>
          <w:p>
            <w:pPr>
              <w:pStyle w:val="TableContents"/>
              <w:bidi w:val="0"/>
              <w:spacing w:before="0" w:after="283"/>
              <w:jc w:val="center"/>
              <w:rPr/>
            </w:pPr>
            <w:bookmarkStart w:id="18" w:name="xdx_90E_edei--Security12bTitle_c20261005"/>
            <w:bookmarkEnd w:id="18"/>
            <w:r>
              <w:rPr/>
              <w:t>Common Stock, par value $0.25 per share</w:t>
            </w:r>
          </w:p>
        </w:tc>
        <w:tc>
          <w:tcPr>
            <w:tcW w:w="1894" w:type="dxa"/>
            <w:tcBorders/>
            <w:tcMar>
              <w:bottom w:w="0" w:type="dxa"/>
            </w:tcMar>
            <w:vAlign w:val="center"/>
          </w:tcPr>
          <w:p>
            <w:pPr>
              <w:pStyle w:val="TableContents"/>
              <w:bidi w:val="0"/>
              <w:spacing w:before="0" w:after="283"/>
              <w:jc w:val="center"/>
              <w:rPr/>
            </w:pPr>
            <w:bookmarkStart w:id="19" w:name="xdx_900_edei--TradingSymbol_c20261005__2"/>
            <w:bookmarkEnd w:id="19"/>
            <w:r>
              <w:rPr/>
              <w:t>SWKS</w:t>
            </w:r>
          </w:p>
        </w:tc>
        <w:tc>
          <w:tcPr>
            <w:tcW w:w="4376" w:type="dxa"/>
            <w:tcBorders/>
            <w:tcMar>
              <w:bottom w:w="0" w:type="dxa"/>
            </w:tcMar>
            <w:vAlign w:val="center"/>
          </w:tcPr>
          <w:p>
            <w:pPr>
              <w:pStyle w:val="TableContents"/>
              <w:bidi w:val="0"/>
              <w:spacing w:before="0" w:after="283"/>
              <w:jc w:val="center"/>
              <w:rPr/>
            </w:pPr>
            <w:bookmarkStart w:id="20" w:name="xdx_909_edei--SecurityExchangeName_c2026"/>
            <w:bookmarkEnd w:id="20"/>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is being filed in connection with the completion on October 5, 2026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of the previously announced merger transaction between Skyworks Solutions, Inc. (“</w:t>
      </w:r>
      <w:r>
        <w:rPr>
          <w:rFonts w:ascii="Times New Roman;Times;Serif" w:hAnsi="Times New Roman;Times;Serif"/>
          <w:b w:val="false"/>
          <w:i w:val="false"/>
          <w:caps w:val="false"/>
          <w:smallCaps w:val="false"/>
          <w:sz w:val="20"/>
          <w:u w:val="single"/>
        </w:rPr>
        <w:t>Skyworks</w:t>
      </w:r>
      <w:r>
        <w:rPr>
          <w:rFonts w:ascii="Times New Roman;Times;Serif" w:hAnsi="Times New Roman;Times;Serif"/>
          <w:b w:val="false"/>
          <w:i w:val="false"/>
          <w:caps w:val="false"/>
          <w:smallCaps w:val="false"/>
          <w:sz w:val="20"/>
        </w:rPr>
        <w:t>”) and Qorvo, Inc. (“</w:t>
      </w:r>
      <w:r>
        <w:rPr>
          <w:rFonts w:ascii="Times New Roman;Times;Serif" w:hAnsi="Times New Roman;Times;Serif"/>
          <w:b w:val="false"/>
          <w:i w:val="false"/>
          <w:caps w:val="false"/>
          <w:smallCaps w:val="false"/>
          <w:sz w:val="20"/>
          <w:u w:val="single"/>
        </w:rPr>
        <w:t>Qorvo</w:t>
      </w:r>
      <w:r>
        <w:rPr>
          <w:rFonts w:ascii="Times New Roman;Times;Serif" w:hAnsi="Times New Roman;Times;Serif"/>
          <w:b w:val="false"/>
          <w:i w:val="false"/>
          <w:caps w:val="false"/>
          <w:smallCaps w:val="false"/>
          <w:sz w:val="20"/>
        </w:rPr>
        <w:t>”), pursuant to the Agreement and Plan of Merger (as amended from time to time,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dated as of October 27, 2025, by and among Skyworks, Qorvo, Comet Acquisition Corp., a Delaware corporation and a direct wholly owned subsidiary of Skyworks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and Comet Acquisition II, LLC, a Delaware limited liability company and a direct wholly owned subsidiary of Skyworks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on the Closing Date, (i) Merger Sub I merged with and into Qorvo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Qorvo surviving the First Merger as a wholly owned subsidiary of Skyworks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and (ii) immediately following the First Merger, and as the second step in a single integrated transaction with the First Merger, the Surviving Corporation merged with and into Merger Sub II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Merger Sub II continuing as the surviving entity in the Second Merger and a wholly owned subsidiary of Skyworks (the “</w:t>
      </w:r>
      <w:r>
        <w:rPr>
          <w:rFonts w:ascii="Times New Roman;Times;Serif" w:hAnsi="Times New Roman;Times;Serif"/>
          <w:b w:val="false"/>
          <w:i w:val="false"/>
          <w:caps w:val="false"/>
          <w:smallCaps w:val="false"/>
          <w:sz w:val="20"/>
          <w:u w:val="single"/>
        </w:rPr>
        <w:t>Surviving Company</w:t>
      </w:r>
      <w:r>
        <w:rPr>
          <w:rFonts w:ascii="Times New Roman;Times;Serif" w:hAnsi="Times New Roman;Times;Serif"/>
          <w:b w:val="false"/>
          <w:i w:val="false"/>
          <w:caps w:val="false"/>
          <w:smallCaps w:val="false"/>
          <w:sz w:val="20"/>
        </w:rPr>
        <w:t>”). Capitalized terms used but not defined herein have the meanings specified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in Items 2.03, 5.02 and 8.01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at the effective time of the First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each share of common stock, par value $0.0001 per share, of Qorvo (“</w:t>
      </w:r>
      <w:r>
        <w:rPr>
          <w:rFonts w:ascii="Times New Roman;Times;Serif" w:hAnsi="Times New Roman;Times;Serif"/>
          <w:b w:val="false"/>
          <w:i w:val="false"/>
          <w:caps w:val="false"/>
          <w:smallCaps w:val="false"/>
          <w:sz w:val="20"/>
          <w:u w:val="single"/>
        </w:rPr>
        <w:t>Qorvo Common Stock</w:t>
      </w:r>
      <w:r>
        <w:rPr>
          <w:rFonts w:ascii="Times New Roman;Times;Serif" w:hAnsi="Times New Roman;Times;Serif"/>
          <w:b w:val="false"/>
          <w:i w:val="false"/>
          <w:caps w:val="false"/>
          <w:smallCaps w:val="false"/>
          <w:sz w:val="20"/>
        </w:rPr>
        <w:t>”) issued and outstanding immediately prior to the Effective Time (other than shares of Qorvo Common Stock that were held (a) directly or indirectly, by any wholly-owned subsidiary of Qorvo immediately prior to the Effective Time, (b) by Qorvo (or in Qorvo’s treasury), and (c) directly or indirectly, by Skyworks, Merger Sub I, Merger Sub II or any other wholly-owned subsidiary of Skyworks immediately prior to the Effective Time) was converted into the right to receive (i) 0.960 (the “</w:t>
      </w:r>
      <w:r>
        <w:rPr>
          <w:rFonts w:ascii="Times New Roman;Times;Serif" w:hAnsi="Times New Roman;Times;Serif"/>
          <w:b w:val="false"/>
          <w:i w:val="false"/>
          <w:caps w:val="false"/>
          <w:smallCaps w:val="false"/>
          <w:sz w:val="20"/>
          <w:u w:val="single"/>
        </w:rPr>
        <w:t>Exchange Ratio</w:t>
      </w:r>
      <w:r>
        <w:rPr>
          <w:rFonts w:ascii="Times New Roman;Times;Serif" w:hAnsi="Times New Roman;Times;Serif"/>
          <w:b w:val="false"/>
          <w:i w:val="false"/>
          <w:caps w:val="false"/>
          <w:smallCaps w:val="false"/>
          <w:sz w:val="20"/>
        </w:rPr>
        <w:t>”) shares of common stock, par value $0.25 per share, of Skyworks (“</w:t>
      </w:r>
      <w:r>
        <w:rPr>
          <w:rFonts w:ascii="Times New Roman;Times;Serif" w:hAnsi="Times New Roman;Times;Serif"/>
          <w:b w:val="false"/>
          <w:i w:val="false"/>
          <w:caps w:val="false"/>
          <w:smallCaps w:val="false"/>
          <w:sz w:val="20"/>
          <w:u w:val="single"/>
        </w:rPr>
        <w:t>Skyworks Common Stock</w:t>
      </w:r>
      <w:r>
        <w:rPr>
          <w:rFonts w:ascii="Times New Roman;Times;Serif" w:hAnsi="Times New Roman;Times;Serif"/>
          <w:b w:val="false"/>
          <w:i w:val="false"/>
          <w:caps w:val="false"/>
          <w:smallCaps w:val="false"/>
          <w:sz w:val="20"/>
        </w:rPr>
        <w:t>”), without interest, and (ii) $32.50 in cash, without interest (the “</w:t>
      </w:r>
      <w:r>
        <w:rPr>
          <w:rFonts w:ascii="Times New Roman;Times;Serif" w:hAnsi="Times New Roman;Times;Serif"/>
          <w:b w:val="false"/>
          <w:i w:val="false"/>
          <w:caps w:val="false"/>
          <w:smallCaps w:val="false"/>
          <w:sz w:val="20"/>
          <w:u w:val="single"/>
        </w:rPr>
        <w:t>Per Share Cash Amount</w:t>
      </w:r>
      <w:r>
        <w:rPr>
          <w:rFonts w:ascii="Times New Roman;Times;Serif" w:hAnsi="Times New Roman;Times;Serif"/>
          <w:b w:val="false"/>
          <w:i w:val="false"/>
          <w:caps w:val="false"/>
          <w:smallCaps w:val="false"/>
          <w:sz w:val="20"/>
        </w:rPr>
        <w:t>”), subject to applicable withholding taxes, (the foregoing clauses (i) and (ii), collectively,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No fractional shares of Skyworks Common Stock are being issued in the Mergers and Qorvo stockholders became entitled to receive cash in lieu of any fractional shares, as specified in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at the Effective Time, each outstanding equity award with respect to Qorvo Common Stock was treated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Each outstanding Qorvo restricted stock unit (“</w:t>
            </w:r>
            <w:r>
              <w:rPr>
                <w:rFonts w:ascii="Times New Roman;Times;Serif" w:hAnsi="Times New Roman;Times;Serif"/>
                <w:u w:val="single"/>
              </w:rPr>
              <w:t>Qorvo RSU Award</w:t>
            </w:r>
            <w:r>
              <w:rPr>
                <w:rFonts w:ascii="Times New Roman;Times;Serif" w:hAnsi="Times New Roman;Times;Serif"/>
              </w:rPr>
              <w:t>”) that (a) was vested but not yet settled as of immediately prior to the Effective Time, (b) by its terms became vested in all respects as a result of the occurrence of the Closing or (c) was held by a non-employee member of the Qorvo board of directors as of immediately prior to the Effective Time (collectively, the “</w:t>
            </w:r>
            <w:r>
              <w:rPr>
                <w:rFonts w:ascii="Times New Roman;Times;Serif" w:hAnsi="Times New Roman;Times;Serif"/>
                <w:u w:val="single"/>
              </w:rPr>
              <w:t>Accelerated Qorvo RSUs</w:t>
            </w:r>
            <w:r>
              <w:rPr>
                <w:rFonts w:ascii="Times New Roman;Times;Serif" w:hAnsi="Times New Roman;Times;Serif"/>
              </w:rPr>
              <w:t>”), was cancelled in consideration for the right to receive (i) the Merger Consideration in respect of each share of Qorvo Common Stock that was subject to such Accelerated Qorvo RSU immediately prior to the Effective Time and (ii) an amount in cash equal to all dividend equivalents, if any, accrued but unpaid as of the Effective Time with respect to each such Accelerated Qorvo RSU. The number of shares of Qorvo Common Stock subject to any Accelerated Qorvo RSUs that remained subject to performance-based vesting conditions as of immediately prior to the Closing Date (</w:t>
            </w:r>
            <w:r>
              <w:rPr>
                <w:rFonts w:ascii="Times New Roman;Times;Serif" w:hAnsi="Times New Roman;Times;Serif"/>
                <w:i/>
              </w:rPr>
              <w:t>i.e</w:t>
            </w:r>
            <w:r>
              <w:rPr>
                <w:rFonts w:ascii="Times New Roman;Times;Serif" w:hAnsi="Times New Roman;Times;Serif"/>
              </w:rPr>
              <w:t>., any Qorvo RSU Award for which the level of performance vesting had not yet been determined) was determined by assuming, in respect of such Qorvo RSU Award, achievement at target performance, subject to certain exceptions for individuals for whom achievement was assumed at the greater of target performance and actual performance as of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Each outstanding Qorvo RSU Award that was not an Accelerated Qorvo RSU (the “</w:t>
            </w:r>
            <w:r>
              <w:rPr>
                <w:rFonts w:ascii="Times New Roman;Times;Serif" w:hAnsi="Times New Roman;Times;Serif"/>
                <w:u w:val="single"/>
              </w:rPr>
              <w:t>Unvested Qorvo RSU Awards</w:t>
            </w:r>
            <w:r>
              <w:rPr>
                <w:rFonts w:ascii="Times New Roman;Times;Serif" w:hAnsi="Times New Roman;Times;Serif"/>
              </w:rPr>
              <w:t>”), was assumed by Skyworks and converted automatically into a restricted stock unit award covering shares of Skyworks Common Stock (each, an “</w:t>
            </w:r>
            <w:r>
              <w:rPr>
                <w:rFonts w:ascii="Times New Roman;Times;Serif" w:hAnsi="Times New Roman;Times;Serif"/>
                <w:u w:val="single"/>
              </w:rPr>
              <w:t>Adjusted RSU Award</w:t>
            </w:r>
            <w:r>
              <w:rPr>
                <w:rFonts w:ascii="Times New Roman;Times;Serif" w:hAnsi="Times New Roman;Times;Serif"/>
              </w:rPr>
              <w:t>”), on the same terms and conditions as were applicable to such Qorvo RSU Award immediately prior to the Effective Time (other than performance-based vesting conditions, which no longer apply following the Effective Time, with dividend equivalents continuing to accrue in respect of such Adjusted RSU Awards and with all accrued dividend equivalents paid at such time as the Adjusted RSU Award is settled), except that the number of shares of Skyworks Common Stock subject to each such Adjusted RSU Award as of the Effective Time was determined by multiplying (a) the number of shares of Qorvo Common Stock subject to the corresponding Unvested Qorvo RSU Award immediately prior to the Effective Time by (b) an amount equal to the sum of (i) the Exchange Ratio, plus (ii) the quotient obtained by dividing the Per Share Cash Amount by the volume weighted average trading price of Skyworks Common Stock on Nasdaq for the five (5) consecutive trading days ending on the trading day immediately preceding the Closing Date, as calculated by Bloomberg L.P. (such amount, the “</w:t>
            </w:r>
            <w:r>
              <w:rPr>
                <w:rFonts w:ascii="Times New Roman;Times;Serif" w:hAnsi="Times New Roman;Times;Serif"/>
                <w:u w:val="single"/>
              </w:rPr>
              <w:t>Conversion Ratio</w:t>
            </w:r>
            <w:r>
              <w:rPr>
                <w:rFonts w:ascii="Times New Roman;Times;Serif" w:hAnsi="Times New Roman;Times;Serif"/>
              </w:rPr>
              <w:t>”), with any fractional shares in the resulting product rounded to the nearest whole share. The number of shares of Qorvo Common Stock subject to any such Unvested Qorvo RSU Award that remain subject to performance-based vesting conditions for which the level of performance vesting had not yet been determined as of immediately prior to the Closing Date, including any accrued but unpaid dividend equivalents, was determined by assuming, in respect of such Unvested Qorvo RSU Award, achievement at target performance, subject to certain exceptions for individuals for whom achievement was assumed at the greater of target performance and actual performance as of immediately prior to the Effective Time. In the event of a termination of employment of any holder of an Adjusted RSU Award by Skyworks, the Surviving Company or one of their affiliates without “cause” or by such holder with “good reason” (each as defined in the applicable Qorvo equity plan or equity award agreement), in each case within the eighteen (18)-month period following the Closing Date, any such Adjusted RSU Awards held by such holder will accelerate and vest in full.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transactions contemplated by the Merger Agreement does not purport to be complete and is subject to, and qualified in its entirety by, the full text of the Merger Agreement, a copy of which was attached as Exhibit 2.1 to the Current Report on Form 8-K filed by Skyworks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October 28, 2025, and is incorporated by reference as Exhibit 2.1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August 10, 2026, Skyworks issued $800,000,000 5.000% Senior Notes due 2028, $600,000,000 5.750% Senior Notes due 2032 and $600,000,000 6.250% Senior Notes due 2036 (collectively, the “Notes”), pursuant to the Company’s registration statement on Form S-3ASR (File No. 333-297918) filed with the SEC on August 3, 2026. The net proceeds received from the sale of the Notes were used to finance the cash consideration for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the Introductory Note and in Items 2.01, 2.03 and 8.01 of this Current Report on Form 8-K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Resignations and Appointment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Merger Agreement, immediately following the Effective Time, the size of the board of directors of Skyworks (the “</w:t>
      </w:r>
      <w:r>
        <w:rPr>
          <w:rFonts w:ascii="Times New Roman;Times;Serif" w:hAnsi="Times New Roman;Times;Serif"/>
          <w:b w:val="false"/>
          <w:i w:val="false"/>
          <w:caps w:val="false"/>
          <w:smallCaps w:val="false"/>
          <w:sz w:val="20"/>
          <w:u w:val="single"/>
        </w:rPr>
        <w:t>Skyworks Board</w:t>
      </w:r>
      <w:r>
        <w:rPr>
          <w:rFonts w:ascii="Times New Roman;Times;Serif" w:hAnsi="Times New Roman;Times;Serif"/>
          <w:b w:val="false"/>
          <w:i w:val="false"/>
          <w:caps w:val="false"/>
          <w:smallCaps w:val="false"/>
          <w:sz w:val="20"/>
        </w:rPr>
        <w:t>”) was increased to consist of eleven (11) directors: (i) Philip G. Brace, who continues to serve as the Chief Executive Officer of Skyworks, (ii) seven (7) directors designated by Skyworks (the “</w:t>
      </w:r>
      <w:r>
        <w:rPr>
          <w:rFonts w:ascii="Times New Roman;Times;Serif" w:hAnsi="Times New Roman;Times;Serif"/>
          <w:b w:val="false"/>
          <w:i w:val="false"/>
          <w:caps w:val="false"/>
          <w:smallCaps w:val="false"/>
          <w:sz w:val="20"/>
          <w:u w:val="single"/>
        </w:rPr>
        <w:t>Skyworks Designees</w:t>
      </w:r>
      <w:r>
        <w:rPr>
          <w:rFonts w:ascii="Times New Roman;Times;Serif" w:hAnsi="Times New Roman;Times;Serif"/>
          <w:b w:val="false"/>
          <w:i w:val="false"/>
          <w:caps w:val="false"/>
          <w:smallCaps w:val="false"/>
          <w:sz w:val="20"/>
        </w:rPr>
        <w:t>”) and (iii) three (3) directors designated by Qorvo (the “</w:t>
      </w:r>
      <w:r>
        <w:rPr>
          <w:rFonts w:ascii="Times New Roman;Times;Serif" w:hAnsi="Times New Roman;Times;Serif"/>
          <w:b w:val="false"/>
          <w:i w:val="false"/>
          <w:caps w:val="false"/>
          <w:smallCaps w:val="false"/>
          <w:sz w:val="20"/>
          <w:u w:val="single"/>
        </w:rPr>
        <w:t>Qorvo Designees</w:t>
      </w:r>
      <w:r>
        <w:rPr>
          <w:rFonts w:ascii="Times New Roman;Times;Serif" w:hAnsi="Times New Roman;Times;Serif"/>
          <w:b w:val="false"/>
          <w:i w:val="false"/>
          <w:caps w:val="false"/>
          <w:smallCaps w:val="false"/>
          <w:sz w:val="20"/>
        </w:rPr>
        <w:t>”), each of whom will hold office until the next annual meeting of stockholders of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Mr. Brace, the Skyworks Designees are Christine King, Alan S. Batey, Eric J. Guerin, Suzanne E. McBride, David P. McGlade, Robert A. Schriesheim and Maryann Turcke (each of whom was an existing director of Skyworks as of immediately prior to the Effective Time). The Qorvo Designees are Robert A. Bruggeworth, Richard L. Clemmer and Christopher R. Koopmans.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Qorvo Designees will be eligible to receive compensation for their service as directors on the same basis as other non-employee directors of Skyworks (as described in Skyworks’ definitive proxy statement filed with the SEC on April 3, 2026). In accordance with the directors’ equity compensation program, on the fifth business day following the date of their initial appointment to the Board, each of the Qorvo Designees will automatically be granted an award consisting of restricted stock units with an aggregate grant date fair value of approximately $230,000, prorated for the period from the date of appointment to the scheduled date of Skyworks’ next annual meeting of stockholders. The number of restricted stock units subject to each award will be determined by reference to the average closing price of Skyworks Common Stock over the 30 consecutive trading day period ending on (and including) the grant date, and rounding such result to the nearest whole share (with .50 and greater being rounded up). Each award will vest on the scheduled date of Skyworks’ next annual meeting of stockholders, subject to the director’s continued service on the Skyworks Board through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and in connection with the Closing, Kevin L. Beebe resigned from the Skyworks Board and all committees of the Skyworks Board. Such resignation was not the result of any disagreement with Skyworks on any matter relating to Skyworks’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Current Report on Form 8-K, appointments for Qorvo Designees to committees of the Skyworks Board have not yet been determined. Skyworks will file an amendment to this Current Report on Form 8-K under Item 5.02 containing such information within four business days after the committee appointments are determined or otherwise become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Mr. Bruggeworth, Mr. Clemmer or Mr. Koopmans has any family relationship with Skyworks’ directors or executive officers or any persons nominated or chosen by Skyworks to be a director or executive officer, and none of Mr. Bruggeworth, Mr. Clemmer or Mr. Koopmans is a party to any transaction, or series of transactions, required to be disclosed pursuant to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Officer Transitions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upon and in connection with the Closing, Robert Terry, one of Skyworks’ named executive officers for fiscal year 2025, ceased to serve as Senior Vice President, General Counsel and Secretary of Skyworks, and Mr. Terry’s last day of employment with Skyworks will be October 5, 2026. Upon his departure, Mr. Terry will receive separation benefits in connection with a termination without cause as provided for in Skyworks’ Severance and Change in Control Benefits Plan, a copy of which has been previously filed with the SEC, provided that any outstanding equity awards held by him will be treated in accordance with their terms, as amended. From and after the Closing, Jason K. (J.K.) Givens, formerly Qorvo's Senior Vice President and General Counsel, Secretary, will be Skyworks’ Senior Vice President and General Counsel, Secretary.</w:t>
      </w:r>
    </w:p>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6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Skyworks issued a press release announcing consummation of the transaction between Skyworks and Qorvo. The full text of the press release is attached hereto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“forward-looking statements” within the meaning of the federal securities laws, including Section 27A of the U.S. Securities Act of 1933, as amended, and Section 21E of the Securities Exchange Act of 1934, as amended. These forward-looking statements are based on Skyworks’ and Qorvo’s current expectations, estimates and projections about the potential benefits of the transaction between Skyworks and Qorvo, their respective businesses and industries, management’s beliefs and certain assumptions made by Skyworks and Qorvo, all of which are subject to change. In this context, forward-looking statements often address expected future business and financial performance and financial condition, and often contain words such as “expect,” “anticipate,” “intend,” “plan,” “believe,” “could,” “seek,” “see,” “will,” “may,” “would,” “might,” “potentially,” “estimate,” “continue,” “expect,” “target,” similar expressions or the negatives of these words or other comparable terminology that convey uncertainty of future events or outcomes. All forward-looking statements by their nature address matters that involve risks and uncertainties, many of which are beyond our control and are not guarantees of future results, such as statements about the anticipated benefits of the transaction. These and other forward-looking statements are not guarantees of future results and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(i) failure to realize the anticipated benefits of the transaction, including as a result of delay in integrating the businesses of Skyworks and Qorvo; (ii) Skyworks’ and Qorvo’s ability to implement their business strategies; (iii) pricing trends; (iv) potential litigation relating to the transaction that has been or could be instituted against the parties or their respective directors; (v) the risk that disruptions from the transaction will harm Skyworks’ or Qorvo’s business, including current plans and operations; (vi) the ability of Skyworks or Qorvo to retain and hire key personnel; (vii) potential adverse reactions or changes to business relationships resulting from the completion of the transaction (viii) uncertainty as to the long-term value of Skyworks’ common stock; (ix) legislative, regulatory and economic developments affecting Skyworks’ and Qorvo’s businesses; (x) general economic and market developments and conditions; (xi) the evolving legal, regulatory and tax regimes under which Skyworks and Qorvo operate; (xii) potential business uncertainty, including changes to existing business relationships, as a result of the transaction that would affect the parties’ financial performance; and (xiii) unpredictability and severity of catastrophic events, including, but not limited to, acts of terrorism or outbreak of war or hostilities, as well as Skyworks’ and Qorvo’s response to any of the aforementioned factors. These risks, as well as other risks associated with the transaction, are more fully discussed in the joint proxy statement/prospectus previously filed in connection with the transaction. While the list of factors presented here and in the joint proxy statement/prospectus are considered representative, no such list should be considered to be a complete statement of all potential risks and uncertainties. Unlisted factors may present significant additional obstacles to the realization of forward 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Neither Skyworks nor Qorvo assumes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Financial Statements of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to the extent required by this Item 9.01, will be filed by amendment to this Current Report on Form 8-K no later than 71 days following the date that this Current Report on Form 8-K is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Pro-Forma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to the extent required by this Item 9.01, will be filed by amendment to this Current Report on Form 8-K no later than 71 days following the date that this Current Report on Form 8-K is required to be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center"/>
              <w:rPr>
                <w:b/>
              </w:rPr>
            </w:pPr>
            <w:r>
              <w:rPr>
                <w:b/>
              </w:rPr>
              <w:t>Exhibits</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2">
              <w:r>
                <w:rPr>
                  <w:rStyle w:val="InternetLink"/>
                  <w:rFonts w:ascii="Times New Roman;Times;Serif" w:hAnsi="Times New Roman;Times;Serif"/>
                  <w:sz w:val="20"/>
                </w:rPr>
                <w:t>2.1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3">
              <w:r>
                <w:rPr>
                  <w:rStyle w:val="InternetLink"/>
                  <w:rFonts w:ascii="Times New Roman;Times;Serif" w:hAnsi="Times New Roman;Times;Serif"/>
                  <w:sz w:val="20"/>
                </w:rPr>
                <w:t>Agreement and Plan of Merger, dated as of October 27, 2025, by and among Skyworks, Merger Sub I, Merger Sub II, and Qorvo (incorporated by reference to Exhibit 2.1 to Skyworks’ Current Report on Form 8-K filed with the SEC on October 28, 2025, File No. 001-05560)*</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693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6934d1_ex99-1.htm">
              <w:r>
                <w:rPr>
                  <w:rStyle w:val="InternetLink"/>
                  <w:rFonts w:ascii="Times New Roman;Times;Serif" w:hAnsi="Times New Roman;Times;Serif"/>
                  <w:sz w:val="20"/>
                </w:rPr>
                <w:t>Press Release, dated October 5, 2026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have been omitted pursuant to Item 601(a)(5) of Regulation S-K. The registrant hereby undertakes to furnish supplementally a copy of any omitted schedule upon request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1355"/>
        <w:gridCol w:w="545"/>
        <w:gridCol w:w="4115"/>
      </w:tblGrid>
      <w:tr>
        <w:trPr/>
        <w:tc>
          <w:tcPr>
            <w:tcW w:w="13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13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October 5, 2026</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By:</w:t>
            </w:r>
          </w:p>
        </w:tc>
        <w:tc>
          <w:tcPr>
            <w:tcW w:w="41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M. Carter</w:t>
            </w:r>
          </w:p>
        </w:tc>
      </w:tr>
      <w:tr>
        <w:trPr/>
        <w:tc>
          <w:tcPr>
            <w:tcW w:w="13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411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Philip M. Carter</w:t>
            </w:r>
          </w:p>
        </w:tc>
      </w:tr>
      <w:tr>
        <w:trPr/>
        <w:tc>
          <w:tcPr>
            <w:tcW w:w="13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41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Senior Vice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6934d1_ex99-1.htm"/>
      <w:bookmarkStart w:id="23" w:name="kstm2626934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26384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638425" cy="390525"/>
                    </a:xfrm>
                    <a:prstGeom prst="rect">
                      <a:avLst/>
                    </a:prstGeom>
                  </pic:spPr>
                </pic:pic>
              </a:graphicData>
            </a:graphic>
          </wp:inline>
        </w:drawing>
      </w:r>
    </w:p>
    <w:p>
      <w:pPr>
        <w:pStyle w:val="TextBody"/>
        <w:bidi w:val="0"/>
        <w:spacing w:before="0" w:after="283"/>
        <w:jc w:val="left"/>
        <w:rPr/>
      </w:pPr>
      <w:r>
        <w:rPr/>
        <w:t> </w:t>
      </w:r>
    </w:p>
    <w:tbl>
      <w:tblPr>
        <w:tblW w:w="5020" w:type="dxa"/>
        <w:jc w:val="left"/>
        <w:tblInd w:w="0" w:type="dxa"/>
        <w:tblLayout w:type="fixed"/>
        <w:tblCellMar>
          <w:top w:w="0" w:type="dxa"/>
          <w:left w:w="0" w:type="dxa"/>
          <w:bottom w:w="0" w:type="dxa"/>
          <w:right w:w="0" w:type="dxa"/>
        </w:tblCellMar>
      </w:tblPr>
      <w:tblGrid>
        <w:gridCol w:w="2945"/>
        <w:gridCol w:w="2075"/>
      </w:tblGrid>
      <w:tr>
        <w:trPr/>
        <w:tc>
          <w:tcPr>
            <w:tcW w:w="294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 Griffiths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230-4867</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Constance.Griffiths@skyworks.com</w:t>
            </w:r>
          </w:p>
        </w:tc>
        <w:tc>
          <w:tcPr>
            <w:tcW w:w="207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Raji.Gill@skyworks.com</w:t>
              <w:tab/>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Completes Combination with Qorvo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Expands technology portfolio and addressable market, with $500 million or more in expected annual cost synergies and immediate non-GAAP EPS accretion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 Oct. 5, 2026 -- Skyworks (Nasdaq: SWKS) today announced the successful completion of its combination with Qorvo. The close of the transaction creates a U.S.-based, global leader in high-performance radio frequency (RF), power management, and analog and mixed-signal semiconductor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This combination is about far more than bringing two companies together,” said Phil Brace, chief executive officer and president of Skyworks. “Our customers are tackling increasingly complex challenges and need partners with the capabilities, engineering expertise and scale to help them innovate faster. Together, we are well positioned to deliver more integrated, system-level solutions and accelerate the next generation of connected technologies. Today marks an important milestone—but it is only the beginning. We see an extraordinary opportunity to create long-term value for our customers, shareholders and employees while helping shape the future of our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creates a larger, more diversified semiconductor company, combining complementary RF, analog, and power technologies with expanded engineering capabilities — approximately 8,000 engineers and more than 12,000 issued and pending patents.</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38425" cy="390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2638425"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Mobile, the combination broadens its RF front-end portfolio, positioning the company to benefit from rising RF complexity. As 5G-Advanced evolves and the industry moves toward 6G, smartphones are expected to support more frequency bands, new spectrum and AI-driven features, increasing demand for highly integrated RF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Beyond Mobile, the combination more than doubles Skyworks' addressable market and establishes a platform spanning physical AI and connected edge, defense and aerospace, data center and networking, and automotive. It also broadens the technology portfolio into RF GaN, low-voltage power, and wired broadband.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will benefit from greater end-market breadth, strengthened domestic manufacturing, and annualized cost synergies of $500 million or more, expected to be realized within 24 to 36 months post-close when the companies are fully integrated.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be immediately accretive to non-GAAP EPS while maintaining a favorable capital structure. Skyworks will provide financial guidance on its fiscal fourth-quarter earnings call on Nov.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 Bruggeworth, former chief executive officer and president of Qorvo and a member of the Skyworks Board of Directors, added, “This next chapter begins with an immense amount of pride. I've had the opportunity to see firsthand our teams preparing for this moment with tremendous focus and discipline. I have great confidence in the future of the combined company and its ability to deliver on the promise of the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merger agreement, Qorvo shareholders are entitled to receive $32.50 in cash and 0.960 of Skyworks’ common share for each share of Qorvo common stock they owned. Legacy Skyworks shareholders own approximately 63% of the combined company and legacy Qorvo shareholders own approximately 37%, on a fully diluted basis. The company will continue to operate as Skyworks and trade under the SWKS ticker symbol on the NASDAQ market.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63842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2638425"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Phil Brace will continue to serve as chief executive officer and president of Skyworks. Bob Bruggeworth, Richard Clemmer and Chris Koopmans, formerly on the Qorvo board of directors, have each joined the Skyworks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Qatalyst Partners and Goldman Sachs &amp; Co. LLC acted as financial advisors to Skyworks, with Skadden, Arps, Slate, Meagher &amp; Flom LLP serving as Skyworks’ legal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Centerview Partners LLC was exclusive financial advisor and Davis Polk &amp; Wardwell LLP acted as legal advisor to Qorvo.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leader in high-performance RF, precision timing, power management and mixed-signal solutions that power the intelligent, connected world. Through deep engineering expertise, Skyworks helps customers address rising complexity and deliver seamless connectivity across smartphones, vehicles, networks and critical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defense and aerospace systems to the connected edge, AI infrastructure and next-generation automotive platforms, Skyworks provides the essential technologies that connect, synchronize and power physical AI, as intelligence moves out of the data center and into the real world. Harnessing decades of technical leadership and trusted partnerships across the technology ecosystem, Skyworks helps the world's leading innovators bring next-generation products and services to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Skyworks is a member of the S&amp;P 500® market index (Nasdaq: SWKS). For more information, please visit </w:t>
      </w:r>
      <w:r>
        <w:rPr>
          <w:rFonts w:ascii="Times New Roman;Times;Serif" w:hAnsi="Times New Roman;Times;Serif"/>
          <w:b w:val="false"/>
          <w:i w:val="false"/>
          <w:caps w:val="false"/>
          <w:smallCaps w:val="false"/>
          <w:sz w:val="20"/>
          <w:u w:val="single"/>
        </w:rPr>
        <w:t>www.skyworksinc.com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38425"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2638425"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intended to qualify for the safe harbor from liability established by the Private Securities Litigation Reform Act of 1995. These forward-looking statements include information relating to future events, prospects, expectations and results of Skyworks (e.g., certain projections and business trends, including with respect to future sales and revenue, as well as statements regarding the recently completed combination with Qorvo, Inc. (“Qorvo”)).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our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potential impacts on our business, reputation, relationships, results of operations, cash flows and financial condition as a result of the combination with Qorvo, Inc.; the possibility that expected benefits related to such transactions with Qorvo may not materialize as expected; our business experiencing disruptions as a result of the acquisition, including factors making it more difficult to maintain relationships with employees, customers, other business partners or governmental entities; the diversion of management time to integration of the business; our being unable to successfully implement integration strategies or to achieve expected synergies and operating efficiencies within the expected time-frames or at all; the costs, fees, expenses and other charges related to the transactions with Qorvo, including with respect to any related litigation; reduced flexibility in operating our business as a result of the substantial amount of additional indebtedness we have incurred and may in the future incur in connection with the Qorvo transactions; unexpected costs, charges and expenses related to the integration of the parties’ businesses; the risks of doing business internationally, including from trade war or trade protection measures (e.g., tariffs, retaliatory tariffs and other countermeasures or taxes), increased import/export restrictions and controls (e.g., our ability to obtain foreign-sourced raw materials, including from Chinese-based sources, as well as our ability to sell products to certain specified foreign entities only pursuant to a limited export license from the U.S. Department of Commerce), the susceptibility of the semiconductor industry and the markets addressed by our, and our customers’, products to economic cycles or changes in economic conditions, including inflation and recession that could result from trade war or trade protection measures; our reliance on a small number of key customers for a large percentage of our sales; decreased gross margins and loss of market share as a result of increased competition; our ability to obtain design wins from customers; our ability to convert design wins into revenue; market acceptance of our products and our customers’ products, including market acceptance of new, emerging technologies such as AI; the mix and volume of phone models sold by our largest customer; delays in the deployment of commercial 5G networks or in consumer adoption of 5G-enabled devices; the volatility of our stock price; changes in laws, regulations and/or policies that could adversely affect our operations and financial results, the economy and our customers’ demand for our products, or the financial markets and our ability to raise capital; fluctuations in our manufacturing yields due to our complex and specialized manufacturing processes; our ability to develop, manufacture and market innovative products, avoid product obsolescence, reduce costs in a timely manner, transition our products to smaller geometry process technologies and achieve higher levels of design integration; the quality of our products and any defect remediation costs; our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our customers’ ability to obtain such services and materials; risks that we may not be able to optimize our manufacturing footprint and achieve any financial and operational benefits from such efforts, including reducing fixed costs or improving utilization rates, disruptions to our manufacturing processes, including relating to any relocation of our key facilities; our ability to successfully manage our senior management transitions; our ability to retain, recruit and hire key executives or the departure of any such executives, technical personnel and other employees in the positions and numbers, with the experience and capabilities, and at the compensation levels needed to implement our business and product plans; the timing, rescheduling or cancellation of significant customer orders and our ability, as well as the ability of our customers, to manage inventory; other economic, social, military and geopolitical conditions in the countries in which we, our customers or our suppliers operate, including the conflicts in Ukraine, Iran and other regions in the Middle East, possible disruptions in transportation networks, and fluctuations in foreign currency exchange rates; the effects of global health crises on business conditions in our industry, including the risk of significant disruptions to our business operations, as well as negative impacts to our financial condition; our ability to prevent theft of our intellectual property, disclosure of confidential information or breaches of our information technology systems; uncertainties of litigation, including potential disputes over intellectual property infringement and rights, as well as payments related to the licensing and/or sale of such rights; our ability to continue to grow and maintain an intellectual property portfolio and obtain needed licenses from third parties; our ability to make certain investments and acquisitions, integrate Qorvo and other companies we acquire and/or enter into strategic alliances; and other risks and uncertainties, including those detailed from time to time in our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638425"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2638425"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made only as of the date hereof, and we undertake no obligation to update or revise the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to Editors: Skyworks, Qorvo, the Skyworks symbol, and the Qorvo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right"/>
              <w:rPr/>
            </w:pPr>
            <w:r>
              <w:rPr/>
              <w:t>5</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4127/000110465925102806/tm2529220d2_ex2-1.htm" TargetMode="External"/><Relationship Id="rId3" Type="http://schemas.openxmlformats.org/officeDocument/2006/relationships/hyperlink" Target="https://www.sec.gov/Archives/edgar/data/4127/000110465925102806/tm2529220d2_ex2-1.htm" TargetMode="External"/><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4981</Words>
  <Characters>28110</Characters>
  <CharactersWithSpaces>33145</CharactersWithSpaces>
  <Paragraphs>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