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294640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328930</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t>UNITED STATES</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5"/>
          <w:szCs w:val="25"/>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161290</wp:posOffset>
            </wp:positionV>
            <wp:extent cx="178308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69" w:lineRule="exact"/>
        <w:rPr>
          <w:sz w:val="24"/>
          <w:szCs w:val="24"/>
          <w:color w:val="auto"/>
        </w:rPr>
      </w:pPr>
    </w:p>
    <w:p>
      <w:pPr>
        <w:ind w:left="4780"/>
        <w:spacing w:after="0"/>
        <w:rPr>
          <w:sz w:val="20"/>
          <w:szCs w:val="20"/>
          <w:color w:val="auto"/>
        </w:rPr>
      </w:pPr>
      <w:r>
        <w:rPr>
          <w:rFonts w:ascii="Times New Roman" w:cs="Times New Roman" w:eastAsia="Times New Roman" w:hAnsi="Times New Roman"/>
          <w:sz w:val="18"/>
          <w:szCs w:val="18"/>
          <w:b w:val="1"/>
          <w:bCs w:val="1"/>
          <w:color w:val="auto"/>
        </w:rPr>
        <w:t>CURRENT REPORT</w:t>
      </w:r>
    </w:p>
    <w:p>
      <w:pPr>
        <w:spacing w:after="0" w:line="31" w:lineRule="exact"/>
        <w:rPr>
          <w:sz w:val="24"/>
          <w:szCs w:val="24"/>
          <w:color w:val="auto"/>
        </w:rPr>
      </w:pPr>
    </w:p>
    <w:p>
      <w:pPr>
        <w:ind w:left="4400"/>
        <w:spacing w:after="0"/>
        <w:rPr>
          <w:sz w:val="20"/>
          <w:szCs w:val="20"/>
          <w:color w:val="auto"/>
        </w:rPr>
      </w:pPr>
      <w:r>
        <w:rPr>
          <w:rFonts w:ascii="Times New Roman" w:cs="Times New Roman" w:eastAsia="Times New Roman" w:hAnsi="Times New Roman"/>
          <w:sz w:val="18"/>
          <w:szCs w:val="18"/>
          <w:b w:val="1"/>
          <w:bCs w:val="1"/>
          <w:color w:val="auto"/>
        </w:rPr>
        <w:t>Pursuant to Section 13 or 15(d)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of the Securities Exchange Act of 1934</w:t>
      </w:r>
    </w:p>
    <w:p>
      <w:pPr>
        <w:spacing w:after="0" w:line="20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Date of Report (Date of earliest event reported): May 20,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156845</wp:posOffset>
            </wp:positionV>
            <wp:extent cx="178308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7"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7"/>
          <w:szCs w:val="27"/>
          <w:b w:val="1"/>
          <w:bCs w:val="1"/>
          <w:color w:val="auto"/>
        </w:rPr>
        <w:t>Skyworks Solutions, Inc.</w:t>
      </w:r>
    </w:p>
    <w:p>
      <w:pPr>
        <w:spacing w:after="0" w:line="35"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141605</wp:posOffset>
            </wp:positionV>
            <wp:extent cx="178308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38" w:lineRule="exact"/>
        <w:rPr>
          <w:sz w:val="24"/>
          <w:szCs w:val="24"/>
          <w:color w:val="auto"/>
        </w:rPr>
      </w:pPr>
    </w:p>
    <w:tbl>
      <w:tblPr>
        <w:tblLayout w:type="fixed"/>
        <w:tblInd w:w="0" w:type="dxa"/>
        <w:tblCellMar>
          <w:top w:w="0" w:type="dxa"/>
          <w:left w:w="0" w:type="dxa"/>
          <w:bottom w:w="0" w:type="dxa"/>
          <w:right w:w="0" w:type="dxa"/>
        </w:tblCellMar>
      </w:tblPr>
      <w:tr>
        <w:trPr>
          <w:trHeight w:val="238"/>
        </w:trPr>
        <w:tc>
          <w:tcPr>
            <w:tcW w:w="362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Delaware</w:t>
            </w:r>
          </w:p>
        </w:tc>
        <w:tc>
          <w:tcPr>
            <w:tcW w:w="3820" w:type="dxa"/>
            <w:vAlign w:val="bottom"/>
            <w:gridSpan w:val="2"/>
          </w:tcPr>
          <w:p>
            <w:pPr>
              <w:jc w:val="center"/>
              <w:ind w:left="110"/>
              <w:spacing w:after="0"/>
              <w:rPr>
                <w:sz w:val="20"/>
                <w:szCs w:val="20"/>
                <w:color w:val="auto"/>
              </w:rPr>
            </w:pPr>
            <w:r>
              <w:rPr>
                <w:rFonts w:ascii="Times New Roman" w:cs="Times New Roman" w:eastAsia="Times New Roman" w:hAnsi="Times New Roman"/>
                <w:sz w:val="18"/>
                <w:szCs w:val="18"/>
                <w:b w:val="1"/>
                <w:bCs w:val="1"/>
                <w:color w:val="auto"/>
                <w:w w:val="99"/>
              </w:rPr>
              <w:t>001-05560</w:t>
            </w:r>
          </w:p>
        </w:tc>
        <w:tc>
          <w:tcPr>
            <w:tcW w:w="200" w:type="dxa"/>
            <w:vAlign w:val="bottom"/>
          </w:tcPr>
          <w:p>
            <w:pPr>
              <w:spacing w:after="0"/>
              <w:rPr>
                <w:sz w:val="20"/>
                <w:szCs w:val="20"/>
                <w:color w:val="auto"/>
              </w:rPr>
            </w:pPr>
          </w:p>
        </w:tc>
        <w:tc>
          <w:tcPr>
            <w:tcW w:w="3600" w:type="dxa"/>
            <w:vAlign w:val="bottom"/>
          </w:tcPr>
          <w:p>
            <w:pPr>
              <w:jc w:val="right"/>
              <w:ind w:right="1270"/>
              <w:spacing w:after="0"/>
              <w:rPr>
                <w:sz w:val="20"/>
                <w:szCs w:val="20"/>
                <w:color w:val="auto"/>
              </w:rPr>
            </w:pPr>
            <w:r>
              <w:rPr>
                <w:rFonts w:ascii="Times New Roman" w:cs="Times New Roman" w:eastAsia="Times New Roman" w:hAnsi="Times New Roman"/>
                <w:sz w:val="18"/>
                <w:szCs w:val="18"/>
                <w:b w:val="1"/>
                <w:bCs w:val="1"/>
                <w:color w:val="auto"/>
              </w:rPr>
              <w:t>04-2302115</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(State or other jurisdiction of incorporation)</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rPr>
              <w:t>(Commission File Number)</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(IRS Employer Identification No.)</w:t>
            </w:r>
          </w:p>
        </w:tc>
      </w:tr>
      <w:tr>
        <w:trPr>
          <w:trHeight w:val="418"/>
        </w:trPr>
        <w:tc>
          <w:tcPr>
            <w:tcW w:w="36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w w:val="98"/>
              </w:rPr>
              <w:t>5260 California Avenue</w:t>
            </w:r>
          </w:p>
        </w:tc>
        <w:tc>
          <w:tcPr>
            <w:tcW w:w="3600" w:type="dxa"/>
            <w:vAlign w:val="bottom"/>
          </w:tcPr>
          <w:p>
            <w:pPr>
              <w:spacing w:after="0"/>
              <w:rPr>
                <w:sz w:val="24"/>
                <w:szCs w:val="24"/>
                <w:color w:val="auto"/>
              </w:rPr>
            </w:pPr>
          </w:p>
        </w:tc>
      </w:tr>
      <w:tr>
        <w:trPr>
          <w:trHeight w:val="220"/>
        </w:trPr>
        <w:tc>
          <w:tcPr>
            <w:tcW w:w="36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0" w:type="dxa"/>
            <w:vAlign w:val="bottom"/>
            <w:gridSpan w:val="2"/>
          </w:tcPr>
          <w:p>
            <w:pPr>
              <w:jc w:val="center"/>
              <w:ind w:right="240"/>
              <w:spacing w:after="0"/>
              <w:rPr>
                <w:sz w:val="20"/>
                <w:szCs w:val="20"/>
                <w:color w:val="auto"/>
              </w:rPr>
            </w:pPr>
            <w:r>
              <w:rPr>
                <w:rFonts w:ascii="Times New Roman" w:cs="Times New Roman" w:eastAsia="Times New Roman" w:hAnsi="Times New Roman"/>
                <w:sz w:val="18"/>
                <w:szCs w:val="18"/>
                <w:b w:val="1"/>
                <w:bCs w:val="1"/>
                <w:color w:val="auto"/>
              </w:rPr>
              <w:t>Irvine, CA 92617</w:t>
            </w:r>
          </w:p>
        </w:tc>
        <w:tc>
          <w:tcPr>
            <w:tcW w:w="3600" w:type="dxa"/>
            <w:vAlign w:val="bottom"/>
          </w:tcPr>
          <w:p>
            <w:pPr>
              <w:spacing w:after="0"/>
              <w:rPr>
                <w:sz w:val="19"/>
                <w:szCs w:val="19"/>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spacing w:after="0"/>
              <w:rPr>
                <w:sz w:val="20"/>
                <w:szCs w:val="20"/>
                <w:color w:val="auto"/>
              </w:rPr>
            </w:pPr>
            <w:r>
              <w:rPr>
                <w:rFonts w:ascii="Times New Roman" w:cs="Times New Roman" w:eastAsia="Times New Roman" w:hAnsi="Times New Roman"/>
                <w:sz w:val="18"/>
                <w:szCs w:val="18"/>
                <w:color w:val="auto"/>
                <w:w w:val="99"/>
              </w:rPr>
              <w:t>(Address of principal executive office) (Zip Code)</w:t>
            </w:r>
          </w:p>
        </w:tc>
        <w:tc>
          <w:tcPr>
            <w:tcW w:w="3600" w:type="dxa"/>
            <w:vAlign w:val="bottom"/>
          </w:tcPr>
          <w:p>
            <w:pPr>
              <w:spacing w:after="0"/>
              <w:rPr>
                <w:sz w:val="20"/>
                <w:szCs w:val="20"/>
                <w:color w:val="auto"/>
              </w:rPr>
            </w:pPr>
          </w:p>
        </w:tc>
      </w:tr>
      <w:tr>
        <w:trPr>
          <w:trHeight w:val="414"/>
        </w:trPr>
        <w:tc>
          <w:tcPr>
            <w:tcW w:w="3620" w:type="dxa"/>
            <w:vAlign w:val="bottom"/>
          </w:tcPr>
          <w:p>
            <w:pPr>
              <w:spacing w:after="0"/>
              <w:rPr>
                <w:sz w:val="24"/>
                <w:szCs w:val="24"/>
                <w:color w:val="auto"/>
              </w:rPr>
            </w:pPr>
          </w:p>
        </w:tc>
        <w:tc>
          <w:tcPr>
            <w:tcW w:w="3820" w:type="dxa"/>
            <w:vAlign w:val="bottom"/>
            <w:gridSpan w:val="2"/>
          </w:tcPr>
          <w:p>
            <w:pPr>
              <w:jc w:val="center"/>
              <w:ind w:left="90"/>
              <w:spacing w:after="0"/>
              <w:rPr>
                <w:sz w:val="20"/>
                <w:szCs w:val="20"/>
                <w:color w:val="auto"/>
              </w:rPr>
            </w:pPr>
            <w:r>
              <w:rPr>
                <w:rFonts w:ascii="Times New Roman" w:cs="Times New Roman" w:eastAsia="Times New Roman" w:hAnsi="Times New Roman"/>
                <w:sz w:val="18"/>
                <w:szCs w:val="18"/>
                <w:b w:val="1"/>
                <w:bCs w:val="1"/>
                <w:color w:val="auto"/>
                <w:w w:val="99"/>
              </w:rPr>
              <w:t>(949) 231-3000</w:t>
            </w:r>
          </w:p>
        </w:tc>
        <w:tc>
          <w:tcPr>
            <w:tcW w:w="200" w:type="dxa"/>
            <w:vAlign w:val="bottom"/>
          </w:tcPr>
          <w:p>
            <w:pPr>
              <w:spacing w:after="0"/>
              <w:rPr>
                <w:sz w:val="24"/>
                <w:szCs w:val="24"/>
                <w:color w:val="auto"/>
              </w:rPr>
            </w:pPr>
          </w:p>
        </w:tc>
        <w:tc>
          <w:tcPr>
            <w:tcW w:w="3600" w:type="dxa"/>
            <w:vAlign w:val="bottom"/>
          </w:tcPr>
          <w:p>
            <w:pPr>
              <w:spacing w:after="0"/>
              <w:rPr>
                <w:sz w:val="24"/>
                <w:szCs w:val="24"/>
                <w:color w:val="auto"/>
              </w:rPr>
            </w:pPr>
          </w:p>
        </w:tc>
      </w:tr>
      <w:tr>
        <w:trPr>
          <w:trHeight w:val="234"/>
        </w:trPr>
        <w:tc>
          <w:tcPr>
            <w:tcW w:w="3620" w:type="dxa"/>
            <w:vAlign w:val="bottom"/>
          </w:tcPr>
          <w:p>
            <w:pPr>
              <w:spacing w:after="0"/>
              <w:rPr>
                <w:sz w:val="20"/>
                <w:szCs w:val="20"/>
                <w:color w:val="auto"/>
              </w:rPr>
            </w:pPr>
          </w:p>
        </w:tc>
        <w:tc>
          <w:tcPr>
            <w:tcW w:w="4020" w:type="dxa"/>
            <w:vAlign w:val="bottom"/>
            <w:gridSpan w:val="3"/>
          </w:tcPr>
          <w:p>
            <w:pPr>
              <w:jc w:val="center"/>
              <w:ind w:right="20"/>
              <w:spacing w:after="0"/>
              <w:rPr>
                <w:sz w:val="20"/>
                <w:szCs w:val="20"/>
                <w:color w:val="auto"/>
              </w:rPr>
            </w:pPr>
            <w:r>
              <w:rPr>
                <w:rFonts w:ascii="Times New Roman" w:cs="Times New Roman" w:eastAsia="Times New Roman" w:hAnsi="Times New Roman"/>
                <w:sz w:val="18"/>
                <w:szCs w:val="18"/>
                <w:color w:val="auto"/>
                <w:w w:val="99"/>
              </w:rPr>
              <w:t>(Registrant’s telephone number, including area code)</w:t>
            </w:r>
          </w:p>
        </w:tc>
        <w:tc>
          <w:tcPr>
            <w:tcW w:w="3600" w:type="dxa"/>
            <w:vAlign w:val="bottom"/>
          </w:tcPr>
          <w:p>
            <w:pPr>
              <w:spacing w:after="0"/>
              <w:rPr>
                <w:sz w:val="20"/>
                <w:szCs w:val="20"/>
                <w:color w:val="auto"/>
              </w:rPr>
            </w:pPr>
          </w:p>
        </w:tc>
      </w:tr>
    </w:tbl>
    <w:p>
      <w:pPr>
        <w:spacing w:after="0" w:line="19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2679700</wp:posOffset>
            </wp:positionH>
            <wp:positionV relativeFrom="paragraph">
              <wp:posOffset>142875</wp:posOffset>
            </wp:positionV>
            <wp:extent cx="178308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0" w:lineRule="exact"/>
        <w:rPr>
          <w:sz w:val="24"/>
          <w:szCs w:val="24"/>
          <w:color w:val="auto"/>
        </w:rPr>
      </w:pPr>
    </w:p>
    <w:p>
      <w:pPr>
        <w:spacing w:after="0" w:line="243" w:lineRule="exact"/>
        <w:rPr>
          <w:sz w:val="24"/>
          <w:szCs w:val="24"/>
          <w:color w:val="auto"/>
        </w:rPr>
      </w:pPr>
    </w:p>
    <w:p>
      <w:pPr>
        <w:ind w:right="680"/>
        <w:spacing w:after="0" w:line="282" w:lineRule="auto"/>
        <w:rPr>
          <w:sz w:val="20"/>
          <w:szCs w:val="20"/>
          <w:color w:val="auto"/>
        </w:rPr>
      </w:pPr>
      <w:r>
        <w:rPr>
          <w:rFonts w:ascii="Times New Roman" w:cs="Times New Roman" w:eastAsia="Times New Roman" w:hAnsi="Times New Roman"/>
          <w:sz w:val="18"/>
          <w:szCs w:val="18"/>
          <w:color w:val="auto"/>
        </w:rPr>
        <w:t>Check the appropriate box below if the Form 8-K filing is intended to simultaneously satisfy the filing obligation of the registrant under any of the following provisions:</w:t>
      </w:r>
    </w:p>
    <w:p>
      <w:pPr>
        <w:spacing w:after="0" w:line="162" w:lineRule="exact"/>
        <w:rPr>
          <w:sz w:val="24"/>
          <w:szCs w:val="24"/>
          <w:color w:val="auto"/>
        </w:rPr>
      </w:pPr>
    </w:p>
    <w:p>
      <w:pPr>
        <w:ind w:left="480" w:hanging="472"/>
        <w:spacing w:after="0"/>
        <w:tabs>
          <w:tab w:leader="none" w:pos="48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Written communications pursuant to Rule 425 under the Securities Act (17 CFR 230.425)</w:t>
      </w:r>
    </w:p>
    <w:p>
      <w:pPr>
        <w:spacing w:after="0" w:line="225" w:lineRule="exact"/>
        <w:rPr>
          <w:sz w:val="24"/>
          <w:szCs w:val="24"/>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480" w:hanging="472"/>
        <w:spacing w:after="0"/>
        <w:tabs>
          <w:tab w:leader="none" w:pos="480"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right="2720" w:firstLine="8"/>
        <w:spacing w:after="0" w:line="498" w:lineRule="auto"/>
        <w:tabs>
          <w:tab w:leader="none" w:pos="477" w:val="left"/>
        </w:tabs>
        <w:numPr>
          <w:ilvl w:val="0"/>
          <w:numId w:val="2"/>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Pre-commencement communications pursuant to Rule 13e-4(c) under the Exchange Act (17 CFR 240.13e-4(c)) Securities registered pursuant to Section 12(b) of the Act:</w:t>
      </w:r>
    </w:p>
    <w:p>
      <w:pPr>
        <w:spacing w:after="0" w:line="1"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36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80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Trading</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 of each exchange</w:t>
            </w:r>
          </w:p>
        </w:tc>
      </w:tr>
      <w:tr>
        <w:trPr>
          <w:trHeight w:val="238"/>
        </w:trPr>
        <w:tc>
          <w:tcPr>
            <w:tcW w:w="3840" w:type="dxa"/>
            <w:vAlign w:val="bottom"/>
            <w:gridSpan w:val="2"/>
          </w:tcPr>
          <w:p>
            <w:pPr>
              <w:jc w:val="center"/>
              <w:ind w:right="220"/>
              <w:spacing w:after="0"/>
              <w:rPr>
                <w:sz w:val="20"/>
                <w:szCs w:val="20"/>
                <w:color w:val="auto"/>
              </w:rPr>
            </w:pPr>
            <w:r>
              <w:rPr>
                <w:rFonts w:ascii="Times New Roman" w:cs="Times New Roman" w:eastAsia="Times New Roman" w:hAnsi="Times New Roman"/>
                <w:sz w:val="18"/>
                <w:szCs w:val="18"/>
                <w:b w:val="1"/>
                <w:bCs w:val="1"/>
                <w:color w:val="auto"/>
                <w:w w:val="98"/>
              </w:rPr>
              <w:t>Title of each class</w:t>
            </w:r>
          </w:p>
        </w:tc>
        <w:tc>
          <w:tcPr>
            <w:tcW w:w="3800" w:type="dxa"/>
            <w:vAlign w:val="bottom"/>
            <w:gridSpan w:val="2"/>
          </w:tcPr>
          <w:p>
            <w:pPr>
              <w:jc w:val="center"/>
              <w:ind w:right="200"/>
              <w:spacing w:after="0"/>
              <w:rPr>
                <w:sz w:val="20"/>
                <w:szCs w:val="20"/>
                <w:color w:val="auto"/>
              </w:rPr>
            </w:pPr>
            <w:r>
              <w:rPr>
                <w:rFonts w:ascii="Times New Roman" w:cs="Times New Roman" w:eastAsia="Times New Roman" w:hAnsi="Times New Roman"/>
                <w:sz w:val="18"/>
                <w:szCs w:val="18"/>
                <w:b w:val="1"/>
                <w:bCs w:val="1"/>
                <w:color w:val="auto"/>
                <w:w w:val="98"/>
              </w:rPr>
              <w:t>Symbol(s)</w:t>
            </w:r>
          </w:p>
        </w:tc>
        <w:tc>
          <w:tcPr>
            <w:tcW w:w="36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on which registered</w:t>
            </w:r>
          </w:p>
        </w:tc>
      </w:tr>
      <w:tr>
        <w:trPr>
          <w:trHeight w:val="228"/>
        </w:trPr>
        <w:tc>
          <w:tcPr>
            <w:tcW w:w="362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Common Stock, Par Value $0.25 per share</w:t>
            </w:r>
          </w:p>
        </w:tc>
        <w:tc>
          <w:tcPr>
            <w:tcW w:w="22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SWKS</w:t>
            </w:r>
          </w:p>
        </w:tc>
        <w:tc>
          <w:tcPr>
            <w:tcW w:w="200" w:type="dxa"/>
            <w:vAlign w:val="bottom"/>
          </w:tcPr>
          <w:p>
            <w:pPr>
              <w:spacing w:after="0"/>
              <w:rPr>
                <w:sz w:val="19"/>
                <w:szCs w:val="19"/>
                <w:color w:val="auto"/>
              </w:rPr>
            </w:pPr>
          </w:p>
        </w:tc>
        <w:tc>
          <w:tcPr>
            <w:tcW w:w="36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8"/>
                <w:szCs w:val="18"/>
                <w:color w:val="auto"/>
                <w:w w:val="99"/>
              </w:rPr>
              <w:t>Nasdaq Global Select Market</w:t>
            </w:r>
          </w:p>
        </w:tc>
      </w:tr>
    </w:tbl>
    <w:p>
      <w:pPr>
        <w:spacing w:after="0" w:line="179" w:lineRule="exact"/>
        <w:rPr>
          <w:sz w:val="24"/>
          <w:szCs w:val="24"/>
          <w:color w:val="auto"/>
        </w:rPr>
      </w:pPr>
    </w:p>
    <w:p>
      <w:pPr>
        <w:ind w:right="520"/>
        <w:spacing w:after="0" w:line="282" w:lineRule="auto"/>
        <w:rPr>
          <w:sz w:val="20"/>
          <w:szCs w:val="20"/>
          <w:color w:val="auto"/>
        </w:rPr>
      </w:pPr>
      <w:r>
        <w:rPr>
          <w:rFonts w:ascii="Times New Roman" w:cs="Times New Roman" w:eastAsia="Times New Roman" w:hAnsi="Times New Roman"/>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21" w:lineRule="exact"/>
        <w:rPr>
          <w:sz w:val="24"/>
          <w:szCs w:val="24"/>
          <w:color w:val="auto"/>
        </w:rPr>
      </w:pPr>
    </w:p>
    <w:p>
      <w:pPr>
        <w:spacing w:after="0" w:line="207" w:lineRule="exact"/>
        <w:rPr>
          <w:sz w:val="20"/>
          <w:szCs w:val="20"/>
          <w:color w:val="auto"/>
        </w:rPr>
      </w:pPr>
      <w:r>
        <w:rPr>
          <w:rFonts w:ascii="Times New Roman" w:cs="Times New Roman" w:eastAsia="Times New Roman" w:hAnsi="Times New Roman"/>
          <w:sz w:val="18"/>
          <w:szCs w:val="18"/>
          <w:color w:val="auto"/>
        </w:rPr>
        <w:t xml:space="preserve">Emerging growth company </w:t>
      </w:r>
      <w:r>
        <w:rPr>
          <w:rFonts w:ascii="MS PGothic" w:cs="MS PGothic" w:eastAsia="MS PGothic" w:hAnsi="MS PGothic"/>
          <w:sz w:val="18"/>
          <w:szCs w:val="18"/>
          <w:color w:val="auto"/>
        </w:rPr>
        <w:t>☐</w:t>
      </w:r>
    </w:p>
    <w:p>
      <w:pPr>
        <w:spacing w:after="0" w:line="266" w:lineRule="exact"/>
        <w:rPr>
          <w:sz w:val="24"/>
          <w:szCs w:val="24"/>
          <w:color w:val="auto"/>
        </w:rPr>
      </w:pPr>
    </w:p>
    <w:p>
      <w:pPr>
        <w:ind w:right="160"/>
        <w:spacing w:after="0" w:line="239" w:lineRule="exact"/>
        <w:rPr>
          <w:sz w:val="20"/>
          <w:szCs w:val="20"/>
          <w:color w:val="auto"/>
        </w:rPr>
      </w:pPr>
      <w:r>
        <w:rPr>
          <w:rFonts w:ascii="Times New Roman" w:cs="Times New Roman" w:eastAsia="Times New Roman" w:hAnsi="Times New Roman"/>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145415</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591185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725" w:right="339" w:bottom="1440" w:gutter="0" w:footer="0" w:header="0"/>
        </w:sectPr>
      </w:pPr>
    </w:p>
    <w:bookmarkStart w:id="1" w:name="page2"/>
    <w:bookmarkEnd w:id="1"/>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8.01</w:t>
      </w:r>
      <w:r>
        <w:rPr>
          <w:sz w:val="20"/>
          <w:szCs w:val="20"/>
          <w:color w:val="auto"/>
        </w:rPr>
        <w:tab/>
      </w:r>
      <w:r>
        <w:rPr>
          <w:rFonts w:ascii="Times New Roman" w:cs="Times New Roman" w:eastAsia="Times New Roman" w:hAnsi="Times New Roman"/>
          <w:sz w:val="18"/>
          <w:szCs w:val="18"/>
          <w:b w:val="1"/>
          <w:bCs w:val="1"/>
          <w:color w:val="auto"/>
        </w:rPr>
        <w:t>Other Events.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Exchange Offers and Consent Solicitations</w:t>
      </w:r>
    </w:p>
    <w:p>
      <w:pPr>
        <w:spacing w:after="0" w:line="229" w:lineRule="exact"/>
        <w:rPr>
          <w:sz w:val="20"/>
          <w:szCs w:val="20"/>
          <w:color w:val="auto"/>
        </w:rPr>
      </w:pPr>
    </w:p>
    <w:p>
      <w:pPr>
        <w:ind w:right="20" w:firstLine="648"/>
        <w:spacing w:after="0" w:line="253" w:lineRule="auto"/>
        <w:rPr>
          <w:sz w:val="20"/>
          <w:szCs w:val="20"/>
          <w:color w:val="auto"/>
        </w:rPr>
      </w:pPr>
      <w:r>
        <w:rPr>
          <w:rFonts w:ascii="Times New Roman" w:cs="Times New Roman" w:eastAsia="Times New Roman" w:hAnsi="Times New Roman"/>
          <w:sz w:val="18"/>
          <w:szCs w:val="18"/>
          <w:color w:val="auto"/>
        </w:rPr>
        <w:t>On May 20, 2026, Skyworks Solutions, Inc. (“Skyworks”) issued a press release announcing that, in connection with the anticipated transactions pursuant to which Qorvo, Inc. (“Qorvo”) will merge with and into a subsidiary of Skyworks (the “Mergers”), with such subsidiary continuing as the surviving entity and a wholly-owned subsidiary of Skyworks, the Company has commenced offers to exchange (the “Exchange Offers”) any and all of the outstanding 4.375% Senior Notes due 2029 issued by Qorvo (the “2029 Qorvo Notes”) and any and all of the outstanding 3.375% Senior Notes due 2031 issued by Qorvo (the “2031 Qorvo Notes” and, together with the 2029 Qorvo Notes, the “Qorvo Notes”) for, respectively, (x) up to $850 million aggregate principal amount of new 4.375% Senior Notes due 2029 issued by Skyworks or (y) up to $700 million aggregate principal amount of new 3.375% Senior Notes due 2031 issued by Skyworks. In conjunction with the Exchange Offers, Skyworks, on behalf of Qorvo, is soliciting consents (the “Consent Solicitations”) for proposed amendments to the applicable indenture governing each series of Qorvo Notes in exchange for the applicable consent payment. The Exchange Offers and Consent Solicitations are subject to the satisfaction or, where permitted, waiver of certain conditions, including the completion of the Mergers, as set forth in a Registration Statement on Form S-4 as further described in the press release. A copy of the press release is attached hereto as Exhibit 99.1 and is incorporated into this Item 8.01 by reference.</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 Offer or Solicitation</w:t>
      </w:r>
    </w:p>
    <w:p>
      <w:pPr>
        <w:spacing w:after="0" w:line="229" w:lineRule="exact"/>
        <w:rPr>
          <w:sz w:val="20"/>
          <w:szCs w:val="20"/>
          <w:color w:val="auto"/>
        </w:rPr>
      </w:pPr>
    </w:p>
    <w:p>
      <w:pPr>
        <w:ind w:firstLine="648"/>
        <w:spacing w:after="0" w:line="281" w:lineRule="auto"/>
        <w:rPr>
          <w:sz w:val="20"/>
          <w:szCs w:val="20"/>
          <w:color w:val="auto"/>
        </w:rPr>
      </w:pPr>
      <w:r>
        <w:rPr>
          <w:rFonts w:ascii="Times New Roman" w:cs="Times New Roman" w:eastAsia="Times New Roman" w:hAnsi="Times New Roman"/>
          <w:sz w:val="17"/>
          <w:szCs w:val="17"/>
          <w:color w:val="auto"/>
        </w:rPr>
        <w:t>This communication is for informational purposes only and does not constitute, or form a part of,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 No offer of securities shall be made except by means of a prospectus meeting the requirements of Section 10 of the Securities Act of 1933, as amended, and otherwise in accordance with applicable law.</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right="60" w:firstLine="648"/>
        <w:spacing w:after="0" w:line="255" w:lineRule="auto"/>
        <w:rPr>
          <w:sz w:val="20"/>
          <w:szCs w:val="20"/>
          <w:color w:val="auto"/>
        </w:rPr>
      </w:pPr>
      <w:r>
        <w:rPr>
          <w:rFonts w:ascii="Times New Roman" w:cs="Times New Roman" w:eastAsia="Times New Roman" w:hAnsi="Times New Roman"/>
          <w:sz w:val="18"/>
          <w:szCs w:val="18"/>
          <w:color w:val="auto"/>
        </w:rPr>
        <w:t>This communication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268605</wp:posOffset>
            </wp:positionV>
            <wp:extent cx="713232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0" w:right="359" w:bottom="1440" w:gutter="0" w:footer="0" w:header="0"/>
        </w:sectPr>
      </w:pPr>
    </w:p>
    <w:bookmarkStart w:id="2" w:name="page3"/>
    <w:bookmarkEnd w:id="2"/>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proposed merger transactions with Qorvo; the possibility that expected benefits related to such transactions with Qorvo may not materialize as expected; such transactions with Qorvo being timely completed, if completed at all; regulatory approvals required for the transaction not being timely obtained, if obtained at all, or being obtained subject to conditions; Skyworks or Qorvo’s business experiencing disruptions as a result of the acquisition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including with respect to any related litigation; reduced flexibility in operating Skyworks’ business as a result of the indebtedness incurred in connection with the transaction with Silicon Laboratories Inc. and the substantial amount of additional indebtedness Skyworks expects to incur in connection with the Qorvo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197"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communication are made only as of the date hereof, and Skyworks undertakes no obligation to update or revise the forward-looking statements, whether as a result of new information, future events or otherwise.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251460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Important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399" w:lineRule="exact"/>
        <w:rPr>
          <w:sz w:val="20"/>
          <w:szCs w:val="20"/>
          <w:color w:val="auto"/>
        </w:rPr>
      </w:pPr>
    </w:p>
    <w:p>
      <w:pPr>
        <w:spacing w:after="0"/>
        <w:tabs>
          <w:tab w:leader="none" w:pos="1280" w:val="left"/>
        </w:tabs>
        <w:rPr>
          <w:sz w:val="20"/>
          <w:szCs w:val="20"/>
          <w:color w:val="auto"/>
        </w:rPr>
      </w:pPr>
      <w:r>
        <w:rPr>
          <w:rFonts w:ascii="Times New Roman" w:cs="Times New Roman" w:eastAsia="Times New Roman" w:hAnsi="Times New Roman"/>
          <w:sz w:val="18"/>
          <w:szCs w:val="18"/>
          <w:b w:val="1"/>
          <w:bCs w:val="1"/>
          <w:color w:val="auto"/>
        </w:rPr>
        <w:t>Item 9.01</w:t>
      </w:r>
      <w:r>
        <w:rPr>
          <w:sz w:val="20"/>
          <w:szCs w:val="20"/>
          <w:color w:val="auto"/>
        </w:rPr>
        <w:tab/>
      </w:r>
      <w:r>
        <w:rPr>
          <w:rFonts w:ascii="Times New Roman" w:cs="Times New Roman" w:eastAsia="Times New Roman" w:hAnsi="Times New Roman"/>
          <w:sz w:val="18"/>
          <w:szCs w:val="18"/>
          <w:b w:val="1"/>
          <w:bCs w:val="1"/>
          <w:color w:val="auto"/>
        </w:rPr>
        <w:t>Financial Statements and Exhibits</w:t>
      </w:r>
    </w:p>
    <w:p>
      <w:pPr>
        <w:spacing w:after="0" w:line="229" w:lineRule="exact"/>
        <w:rPr>
          <w:sz w:val="20"/>
          <w:szCs w:val="20"/>
          <w:color w:val="auto"/>
        </w:rPr>
      </w:pPr>
    </w:p>
    <w:p>
      <w:pPr>
        <w:ind w:left="760" w:hanging="752"/>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Exhibits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80" w:type="dxa"/>
            <w:vAlign w:val="bottom"/>
            <w:gridSpan w:val="2"/>
          </w:tcPr>
          <w:p>
            <w:pPr>
              <w:ind w:left="60"/>
              <w:spacing w:after="0"/>
              <w:rPr>
                <w:sz w:val="20"/>
                <w:szCs w:val="20"/>
                <w:color w:val="auto"/>
              </w:rPr>
            </w:pPr>
            <w:r>
              <w:rPr>
                <w:rFonts w:ascii="Times New Roman" w:cs="Times New Roman" w:eastAsia="Times New Roman" w:hAnsi="Times New Roman"/>
                <w:sz w:val="18"/>
                <w:szCs w:val="18"/>
                <w:b w:val="1"/>
                <w:bCs w:val="1"/>
                <w:color w:val="auto"/>
              </w:rPr>
              <w:t>Exhibit</w:t>
            </w:r>
          </w:p>
        </w:tc>
        <w:tc>
          <w:tcPr>
            <w:tcW w:w="240" w:type="dxa"/>
            <w:vAlign w:val="bottom"/>
          </w:tcPr>
          <w:p>
            <w:pPr>
              <w:spacing w:after="0"/>
              <w:rPr>
                <w:sz w:val="18"/>
                <w:szCs w:val="18"/>
                <w:color w:val="auto"/>
              </w:rPr>
            </w:pPr>
          </w:p>
        </w:tc>
        <w:tc>
          <w:tcPr>
            <w:tcW w:w="3360" w:type="dxa"/>
            <w:vAlign w:val="bottom"/>
          </w:tcPr>
          <w:p>
            <w:pPr>
              <w:spacing w:after="0"/>
              <w:rPr>
                <w:sz w:val="18"/>
                <w:szCs w:val="18"/>
                <w:color w:val="auto"/>
              </w:rPr>
            </w:pPr>
          </w:p>
        </w:tc>
        <w:tc>
          <w:tcPr>
            <w:tcW w:w="6960" w:type="dxa"/>
            <w:vAlign w:val="bottom"/>
          </w:tcPr>
          <w:p>
            <w:pPr>
              <w:spacing w:after="0"/>
              <w:rPr>
                <w:sz w:val="18"/>
                <w:szCs w:val="18"/>
                <w:color w:val="auto"/>
              </w:rPr>
            </w:pPr>
          </w:p>
        </w:tc>
      </w:tr>
      <w:tr>
        <w:trPr>
          <w:trHeight w:val="238"/>
        </w:trPr>
        <w:tc>
          <w:tcPr>
            <w:tcW w:w="68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8"/>
                <w:szCs w:val="18"/>
                <w:b w:val="1"/>
                <w:bCs w:val="1"/>
                <w:color w:val="auto"/>
                <w:w w:val="99"/>
              </w:rPr>
              <w:t>Number</w:t>
            </w:r>
          </w:p>
        </w:tc>
        <w:tc>
          <w:tcPr>
            <w:tcW w:w="240" w:type="dxa"/>
            <w:vAlign w:val="bottom"/>
          </w:tcPr>
          <w:p>
            <w:pPr>
              <w:spacing w:after="0"/>
              <w:rPr>
                <w:sz w:val="20"/>
                <w:szCs w:val="20"/>
                <w:color w:val="auto"/>
              </w:rPr>
            </w:pPr>
          </w:p>
        </w:tc>
        <w:tc>
          <w:tcPr>
            <w:tcW w:w="3360" w:type="dxa"/>
            <w:vAlign w:val="bottom"/>
            <w:tcBorders>
              <w:bottom w:val="single" w:sz="8" w:color="auto"/>
            </w:tcBorders>
          </w:tcPr>
          <w:p>
            <w:pPr>
              <w:spacing w:after="0"/>
              <w:rPr>
                <w:sz w:val="20"/>
                <w:szCs w:val="20"/>
                <w:color w:val="auto"/>
              </w:rPr>
            </w:pPr>
          </w:p>
        </w:tc>
        <w:tc>
          <w:tcPr>
            <w:tcW w:w="6960" w:type="dxa"/>
            <w:vAlign w:val="bottom"/>
            <w:tcBorders>
              <w:bottom w:val="single" w:sz="8" w:color="auto"/>
            </w:tcBorders>
          </w:tcPr>
          <w:p>
            <w:pPr>
              <w:ind w:left="1360"/>
              <w:spacing w:after="0"/>
              <w:rPr>
                <w:sz w:val="20"/>
                <w:szCs w:val="20"/>
                <w:color w:val="auto"/>
              </w:rPr>
            </w:pPr>
            <w:r>
              <w:rPr>
                <w:rFonts w:ascii="Times New Roman" w:cs="Times New Roman" w:eastAsia="Times New Roman" w:hAnsi="Times New Roman"/>
                <w:sz w:val="18"/>
                <w:szCs w:val="18"/>
                <w:b w:val="1"/>
                <w:bCs w:val="1"/>
                <w:color w:val="auto"/>
              </w:rPr>
              <w:t>Description</w:t>
            </w:r>
          </w:p>
        </w:tc>
      </w:tr>
      <w:tr>
        <w:trPr>
          <w:trHeight w:val="385"/>
        </w:trPr>
        <w:tc>
          <w:tcPr>
            <w:tcW w:w="320" w:type="dxa"/>
            <w:vAlign w:val="bottom"/>
          </w:tcPr>
          <w:p>
            <w:pPr>
              <w:spacing w:after="0"/>
              <w:rPr>
                <w:sz w:val="20"/>
                <w:szCs w:val="20"/>
                <w:color w:val="auto"/>
              </w:rPr>
            </w:pPr>
            <w:r>
              <w:rPr>
                <w:rFonts w:ascii="Times New Roman" w:cs="Times New Roman" w:eastAsia="Times New Roman" w:hAnsi="Times New Roman"/>
                <w:sz w:val="18"/>
                <w:szCs w:val="18"/>
                <w:b w:val="1"/>
                <w:bCs w:val="1"/>
                <w:color w:val="0000EE"/>
                <w:w w:val="95"/>
              </w:rPr>
              <w:t>99.</w:t>
            </w:r>
            <w:r>
              <w:rPr>
                <w:rFonts w:ascii="Times New Roman" w:cs="Times New Roman" w:eastAsia="Times New Roman" w:hAnsi="Times New Roman"/>
                <w:sz w:val="18"/>
                <w:szCs w:val="18"/>
                <w:b w:val="1"/>
                <w:bCs w:val="1"/>
                <w:u w:val="single" w:color="auto"/>
                <w:color w:val="0000EE"/>
                <w:w w:val="95"/>
              </w:rPr>
              <w:t>1</w:t>
            </w:r>
          </w:p>
        </w:tc>
        <w:tc>
          <w:tcPr>
            <w:tcW w:w="360" w:type="dxa"/>
            <w:vAlign w:val="bottom"/>
          </w:tcPr>
          <w:p>
            <w:pPr>
              <w:spacing w:after="0"/>
              <w:rPr>
                <w:sz w:val="24"/>
                <w:szCs w:val="24"/>
                <w:color w:val="auto"/>
              </w:rPr>
            </w:pPr>
          </w:p>
        </w:tc>
        <w:tc>
          <w:tcPr>
            <w:tcW w:w="10560" w:type="dxa"/>
            <w:vAlign w:val="bottom"/>
            <w:gridSpan w:val="3"/>
          </w:tcPr>
          <w:p>
            <w:pPr>
              <w:ind w:left="240"/>
              <w:spacing w:after="0"/>
              <w:rPr>
                <w:sz w:val="20"/>
                <w:szCs w:val="20"/>
                <w:color w:val="auto"/>
              </w:rPr>
            </w:pPr>
            <w:r>
              <w:rPr>
                <w:rFonts w:ascii="Times New Roman" w:cs="Times New Roman" w:eastAsia="Times New Roman" w:hAnsi="Times New Roman"/>
                <w:sz w:val="18"/>
                <w:szCs w:val="18"/>
                <w:color w:val="0000EE"/>
              </w:rPr>
              <w:t>Registrant’s Press Release dated May 20, 2026</w:t>
            </w:r>
          </w:p>
        </w:tc>
      </w:tr>
      <w:tr>
        <w:trPr>
          <w:trHeight w:val="20"/>
        </w:trPr>
        <w:tc>
          <w:tcPr>
            <w:tcW w:w="320" w:type="dxa"/>
            <w:vAlign w:val="bottom"/>
            <w:shd w:val="clear" w:color="auto" w:fill="0000EE"/>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360" w:type="dxa"/>
            <w:vAlign w:val="bottom"/>
            <w:shd w:val="clear" w:color="auto" w:fill="0000EE"/>
          </w:tcPr>
          <w:p>
            <w:pPr>
              <w:spacing w:after="0" w:line="20" w:lineRule="exact"/>
              <w:rPr>
                <w:sz w:val="1"/>
                <w:szCs w:val="1"/>
                <w:color w:val="auto"/>
              </w:rPr>
            </w:pPr>
          </w:p>
        </w:tc>
        <w:tc>
          <w:tcPr>
            <w:tcW w:w="6960" w:type="dxa"/>
            <w:vAlign w:val="bottom"/>
          </w:tcPr>
          <w:p>
            <w:pPr>
              <w:spacing w:after="0" w:line="20" w:lineRule="exact"/>
              <w:rPr>
                <w:sz w:val="1"/>
                <w:szCs w:val="1"/>
                <w:color w:val="auto"/>
              </w:rPr>
            </w:pPr>
          </w:p>
        </w:tc>
      </w:tr>
    </w:tbl>
    <w:p>
      <w:pPr>
        <w:spacing w:after="0" w:line="225"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Cover Page Interactive Data File (formatted as Inline XBRL with applicable taxonomy extension information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291465</wp:posOffset>
            </wp:positionV>
            <wp:extent cx="7132320"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4" w:name="page5"/>
    <w:bookmarkEnd w:id="4"/>
    <w:p>
      <w:pPr>
        <w:jc w:val="center"/>
        <w:ind w:right="-3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hereunto duly authorized.</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May 20, 2026</w:t>
      </w:r>
    </w:p>
    <w:p>
      <w:pPr>
        <w:spacing w:after="0" w:line="227"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color w:val="auto"/>
        </w:rPr>
        <w:t>Skyworks Solutions, Inc.</w:t>
      </w:r>
    </w:p>
    <w:p>
      <w:pPr>
        <w:spacing w:after="0" w:line="223" w:lineRule="exact"/>
        <w:rPr>
          <w:sz w:val="20"/>
          <w:szCs w:val="20"/>
          <w:color w:val="auto"/>
        </w:rPr>
      </w:pPr>
    </w:p>
    <w:p>
      <w:pPr>
        <w:ind w:left="5640"/>
        <w:spacing w:after="0"/>
        <w:rPr>
          <w:sz w:val="20"/>
          <w:szCs w:val="20"/>
          <w:color w:val="auto"/>
        </w:rPr>
      </w:pPr>
      <w:r>
        <w:rPr>
          <w:rFonts w:ascii="Times New Roman" w:cs="Times New Roman" w:eastAsia="Times New Roman" w:hAnsi="Times New Roman"/>
          <w:sz w:val="18"/>
          <w:szCs w:val="18"/>
          <w:i w:val="1"/>
          <w:iCs w:val="1"/>
          <w:color w:val="auto"/>
        </w:rPr>
        <w:t>By: /s/ Philip Carter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3785235</wp:posOffset>
            </wp:positionH>
            <wp:positionV relativeFrom="paragraph">
              <wp:posOffset>18415</wp:posOffset>
            </wp:positionV>
            <wp:extent cx="335153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3351530" cy="8255"/>
                    </a:xfrm>
                    <a:prstGeom prst="rect">
                      <a:avLst/>
                    </a:prstGeom>
                    <a:noFill/>
                  </pic:spPr>
                </pic:pic>
              </a:graphicData>
            </a:graphic>
          </wp:anchor>
        </w:drawing>
      </w:r>
    </w:p>
    <w:p>
      <w:pPr>
        <w:spacing w:after="0" w:line="9"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Name: Philip Carter</w:t>
      </w:r>
    </w:p>
    <w:p>
      <w:pPr>
        <w:spacing w:after="0" w:line="23" w:lineRule="exact"/>
        <w:rPr>
          <w:sz w:val="20"/>
          <w:szCs w:val="20"/>
          <w:color w:val="auto"/>
        </w:rPr>
      </w:pPr>
    </w:p>
    <w:p>
      <w:pPr>
        <w:ind w:left="5960"/>
        <w:spacing w:after="0"/>
        <w:rPr>
          <w:sz w:val="20"/>
          <w:szCs w:val="20"/>
          <w:color w:val="auto"/>
        </w:rPr>
      </w:pPr>
      <w:r>
        <w:rPr>
          <w:rFonts w:ascii="Times New Roman" w:cs="Times New Roman" w:eastAsia="Times New Roman" w:hAnsi="Times New Roman"/>
          <w:sz w:val="18"/>
          <w:szCs w:val="18"/>
          <w:i w:val="1"/>
          <w:iCs w:val="1"/>
          <w:color w:val="auto"/>
        </w:rPr>
        <w:t>Title: Senior Vice President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280035</wp:posOffset>
            </wp:positionV>
            <wp:extent cx="713232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00"/>
          </w:cols>
          <w:pgMar w:left="320" w:top="900" w:right="379" w:bottom="1440" w:gutter="0" w:footer="0" w:header="0"/>
        </w:sectPr>
      </w:pPr>
    </w:p>
    <w:bookmarkStart w:id="5" w:name="page6"/>
    <w:bookmarkEnd w:id="5"/>
    <w:p>
      <w:pPr>
        <w:jc w:val="right"/>
        <w:spacing w:after="0"/>
        <w:rPr>
          <w:sz w:val="20"/>
          <w:szCs w:val="20"/>
          <w:color w:val="auto"/>
        </w:rPr>
      </w:pPr>
      <w:r>
        <w:rPr>
          <w:rFonts w:ascii="Times New Roman" w:cs="Times New Roman" w:eastAsia="Times New Roman" w:hAnsi="Times New Roman"/>
          <w:sz w:val="22"/>
          <w:szCs w:val="22"/>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167640</wp:posOffset>
            </wp:positionV>
            <wp:extent cx="1714500" cy="56578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7145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6" w:lineRule="exact"/>
        <w:rPr>
          <w:sz w:val="20"/>
          <w:szCs w:val="20"/>
          <w:color w:val="auto"/>
        </w:rPr>
      </w:pPr>
    </w:p>
    <w:tbl>
      <w:tblPr>
        <w:tblLayout w:type="fixed"/>
        <w:tblInd w:w="40" w:type="dxa"/>
        <w:tblCellMar>
          <w:top w:w="0" w:type="dxa"/>
          <w:left w:w="0" w:type="dxa"/>
          <w:bottom w:w="0" w:type="dxa"/>
          <w:right w:w="0" w:type="dxa"/>
        </w:tblCellMar>
      </w:tblPr>
      <w:tr>
        <w:trPr>
          <w:trHeight w:val="220"/>
        </w:trPr>
        <w:tc>
          <w:tcPr>
            <w:tcW w:w="598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Media Relations:</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b w:val="1"/>
                <w:bCs w:val="1"/>
                <w:color w:val="auto"/>
              </w:rPr>
              <w:t>Investor Relations:</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Constance Griffiths</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 Gill</w:t>
            </w:r>
          </w:p>
        </w:tc>
      </w:tr>
      <w:tr>
        <w:trPr>
          <w:trHeight w:val="216"/>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(949) 230-4867</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(949) 508-0973</w:t>
            </w:r>
          </w:p>
        </w:tc>
      </w:tr>
      <w:tr>
        <w:trPr>
          <w:trHeight w:val="234"/>
        </w:trPr>
        <w:tc>
          <w:tcPr>
            <w:tcW w:w="5980" w:type="dxa"/>
            <w:vAlign w:val="bottom"/>
          </w:tcPr>
          <w:p>
            <w:pPr>
              <w:spacing w:after="0"/>
              <w:rPr>
                <w:sz w:val="20"/>
                <w:szCs w:val="20"/>
                <w:color w:val="auto"/>
              </w:rPr>
            </w:pPr>
            <w:r>
              <w:rPr>
                <w:rFonts w:ascii="Times New Roman" w:cs="Times New Roman" w:eastAsia="Times New Roman" w:hAnsi="Times New Roman"/>
                <w:sz w:val="18"/>
                <w:szCs w:val="18"/>
                <w:color w:val="auto"/>
              </w:rPr>
              <w:t>Constance.Griffiths@skyworksinc.com</w:t>
            </w:r>
          </w:p>
        </w:tc>
        <w:tc>
          <w:tcPr>
            <w:tcW w:w="52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Raji.Gill@skyworksinc.com</w:t>
            </w:r>
          </w:p>
        </w:tc>
      </w:tr>
    </w:tbl>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Skyworks Commences Exchange Offers and Consent Solicitations for Qorvo’s Senior Notes due 2029 and 2031</w:t>
      </w:r>
    </w:p>
    <w:p>
      <w:pPr>
        <w:spacing w:after="0" w:line="225" w:lineRule="exact"/>
        <w:rPr>
          <w:sz w:val="20"/>
          <w:szCs w:val="20"/>
          <w:color w:val="auto"/>
        </w:rPr>
      </w:pPr>
    </w:p>
    <w:p>
      <w:pPr>
        <w:ind w:right="20" w:firstLine="648"/>
        <w:spacing w:after="0" w:line="254" w:lineRule="auto"/>
        <w:rPr>
          <w:sz w:val="20"/>
          <w:szCs w:val="20"/>
          <w:color w:val="auto"/>
        </w:rPr>
      </w:pPr>
      <w:r>
        <w:rPr>
          <w:rFonts w:ascii="Times New Roman" w:cs="Times New Roman" w:eastAsia="Times New Roman" w:hAnsi="Times New Roman"/>
          <w:sz w:val="18"/>
          <w:szCs w:val="18"/>
          <w:b w:val="1"/>
          <w:bCs w:val="1"/>
          <w:color w:val="auto"/>
        </w:rPr>
        <w:t xml:space="preserve">IRVINE, Calif., May 20, 2026 </w:t>
      </w:r>
      <w:r>
        <w:rPr>
          <w:rFonts w:ascii="Times New Roman" w:cs="Times New Roman" w:eastAsia="Times New Roman" w:hAnsi="Times New Roman"/>
          <w:sz w:val="18"/>
          <w:szCs w:val="18"/>
          <w:color w:val="auto"/>
        </w:rPr>
        <w:t>– Skyworks Solutions, Inc. (Nasdaq: SWKS) (“Skyworks”), a leading developer, manufacturer and provider of</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 xml:space="preserve">analog and mixed-signal semiconductors and solutions for numerous applications, today announced that, in connection with its anticipated acquisition of Qorvo, Inc. (“Qorvo”), Skyworks has commenced offers to holders of Qorvo Notes (as defined below) to exchange (the “Exchange Offers”) any and all outstanding 4.375% Senior Notes due 2029 (the “2029 Qorvo Notes”) and any and all outstanding 3.375% Senior Notes due 2031 issued by Qorvo (the “2031 Qorvo Notes” and, together with the 2029 Qorvo Notes, the “Qorvo Notes”), for, (1) with respect to the 2029 Qorvo Notes, up to $850,000,000 aggregate principal amount of new 4.375% Senior Notes due 2029 (the “New 2029 Skyworks Notes”) issued by Skyworks or, (2) with respect to the 2031 Qorvo Notes, up to $700,000,000 aggregate principal amount of new 3.375% Senior Notes due 2031 (together with the New 2029 Skyworks Notes, the “New Skyworks Notes”) issued by Skyworks. </w:t>
      </w:r>
      <w:r>
        <w:rPr>
          <w:rFonts w:ascii="Times New Roman" w:cs="Times New Roman" w:eastAsia="Times New Roman" w:hAnsi="Times New Roman"/>
          <w:sz w:val="18"/>
          <w:szCs w:val="18"/>
          <w:b w:val="1"/>
          <w:bCs w:val="1"/>
          <w:color w:val="auto"/>
        </w:rPr>
        <w:t>The Exchange Offers and Consent Solicitations (as defined herein) are being conducted in connection</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with, and are conditioned upon, among other things, the closing of the transactions pursuant to which Qorvo will merge with and into a subsidiary of Skyworks (the “Mergers”), with such subsidiary continuing as the surviving entity and a wholly-owned subsidiary of Skyworks, which condition may not be waived by Skyworks.</w:t>
      </w:r>
    </w:p>
    <w:p>
      <w:pPr>
        <w:spacing w:after="0" w:line="186"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In conjunction with the Exchange Offers, Skyworks, on behalf of Qorvo, is soliciting consents (the “Consent Solicitations”) to adopt certain proposed amendments to each indenture governing the applicable series of Qorvo Notes to, among other changes, eliminate substantially all of the restrictive covenants, certain affirmative covenants and certain events of default (the “Proposed Amendments”) in exchange for the Consent Payment (as defined herein).</w:t>
      </w:r>
    </w:p>
    <w:p>
      <w:pPr>
        <w:spacing w:after="0" w:line="180" w:lineRule="exact"/>
        <w:rPr>
          <w:sz w:val="20"/>
          <w:szCs w:val="20"/>
          <w:color w:val="auto"/>
        </w:rPr>
      </w:pPr>
    </w:p>
    <w:p>
      <w:pPr>
        <w:ind w:firstLine="648"/>
        <w:spacing w:after="0" w:line="261" w:lineRule="auto"/>
        <w:rPr>
          <w:sz w:val="20"/>
          <w:szCs w:val="20"/>
          <w:color w:val="auto"/>
        </w:rPr>
      </w:pPr>
      <w:r>
        <w:rPr>
          <w:rFonts w:ascii="Times New Roman" w:cs="Times New Roman" w:eastAsia="Times New Roman" w:hAnsi="Times New Roman"/>
          <w:sz w:val="18"/>
          <w:szCs w:val="18"/>
          <w:color w:val="auto"/>
        </w:rPr>
        <w:t>The New Skyworks Notes will have the same interest payment dates, maturity date and interest rate as the applicable series of Qorvo Notes. Each series of New Skyworks Notes will replace the fixed redemption schedule currently included in the corresponding series of Qorvo Notes with a customary investment grade redemption schedule, including a three-month par call date and make-whole mechanism as further described in the Registration Statement (as defined herein).</w:t>
      </w:r>
    </w:p>
    <w:p>
      <w:pPr>
        <w:spacing w:after="0" w:line="180" w:lineRule="exact"/>
        <w:rPr>
          <w:sz w:val="20"/>
          <w:szCs w:val="20"/>
          <w:color w:val="auto"/>
        </w:rPr>
      </w:pPr>
    </w:p>
    <w:p>
      <w:pPr>
        <w:ind w:right="180" w:firstLine="648"/>
        <w:spacing w:after="0" w:line="282" w:lineRule="auto"/>
        <w:rPr>
          <w:sz w:val="20"/>
          <w:szCs w:val="20"/>
          <w:color w:val="auto"/>
        </w:rPr>
      </w:pPr>
      <w:r>
        <w:rPr>
          <w:rFonts w:ascii="Times New Roman" w:cs="Times New Roman" w:eastAsia="Times New Roman" w:hAnsi="Times New Roman"/>
          <w:sz w:val="18"/>
          <w:szCs w:val="18"/>
          <w:color w:val="auto"/>
        </w:rPr>
        <w:t>The following table sets forth the applicable Consent Payment, the Exchange Consideration (as defined below), the Early Participation Premium (as defined below) and the Total Consideration (as defined below) for the Qorvo Notes:</w:t>
      </w:r>
    </w:p>
    <w:p>
      <w:pPr>
        <w:spacing w:after="0" w:line="37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351" w:right="339" w:bottom="1440" w:gutter="0" w:footer="0" w:header="0"/>
        </w:sectPr>
      </w:pPr>
    </w:p>
    <w:bookmarkStart w:id="6" w:name="page7"/>
    <w:bookmarkEnd w:id="6"/>
    <w:tbl>
      <w:tblPr>
        <w:tblLayout w:type="fixed"/>
        <w:tblInd w:w="0" w:type="dxa"/>
        <w:tblCellMar>
          <w:top w:w="0" w:type="dxa"/>
          <w:left w:w="0" w:type="dxa"/>
          <w:bottom w:w="0" w:type="dxa"/>
          <w:right w:w="0" w:type="dxa"/>
        </w:tblCellMar>
      </w:tblPr>
      <w:tr>
        <w:trPr>
          <w:trHeight w:val="203"/>
        </w:trPr>
        <w:tc>
          <w:tcPr>
            <w:tcW w:w="10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40" w:type="dxa"/>
            <w:vAlign w:val="bottom"/>
            <w:gridSpan w:val="2"/>
          </w:tcPr>
          <w:p>
            <w:pPr>
              <w:jc w:val="center"/>
              <w:ind w:right="100"/>
              <w:spacing w:after="0" w:line="202" w:lineRule="exact"/>
              <w:rPr>
                <w:sz w:val="20"/>
                <w:szCs w:val="20"/>
                <w:color w:val="auto"/>
              </w:rPr>
            </w:pPr>
            <w:r>
              <w:rPr>
                <w:rFonts w:ascii="Times New Roman" w:cs="Times New Roman" w:eastAsia="Times New Roman" w:hAnsi="Times New Roman"/>
                <w:sz w:val="18"/>
                <w:szCs w:val="18"/>
                <w:b w:val="1"/>
                <w:bCs w:val="1"/>
                <w:color w:val="auto"/>
                <w:w w:val="98"/>
              </w:rPr>
              <w:t>Principal</w:t>
            </w: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580" w:type="dxa"/>
            <w:vAlign w:val="bottom"/>
            <w:tcBorders>
              <w:right w:val="single" w:sz="8" w:color="auto"/>
            </w:tcBorders>
            <w:gridSpan w:val="2"/>
          </w:tcPr>
          <w:p>
            <w:pPr>
              <w:jc w:val="center"/>
              <w:ind w:right="140"/>
              <w:spacing w:after="0" w:line="202" w:lineRule="exact"/>
              <w:rPr>
                <w:sz w:val="20"/>
                <w:szCs w:val="20"/>
                <w:color w:val="auto"/>
              </w:rPr>
            </w:pPr>
            <w:r>
              <w:rPr>
                <w:rFonts w:ascii="Times New Roman" w:cs="Times New Roman" w:eastAsia="Times New Roman" w:hAnsi="Times New Roman"/>
                <w:sz w:val="18"/>
                <w:szCs w:val="18"/>
                <w:b w:val="1"/>
                <w:bCs w:val="1"/>
                <w:color w:val="auto"/>
              </w:rPr>
              <w:t>Early</w:t>
            </w:r>
          </w:p>
        </w:tc>
        <w:tc>
          <w:tcPr>
            <w:tcW w:w="80" w:type="dxa"/>
            <w:vAlign w:val="bottom"/>
            <w:tcBorders>
              <w:top w:val="single" w:sz="8" w:color="auto"/>
            </w:tcBorders>
          </w:tcPr>
          <w:p>
            <w:pPr>
              <w:spacing w:after="0"/>
              <w:rPr>
                <w:sz w:val="17"/>
                <w:szCs w:val="17"/>
                <w:color w:val="auto"/>
              </w:rPr>
            </w:pPr>
          </w:p>
        </w:tc>
        <w:tc>
          <w:tcPr>
            <w:tcW w:w="1800" w:type="dxa"/>
            <w:vAlign w:val="bottom"/>
            <w:tcBorders>
              <w:top w:val="single" w:sz="8" w:color="auto"/>
            </w:tcBorders>
          </w:tcPr>
          <w:p>
            <w:pPr>
              <w:spacing w:after="0"/>
              <w:rPr>
                <w:sz w:val="17"/>
                <w:szCs w:val="17"/>
                <w:color w:val="auto"/>
              </w:rPr>
            </w:pPr>
          </w:p>
        </w:tc>
        <w:tc>
          <w:tcPr>
            <w:tcW w:w="140" w:type="dxa"/>
            <w:vAlign w:val="bottom"/>
            <w:tcBorders>
              <w:top w:val="single" w:sz="8" w:color="auto"/>
              <w:right w:val="single" w:sz="8" w:color="auto"/>
            </w:tcBorders>
          </w:tcPr>
          <w:p>
            <w:pPr>
              <w:spacing w:after="0"/>
              <w:rPr>
                <w:sz w:val="17"/>
                <w:szCs w:val="17"/>
                <w:color w:val="auto"/>
              </w:rPr>
            </w:pPr>
          </w:p>
        </w:tc>
      </w:tr>
      <w:tr>
        <w:trPr>
          <w:trHeight w:val="216"/>
        </w:trPr>
        <w:tc>
          <w:tcPr>
            <w:tcW w:w="1140" w:type="dxa"/>
            <w:vAlign w:val="bottom"/>
            <w:gridSpan w:val="2"/>
          </w:tcPr>
          <w:p>
            <w:pPr>
              <w:ind w:left="240"/>
              <w:spacing w:after="0"/>
              <w:rPr>
                <w:sz w:val="20"/>
                <w:szCs w:val="20"/>
                <w:color w:val="auto"/>
              </w:rPr>
            </w:pPr>
            <w:r>
              <w:rPr>
                <w:rFonts w:ascii="Times New Roman" w:cs="Times New Roman" w:eastAsia="Times New Roman" w:hAnsi="Times New Roman"/>
                <w:sz w:val="18"/>
                <w:szCs w:val="18"/>
                <w:b w:val="1"/>
                <w:bCs w:val="1"/>
                <w:color w:val="auto"/>
              </w:rPr>
              <w:t>Title of</w:t>
            </w:r>
          </w:p>
        </w:tc>
        <w:tc>
          <w:tcPr>
            <w:tcW w:w="2380" w:type="dxa"/>
            <w:vAlign w:val="bottom"/>
            <w:gridSpan w:val="2"/>
          </w:tcPr>
          <w:p>
            <w:pPr>
              <w:ind w:left="620"/>
              <w:spacing w:after="0"/>
              <w:rPr>
                <w:sz w:val="20"/>
                <w:szCs w:val="20"/>
                <w:color w:val="auto"/>
              </w:rPr>
            </w:pPr>
            <w:r>
              <w:rPr>
                <w:rFonts w:ascii="Times New Roman" w:cs="Times New Roman" w:eastAsia="Times New Roman" w:hAnsi="Times New Roman"/>
                <w:sz w:val="18"/>
                <w:szCs w:val="18"/>
                <w:b w:val="1"/>
                <w:bCs w:val="1"/>
                <w:color w:val="auto"/>
              </w:rPr>
              <w:t>CUSIP/ISIN</w:t>
            </w: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8"/>
                <w:szCs w:val="18"/>
                <w:b w:val="1"/>
                <w:bCs w:val="1"/>
                <w:color w:val="auto"/>
                <w:w w:val="98"/>
              </w:rPr>
              <w:t>Amount</w:t>
            </w:r>
          </w:p>
        </w:tc>
        <w:tc>
          <w:tcPr>
            <w:tcW w:w="1120" w:type="dxa"/>
            <w:vAlign w:val="bottom"/>
          </w:tcPr>
          <w:p>
            <w:pPr>
              <w:ind w:left="240"/>
              <w:spacing w:after="0"/>
              <w:rPr>
                <w:sz w:val="20"/>
                <w:szCs w:val="20"/>
                <w:color w:val="auto"/>
              </w:rPr>
            </w:pPr>
            <w:r>
              <w:rPr>
                <w:rFonts w:ascii="Times New Roman" w:cs="Times New Roman" w:eastAsia="Times New Roman" w:hAnsi="Times New Roman"/>
                <w:sz w:val="18"/>
                <w:szCs w:val="18"/>
                <w:b w:val="1"/>
                <w:bCs w:val="1"/>
                <w:color w:val="auto"/>
              </w:rPr>
              <w:t>Consent</w:t>
            </w:r>
          </w:p>
        </w:tc>
        <w:tc>
          <w:tcPr>
            <w:tcW w:w="100" w:type="dxa"/>
            <w:vAlign w:val="bottom"/>
          </w:tcPr>
          <w:p>
            <w:pPr>
              <w:spacing w:after="0"/>
              <w:rPr>
                <w:sz w:val="18"/>
                <w:szCs w:val="18"/>
                <w:color w:val="auto"/>
              </w:rPr>
            </w:pPr>
          </w:p>
        </w:tc>
        <w:tc>
          <w:tcPr>
            <w:tcW w:w="14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Exchange</w:t>
            </w:r>
          </w:p>
        </w:tc>
        <w:tc>
          <w:tcPr>
            <w:tcW w:w="120" w:type="dxa"/>
            <w:vAlign w:val="bottom"/>
          </w:tcPr>
          <w:p>
            <w:pPr>
              <w:spacing w:after="0"/>
              <w:rPr>
                <w:sz w:val="18"/>
                <w:szCs w:val="18"/>
                <w:color w:val="auto"/>
              </w:rPr>
            </w:pPr>
          </w:p>
        </w:tc>
        <w:tc>
          <w:tcPr>
            <w:tcW w:w="158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8"/>
              </w:rPr>
              <w:t>Participation</w:t>
            </w:r>
          </w:p>
        </w:tc>
        <w:tc>
          <w:tcPr>
            <w:tcW w:w="80" w:type="dxa"/>
            <w:vAlign w:val="bottom"/>
          </w:tcPr>
          <w:p>
            <w:pPr>
              <w:spacing w:after="0"/>
              <w:rPr>
                <w:sz w:val="18"/>
                <w:szCs w:val="18"/>
                <w:color w:val="auto"/>
              </w:rPr>
            </w:pPr>
          </w:p>
        </w:tc>
        <w:tc>
          <w:tcPr>
            <w:tcW w:w="1940" w:type="dxa"/>
            <w:vAlign w:val="bottom"/>
            <w:tcBorders>
              <w:right w:val="single" w:sz="8" w:color="auto"/>
            </w:tcBorders>
            <w:gridSpan w:val="2"/>
          </w:tcPr>
          <w:p>
            <w:pPr>
              <w:jc w:val="center"/>
              <w:ind w:right="140"/>
              <w:spacing w:after="0"/>
              <w:rPr>
                <w:sz w:val="20"/>
                <w:szCs w:val="20"/>
                <w:color w:val="auto"/>
              </w:rPr>
            </w:pPr>
            <w:r>
              <w:rPr>
                <w:rFonts w:ascii="Times New Roman" w:cs="Times New Roman" w:eastAsia="Times New Roman" w:hAnsi="Times New Roman"/>
                <w:sz w:val="18"/>
                <w:szCs w:val="18"/>
                <w:b w:val="1"/>
                <w:bCs w:val="1"/>
                <w:color w:val="auto"/>
                <w:w w:val="97"/>
              </w:rPr>
              <w:t>Total</w:t>
            </w:r>
          </w:p>
        </w:tc>
      </w:tr>
      <w:tr>
        <w:trPr>
          <w:trHeight w:val="270"/>
        </w:trPr>
        <w:tc>
          <w:tcPr>
            <w:tcW w:w="1140" w:type="dxa"/>
            <w:vAlign w:val="bottom"/>
            <w:gridSpan w:val="2"/>
          </w:tcPr>
          <w:p>
            <w:pPr>
              <w:ind w:left="280"/>
              <w:spacing w:after="0"/>
              <w:rPr>
                <w:sz w:val="20"/>
                <w:szCs w:val="20"/>
                <w:color w:val="auto"/>
              </w:rPr>
            </w:pPr>
            <w:r>
              <w:rPr>
                <w:rFonts w:ascii="Times New Roman" w:cs="Times New Roman" w:eastAsia="Times New Roman" w:hAnsi="Times New Roman"/>
                <w:sz w:val="18"/>
                <w:szCs w:val="18"/>
                <w:b w:val="1"/>
                <w:bCs w:val="1"/>
                <w:color w:val="auto"/>
              </w:rPr>
              <w:t>Series</w:t>
            </w:r>
          </w:p>
        </w:tc>
        <w:tc>
          <w:tcPr>
            <w:tcW w:w="2380" w:type="dxa"/>
            <w:vAlign w:val="bottom"/>
            <w:gridSpan w:val="2"/>
          </w:tcPr>
          <w:p>
            <w:pPr>
              <w:ind w:left="1000"/>
              <w:spacing w:after="0"/>
              <w:rPr>
                <w:sz w:val="20"/>
                <w:szCs w:val="20"/>
                <w:color w:val="auto"/>
              </w:rPr>
            </w:pPr>
            <w:r>
              <w:rPr>
                <w:rFonts w:ascii="Times New Roman" w:cs="Times New Roman" w:eastAsia="Times New Roman" w:hAnsi="Times New Roman"/>
                <w:sz w:val="18"/>
                <w:szCs w:val="18"/>
                <w:b w:val="1"/>
                <w:bCs w:val="1"/>
                <w:color w:val="auto"/>
              </w:rPr>
              <w:t>No.</w:t>
            </w: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8"/>
                <w:szCs w:val="18"/>
                <w:b w:val="1"/>
                <w:bCs w:val="1"/>
                <w:color w:val="auto"/>
                <w:w w:val="99"/>
              </w:rPr>
              <w:t>Outstanding</w:t>
            </w:r>
          </w:p>
        </w:tc>
        <w:tc>
          <w:tcPr>
            <w:tcW w:w="1120" w:type="dxa"/>
            <w:vAlign w:val="bottom"/>
          </w:tcPr>
          <w:p>
            <w:pPr>
              <w:ind w:left="140"/>
              <w:spacing w:after="0" w:line="270" w:lineRule="exact"/>
              <w:rPr>
                <w:sz w:val="20"/>
                <w:szCs w:val="20"/>
                <w:color w:val="auto"/>
              </w:rPr>
            </w:pPr>
            <w:r>
              <w:rPr>
                <w:rFonts w:ascii="Times New Roman" w:cs="Times New Roman" w:eastAsia="Times New Roman" w:hAnsi="Times New Roman"/>
                <w:sz w:val="18"/>
                <w:szCs w:val="18"/>
                <w:b w:val="1"/>
                <w:bCs w:val="1"/>
                <w:color w:val="auto"/>
              </w:rPr>
              <w:t>Payment</w:t>
            </w:r>
            <w:r>
              <w:rPr>
                <w:rFonts w:ascii="Times New Roman" w:cs="Times New Roman" w:eastAsia="Times New Roman" w:hAnsi="Times New Roman"/>
                <w:sz w:val="29"/>
                <w:szCs w:val="29"/>
                <w:b w:val="1"/>
                <w:bCs w:val="1"/>
                <w:color w:val="auto"/>
                <w:vertAlign w:val="superscript"/>
              </w:rPr>
              <w:t>(1)</w:t>
            </w:r>
          </w:p>
        </w:tc>
        <w:tc>
          <w:tcPr>
            <w:tcW w:w="100" w:type="dxa"/>
            <w:vAlign w:val="bottom"/>
          </w:tcPr>
          <w:p>
            <w:pPr>
              <w:spacing w:after="0"/>
              <w:rPr>
                <w:sz w:val="23"/>
                <w:szCs w:val="23"/>
                <w:color w:val="auto"/>
              </w:rPr>
            </w:pPr>
          </w:p>
        </w:tc>
        <w:tc>
          <w:tcPr>
            <w:tcW w:w="1460" w:type="dxa"/>
            <w:vAlign w:val="bottom"/>
          </w:tcPr>
          <w:p>
            <w:pPr>
              <w:jc w:val="center"/>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Consideration</w:t>
            </w:r>
            <w:r>
              <w:rPr>
                <w:rFonts w:ascii="Times New Roman" w:cs="Times New Roman" w:eastAsia="Times New Roman" w:hAnsi="Times New Roman"/>
                <w:sz w:val="29"/>
                <w:szCs w:val="29"/>
                <w:b w:val="1"/>
                <w:bCs w:val="1"/>
                <w:color w:val="auto"/>
                <w:w w:val="95"/>
                <w:vertAlign w:val="superscript"/>
              </w:rPr>
              <w:t>(2)</w:t>
            </w:r>
          </w:p>
        </w:tc>
        <w:tc>
          <w:tcPr>
            <w:tcW w:w="120" w:type="dxa"/>
            <w:vAlign w:val="bottom"/>
          </w:tcPr>
          <w:p>
            <w:pPr>
              <w:spacing w:after="0"/>
              <w:rPr>
                <w:sz w:val="23"/>
                <w:szCs w:val="23"/>
                <w:color w:val="auto"/>
              </w:rPr>
            </w:pPr>
          </w:p>
        </w:tc>
        <w:tc>
          <w:tcPr>
            <w:tcW w:w="1580" w:type="dxa"/>
            <w:vAlign w:val="bottom"/>
            <w:tcBorders>
              <w:right w:val="single" w:sz="8" w:color="auto"/>
            </w:tcBorders>
            <w:gridSpan w:val="2"/>
          </w:tcPr>
          <w:p>
            <w:pPr>
              <w:jc w:val="center"/>
              <w:ind w:right="140"/>
              <w:spacing w:after="0" w:line="270" w:lineRule="exact"/>
              <w:rPr>
                <w:sz w:val="20"/>
                <w:szCs w:val="20"/>
                <w:color w:val="auto"/>
              </w:rPr>
            </w:pPr>
            <w:r>
              <w:rPr>
                <w:rFonts w:ascii="Times New Roman" w:cs="Times New Roman" w:eastAsia="Times New Roman" w:hAnsi="Times New Roman"/>
                <w:sz w:val="18"/>
                <w:szCs w:val="18"/>
                <w:b w:val="1"/>
                <w:bCs w:val="1"/>
                <w:color w:val="auto"/>
                <w:w w:val="93"/>
              </w:rPr>
              <w:t>Premium</w:t>
            </w:r>
            <w:r>
              <w:rPr>
                <w:rFonts w:ascii="Times New Roman" w:cs="Times New Roman" w:eastAsia="Times New Roman" w:hAnsi="Times New Roman"/>
                <w:sz w:val="29"/>
                <w:szCs w:val="29"/>
                <w:b w:val="1"/>
                <w:bCs w:val="1"/>
                <w:color w:val="auto"/>
                <w:w w:val="93"/>
                <w:vertAlign w:val="superscript"/>
              </w:rPr>
              <w:t>(3)</w:t>
            </w:r>
          </w:p>
        </w:tc>
        <w:tc>
          <w:tcPr>
            <w:tcW w:w="80" w:type="dxa"/>
            <w:vAlign w:val="bottom"/>
          </w:tcPr>
          <w:p>
            <w:pPr>
              <w:spacing w:after="0"/>
              <w:rPr>
                <w:sz w:val="23"/>
                <w:szCs w:val="23"/>
                <w:color w:val="auto"/>
              </w:rPr>
            </w:pPr>
          </w:p>
        </w:tc>
        <w:tc>
          <w:tcPr>
            <w:tcW w:w="1940" w:type="dxa"/>
            <w:vAlign w:val="bottom"/>
            <w:tcBorders>
              <w:right w:val="single" w:sz="8" w:color="auto"/>
            </w:tcBorders>
            <w:gridSpan w:val="2"/>
          </w:tcPr>
          <w:p>
            <w:pPr>
              <w:jc w:val="center"/>
              <w:ind w:right="120"/>
              <w:spacing w:after="0" w:line="270" w:lineRule="exact"/>
              <w:rPr>
                <w:sz w:val="20"/>
                <w:szCs w:val="20"/>
                <w:color w:val="auto"/>
              </w:rPr>
            </w:pPr>
            <w:r>
              <w:rPr>
                <w:rFonts w:ascii="Times New Roman" w:cs="Times New Roman" w:eastAsia="Times New Roman" w:hAnsi="Times New Roman"/>
                <w:sz w:val="18"/>
                <w:szCs w:val="18"/>
                <w:b w:val="1"/>
                <w:bCs w:val="1"/>
                <w:color w:val="auto"/>
                <w:w w:val="95"/>
              </w:rPr>
              <w:t>Consideration</w:t>
            </w:r>
            <w:r>
              <w:rPr>
                <w:rFonts w:ascii="Times New Roman" w:cs="Times New Roman" w:eastAsia="Times New Roman" w:hAnsi="Times New Roman"/>
                <w:sz w:val="29"/>
                <w:szCs w:val="29"/>
                <w:b w:val="1"/>
                <w:bCs w:val="1"/>
                <w:color w:val="auto"/>
                <w:w w:val="95"/>
                <w:vertAlign w:val="superscript"/>
              </w:rPr>
              <w:t>(4)</w:t>
            </w:r>
          </w:p>
        </w:tc>
      </w:tr>
      <w:tr>
        <w:trPr>
          <w:trHeight w:val="191"/>
        </w:trPr>
        <w:tc>
          <w:tcPr>
            <w:tcW w:w="10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4.375%</w:t>
            </w:r>
          </w:p>
        </w:tc>
        <w:tc>
          <w:tcPr>
            <w:tcW w:w="120" w:type="dxa"/>
            <w:vAlign w:val="bottom"/>
          </w:tcPr>
          <w:p>
            <w:pPr>
              <w:spacing w:after="0"/>
              <w:rPr>
                <w:sz w:val="16"/>
                <w:szCs w:val="16"/>
                <w:color w:val="auto"/>
              </w:rPr>
            </w:pPr>
          </w:p>
        </w:tc>
        <w:tc>
          <w:tcPr>
            <w:tcW w:w="22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Registered: 74736KAH4/</w:t>
            </w:r>
          </w:p>
        </w:tc>
        <w:tc>
          <w:tcPr>
            <w:tcW w:w="120" w:type="dxa"/>
            <w:vAlign w:val="bottom"/>
          </w:tcPr>
          <w:p>
            <w:pPr>
              <w:spacing w:after="0"/>
              <w:rPr>
                <w:sz w:val="16"/>
                <w:szCs w:val="16"/>
                <w:color w:val="auto"/>
              </w:rPr>
            </w:pPr>
          </w:p>
        </w:tc>
        <w:tc>
          <w:tcPr>
            <w:tcW w:w="1140" w:type="dxa"/>
            <w:vAlign w:val="bottom"/>
            <w:tcBorders>
              <w:top w:val="single" w:sz="8" w:color="auto"/>
            </w:tcBorders>
          </w:tcPr>
          <w:p>
            <w:pPr>
              <w:jc w:val="right"/>
              <w:ind w:right="70"/>
              <w:spacing w:after="0" w:line="191" w:lineRule="exact"/>
              <w:rPr>
                <w:sz w:val="20"/>
                <w:szCs w:val="20"/>
                <w:color w:val="auto"/>
              </w:rPr>
            </w:pPr>
            <w:r>
              <w:rPr>
                <w:rFonts w:ascii="Times New Roman" w:cs="Times New Roman" w:eastAsia="Times New Roman" w:hAnsi="Times New Roman"/>
                <w:sz w:val="18"/>
                <w:szCs w:val="18"/>
                <w:color w:val="auto"/>
                <w:w w:val="96"/>
              </w:rPr>
              <w:t>$850,000,000</w:t>
            </w:r>
          </w:p>
        </w:tc>
        <w:tc>
          <w:tcPr>
            <w:tcW w:w="100" w:type="dxa"/>
            <w:vAlign w:val="bottom"/>
          </w:tcPr>
          <w:p>
            <w:pPr>
              <w:spacing w:after="0"/>
              <w:rPr>
                <w:sz w:val="16"/>
                <w:szCs w:val="16"/>
                <w:color w:val="auto"/>
              </w:rPr>
            </w:pPr>
          </w:p>
        </w:tc>
        <w:tc>
          <w:tcPr>
            <w:tcW w:w="112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$2.50 to $5.00</w:t>
            </w:r>
          </w:p>
        </w:tc>
        <w:tc>
          <w:tcPr>
            <w:tcW w:w="100" w:type="dxa"/>
            <w:vAlign w:val="bottom"/>
          </w:tcPr>
          <w:p>
            <w:pPr>
              <w:spacing w:after="0"/>
              <w:rPr>
                <w:sz w:val="16"/>
                <w:szCs w:val="16"/>
                <w:color w:val="auto"/>
              </w:rPr>
            </w:pPr>
          </w:p>
        </w:tc>
        <w:tc>
          <w:tcPr>
            <w:tcW w:w="1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$950.00 principal</w:t>
            </w:r>
          </w:p>
        </w:tc>
        <w:tc>
          <w:tcPr>
            <w:tcW w:w="120" w:type="dxa"/>
            <w:vAlign w:val="bottom"/>
          </w:tcPr>
          <w:p>
            <w:pPr>
              <w:spacing w:after="0"/>
              <w:rPr>
                <w:sz w:val="16"/>
                <w:szCs w:val="16"/>
                <w:color w:val="auto"/>
              </w:rPr>
            </w:pPr>
          </w:p>
        </w:tc>
        <w:tc>
          <w:tcPr>
            <w:tcW w:w="146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$50.00 principal</w:t>
            </w:r>
          </w:p>
        </w:tc>
        <w:tc>
          <w:tcPr>
            <w:tcW w:w="120" w:type="dxa"/>
            <w:vAlign w:val="bottom"/>
            <w:tcBorders>
              <w:right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800" w:type="dxa"/>
            <w:vAlign w:val="bottom"/>
            <w:tcBorders>
              <w:top w:val="single" w:sz="8" w:color="auto"/>
            </w:tcBorders>
          </w:tcPr>
          <w:p>
            <w:pPr>
              <w:spacing w:after="0" w:line="191" w:lineRule="exact"/>
              <w:rPr>
                <w:sz w:val="20"/>
                <w:szCs w:val="20"/>
                <w:color w:val="auto"/>
              </w:rPr>
            </w:pPr>
            <w:r>
              <w:rPr>
                <w:rFonts w:ascii="Times New Roman" w:cs="Times New Roman" w:eastAsia="Times New Roman" w:hAnsi="Times New Roman"/>
                <w:sz w:val="18"/>
                <w:szCs w:val="18"/>
                <w:color w:val="auto"/>
              </w:rPr>
              <w:t>$1,000 principal amount</w:t>
            </w:r>
          </w:p>
        </w:tc>
        <w:tc>
          <w:tcPr>
            <w:tcW w:w="140" w:type="dxa"/>
            <w:vAlign w:val="bottom"/>
            <w:tcBorders>
              <w:right w:val="single" w:sz="8" w:color="auto"/>
            </w:tcBorders>
          </w:tcPr>
          <w:p>
            <w:pPr>
              <w:spacing w:after="0"/>
              <w:rPr>
                <w:sz w:val="16"/>
                <w:szCs w:val="16"/>
                <w:color w:val="auto"/>
              </w:rPr>
            </w:pP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US74736KAH41</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 cash</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of</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amount of</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 Skyworks 4.375%</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2029</w:t>
            </w: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Skyworks 4.375%</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Skyworks 4.375%</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Notes due 2029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144A:</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due 2029</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due</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to $5.00 in cash</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74736KAG6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2029</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US74736KAG67</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414"/>
        </w:trPr>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S:</w:t>
            </w: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c>
          <w:tcPr>
            <w:tcW w:w="120" w:type="dxa"/>
            <w:vAlign w:val="bottom"/>
            <w:tcBorders>
              <w:right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140" w:type="dxa"/>
            <w:vAlign w:val="bottom"/>
            <w:tcBorders>
              <w:right w:val="single" w:sz="8" w:color="auto"/>
            </w:tcBorders>
          </w:tcPr>
          <w:p>
            <w:pPr>
              <w:spacing w:after="0"/>
              <w:rPr>
                <w:sz w:val="24"/>
                <w:szCs w:val="24"/>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U7471QAF1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USU7471QAF10</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Pr>
          <w:p>
            <w:pPr>
              <w:spacing w:after="0"/>
              <w:rPr>
                <w:sz w:val="20"/>
                <w:szCs w:val="20"/>
                <w:color w:val="auto"/>
              </w:rPr>
            </w:pPr>
          </w:p>
        </w:tc>
        <w:tc>
          <w:tcPr>
            <w:tcW w:w="1800" w:type="dxa"/>
            <w:vAlign w:val="bottom"/>
          </w:tcPr>
          <w:p>
            <w:pPr>
              <w:spacing w:after="0"/>
              <w:rPr>
                <w:sz w:val="20"/>
                <w:szCs w:val="20"/>
                <w:color w:val="auto"/>
              </w:rPr>
            </w:pPr>
          </w:p>
        </w:tc>
        <w:tc>
          <w:tcPr>
            <w:tcW w:w="140" w:type="dxa"/>
            <w:vAlign w:val="bottom"/>
            <w:tcBorders>
              <w:right w:val="single" w:sz="8" w:color="auto"/>
            </w:tcBorders>
          </w:tcPr>
          <w:p>
            <w:pPr>
              <w:spacing w:after="0"/>
              <w:rPr>
                <w:sz w:val="20"/>
                <w:szCs w:val="20"/>
                <w:color w:val="auto"/>
              </w:rPr>
            </w:pPr>
          </w:p>
        </w:tc>
      </w:tr>
      <w:tr>
        <w:trPr>
          <w:trHeight w:val="414"/>
        </w:trPr>
        <w:tc>
          <w:tcPr>
            <w:tcW w:w="1020" w:type="dxa"/>
            <w:vAlign w:val="bottom"/>
          </w:tcPr>
          <w:p>
            <w:pPr>
              <w:spacing w:after="0"/>
              <w:rPr>
                <w:sz w:val="20"/>
                <w:szCs w:val="20"/>
                <w:color w:val="auto"/>
              </w:rPr>
            </w:pPr>
            <w:r>
              <w:rPr>
                <w:rFonts w:ascii="Times New Roman" w:cs="Times New Roman" w:eastAsia="Times New Roman" w:hAnsi="Times New Roman"/>
                <w:sz w:val="18"/>
                <w:szCs w:val="18"/>
                <w:color w:val="auto"/>
              </w:rPr>
              <w:t>3.375%</w:t>
            </w:r>
          </w:p>
        </w:tc>
        <w:tc>
          <w:tcPr>
            <w:tcW w:w="120" w:type="dxa"/>
            <w:vAlign w:val="bottom"/>
          </w:tcPr>
          <w:p>
            <w:pPr>
              <w:spacing w:after="0"/>
              <w:rPr>
                <w:sz w:val="24"/>
                <w:szCs w:val="24"/>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144A:</w:t>
            </w:r>
          </w:p>
        </w:tc>
        <w:tc>
          <w:tcPr>
            <w:tcW w:w="114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96"/>
              </w:rPr>
              <w:t>$700,000,000</w:t>
            </w:r>
          </w:p>
        </w:tc>
        <w:tc>
          <w:tcPr>
            <w:tcW w:w="100" w:type="dxa"/>
            <w:vAlign w:val="bottom"/>
          </w:tcPr>
          <w:p>
            <w:pPr>
              <w:spacing w:after="0"/>
              <w:rPr>
                <w:sz w:val="24"/>
                <w:szCs w:val="24"/>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$2.50 to $5.00</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$950.00 principal</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$50.00 principal</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$1,000 principal amount</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Senior Notes</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74736KAJ0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20"/>
                <w:szCs w:val="20"/>
                <w:color w:val="auto"/>
              </w:rPr>
            </w:pPr>
            <w:r>
              <w:rPr>
                <w:rFonts w:ascii="Times New Roman" w:cs="Times New Roman" w:eastAsia="Times New Roman" w:hAnsi="Times New Roman"/>
                <w:sz w:val="18"/>
                <w:szCs w:val="18"/>
                <w:color w:val="auto"/>
              </w:rPr>
              <w:t>in cash</w:t>
            </w: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amount of</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amount of</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of Skyworks 3.375%</w:t>
            </w:r>
          </w:p>
        </w:tc>
      </w:tr>
      <w:tr>
        <w:trPr>
          <w:trHeight w:val="216"/>
        </w:trPr>
        <w:tc>
          <w:tcPr>
            <w:tcW w:w="114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due 2031</w:t>
            </w: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US74736KAJ07</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Skyworks 3.375%</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Skyworks 3.375%</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Notes due 2031 and</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560" w:type="dxa"/>
            <w:vAlign w:val="bottom"/>
            <w:gridSpan w:val="2"/>
          </w:tcPr>
          <w:p>
            <w:pPr>
              <w:ind w:left="100"/>
              <w:spacing w:after="0"/>
              <w:rPr>
                <w:sz w:val="20"/>
                <w:szCs w:val="20"/>
                <w:color w:val="auto"/>
              </w:rPr>
            </w:pPr>
            <w:r>
              <w:rPr>
                <w:rFonts w:ascii="Times New Roman" w:cs="Times New Roman" w:eastAsia="Times New Roman" w:hAnsi="Times New Roman"/>
                <w:sz w:val="18"/>
                <w:szCs w:val="18"/>
                <w:color w:val="auto"/>
              </w:rPr>
              <w:t>Notes due 2031</w:t>
            </w:r>
          </w:p>
        </w:tc>
        <w:tc>
          <w:tcPr>
            <w:tcW w:w="1700" w:type="dxa"/>
            <w:vAlign w:val="bottom"/>
            <w:tcBorders>
              <w:right w:val="single" w:sz="8" w:color="auto"/>
            </w:tcBorders>
            <w:gridSpan w:val="3"/>
          </w:tcPr>
          <w:p>
            <w:pPr>
              <w:ind w:left="120"/>
              <w:spacing w:after="0"/>
              <w:rPr>
                <w:sz w:val="20"/>
                <w:szCs w:val="20"/>
                <w:color w:val="auto"/>
              </w:rPr>
            </w:pPr>
            <w:r>
              <w:rPr>
                <w:rFonts w:ascii="Times New Roman" w:cs="Times New Roman" w:eastAsia="Times New Roman" w:hAnsi="Times New Roman"/>
                <w:sz w:val="18"/>
                <w:szCs w:val="18"/>
                <w:color w:val="auto"/>
              </w:rPr>
              <w:t>Senior Notes due</w:t>
            </w:r>
          </w:p>
        </w:tc>
        <w:tc>
          <w:tcPr>
            <w:tcW w:w="2020" w:type="dxa"/>
            <w:vAlign w:val="bottom"/>
            <w:tcBorders>
              <w:right w:val="single" w:sz="8" w:color="auto"/>
            </w:tcBorders>
            <w:gridSpan w:val="3"/>
          </w:tcPr>
          <w:p>
            <w:pPr>
              <w:ind w:left="80"/>
              <w:spacing w:after="0"/>
              <w:rPr>
                <w:sz w:val="20"/>
                <w:szCs w:val="20"/>
                <w:color w:val="auto"/>
              </w:rPr>
            </w:pPr>
            <w:r>
              <w:rPr>
                <w:rFonts w:ascii="Times New Roman" w:cs="Times New Roman" w:eastAsia="Times New Roman" w:hAnsi="Times New Roman"/>
                <w:sz w:val="18"/>
                <w:szCs w:val="18"/>
                <w:color w:val="auto"/>
              </w:rPr>
              <w:t>$2.50 to $5.00 in cash</w:t>
            </w: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Regulation S:</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580" w:type="dxa"/>
            <w:vAlign w:val="bottom"/>
            <w:gridSpan w:val="2"/>
          </w:tcPr>
          <w:p>
            <w:pPr>
              <w:ind w:left="120"/>
              <w:spacing w:after="0"/>
              <w:rPr>
                <w:sz w:val="20"/>
                <w:szCs w:val="20"/>
                <w:color w:val="auto"/>
              </w:rPr>
            </w:pPr>
            <w:r>
              <w:rPr>
                <w:rFonts w:ascii="Times New Roman" w:cs="Times New Roman" w:eastAsia="Times New Roman" w:hAnsi="Times New Roman"/>
                <w:sz w:val="18"/>
                <w:szCs w:val="18"/>
                <w:color w:val="auto"/>
              </w:rPr>
              <w:t>2031</w:t>
            </w: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16"/>
        </w:trPr>
        <w:tc>
          <w:tcPr>
            <w:tcW w:w="10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U7471QAJ3 /</w:t>
            </w: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spacing w:after="0"/>
              <w:rPr>
                <w:sz w:val="18"/>
                <w:szCs w:val="18"/>
                <w:color w:val="auto"/>
              </w:rPr>
            </w:pPr>
          </w:p>
        </w:tc>
        <w:tc>
          <w:tcPr>
            <w:tcW w:w="120" w:type="dxa"/>
            <w:vAlign w:val="bottom"/>
            <w:tcBorders>
              <w:right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1800" w:type="dxa"/>
            <w:vAlign w:val="bottom"/>
          </w:tcPr>
          <w:p>
            <w:pPr>
              <w:spacing w:after="0"/>
              <w:rPr>
                <w:sz w:val="18"/>
                <w:szCs w:val="18"/>
                <w:color w:val="auto"/>
              </w:rPr>
            </w:pPr>
          </w:p>
        </w:tc>
        <w:tc>
          <w:tcPr>
            <w:tcW w:w="140" w:type="dxa"/>
            <w:vAlign w:val="bottom"/>
            <w:tcBorders>
              <w:right w:val="single" w:sz="8" w:color="auto"/>
            </w:tcBorders>
          </w:tcPr>
          <w:p>
            <w:pPr>
              <w:spacing w:after="0"/>
              <w:rPr>
                <w:sz w:val="18"/>
                <w:szCs w:val="18"/>
                <w:color w:val="auto"/>
              </w:rPr>
            </w:pPr>
          </w:p>
        </w:tc>
      </w:tr>
      <w:tr>
        <w:trPr>
          <w:trHeight w:val="234"/>
        </w:trPr>
        <w:tc>
          <w:tcPr>
            <w:tcW w:w="10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8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USU7471QAJ32</w:t>
            </w:r>
          </w:p>
        </w:tc>
        <w:tc>
          <w:tcPr>
            <w:tcW w:w="1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c>
          <w:tcPr>
            <w:tcW w:w="120" w:type="dxa"/>
            <w:vAlign w:val="bottom"/>
            <w:tcBorders>
              <w:right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800" w:type="dxa"/>
            <w:vAlign w:val="bottom"/>
            <w:tcBorders>
              <w:bottom w:val="single" w:sz="8" w:color="auto"/>
            </w:tcBorders>
          </w:tcPr>
          <w:p>
            <w:pPr>
              <w:spacing w:after="0"/>
              <w:rPr>
                <w:sz w:val="20"/>
                <w:szCs w:val="20"/>
                <w:color w:val="auto"/>
              </w:rPr>
            </w:pPr>
          </w:p>
        </w:tc>
        <w:tc>
          <w:tcPr>
            <w:tcW w:w="140" w:type="dxa"/>
            <w:vAlign w:val="bottom"/>
            <w:tcBorders>
              <w:bottom w:val="single" w:sz="8" w:color="auto"/>
              <w:right w:val="single" w:sz="8" w:color="auto"/>
            </w:tcBorders>
          </w:tcPr>
          <w:p>
            <w:pPr>
              <w:spacing w:after="0"/>
              <w:rPr>
                <w:sz w:val="20"/>
                <w:szCs w:val="2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1783080"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783080" cy="8255"/>
                    </a:xfrm>
                    <a:prstGeom prst="rect">
                      <a:avLst/>
                    </a:prstGeom>
                    <a:noFill/>
                  </pic:spPr>
                </pic:pic>
              </a:graphicData>
            </a:graphic>
          </wp:anchor>
        </w:drawing>
      </w:r>
    </w:p>
    <w:p>
      <w:pPr>
        <w:spacing w:after="0" w:line="205" w:lineRule="exact"/>
        <w:rPr>
          <w:sz w:val="20"/>
          <w:szCs w:val="20"/>
          <w:color w:val="auto"/>
        </w:rPr>
      </w:pPr>
    </w:p>
    <w:p>
      <w:pPr>
        <w:jc w:val="both"/>
        <w:ind w:left="340" w:hanging="332"/>
        <w:spacing w:after="0" w:line="255"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$1,000 principal amount of the applicable series of Qorvo Notes validly tendered and not validly withdrawn at or prior to the applicable Early Participation Date (as defined herein), the applicable Consent Payment will be an amount equal to the product of $2.50 multiplied by a fraction, the numerator of which is the aggregate principal amount of such series of Qorvo Notes outstanding as of such Early Participation Date and the denominator of which is the aggregate principal amount of such series of Qorvo Notes validly tendered and not validly withdrawn at or prior to such Early Participation Date. As a result, the applicable Consent Payment for a series of Qorvo Notes will range from $2.50 per $1,000 principal amount (if all holders of such series of Qorvo Notes tender) to approximately $5.00 per $1,000 principal amount (if holders tender a majority of the aggregate principal amount of such series of Qorvo Notes). Any Consent Payment will be paid on the applicable Settlement Date (as defined herein).</w:t>
      </w:r>
    </w:p>
    <w:p>
      <w:pPr>
        <w:spacing w:after="0" w:line="188" w:lineRule="exact"/>
        <w:rPr>
          <w:rFonts w:ascii="Times New Roman" w:cs="Times New Roman" w:eastAsia="Times New Roman" w:hAnsi="Times New Roman"/>
          <w:sz w:val="18"/>
          <w:szCs w:val="18"/>
          <w:color w:val="auto"/>
        </w:rPr>
      </w:pPr>
    </w:p>
    <w:p>
      <w:pPr>
        <w:jc w:val="both"/>
        <w:ind w:left="340"/>
        <w:spacing w:after="0" w:line="258"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the avoidance of doubt, a holder that validly tenders Qorvo Notes and delivers (and does not validly revoke) a consent at or prior to the applicable Early Participation Date, but withdraws such Qorvo Notes after such Early Participation Date but prior to the applicable Expiration Date, will be eligible to receive the applicable Consent Payment, even if such holder has withdrawn their Qorvo Notes after the applicable Early Participation Date or such holder is no longer the beneficial owner of such Qorvo Notes at such Expiration Date. Consents may not be revoked after the applicable Consent Revocation Deadline (as defined herein).</w:t>
      </w:r>
    </w:p>
    <w:p>
      <w:pPr>
        <w:spacing w:after="0" w:line="183"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accepted for exchange.</w:t>
      </w:r>
    </w:p>
    <w:p>
      <w:pPr>
        <w:spacing w:after="0" w:line="225"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Early Participation Date and accepted for exchange.</w:t>
      </w:r>
    </w:p>
    <w:p>
      <w:pPr>
        <w:spacing w:after="0" w:line="161" w:lineRule="exact"/>
        <w:rPr>
          <w:rFonts w:ascii="Times New Roman" w:cs="Times New Roman" w:eastAsia="Times New Roman" w:hAnsi="Times New Roman"/>
          <w:sz w:val="18"/>
          <w:szCs w:val="18"/>
          <w:color w:val="auto"/>
        </w:rPr>
      </w:pPr>
    </w:p>
    <w:p>
      <w:pPr>
        <w:ind w:left="340" w:right="300" w:hanging="332"/>
        <w:spacing w:after="0" w:line="281" w:lineRule="auto"/>
        <w:tabs>
          <w:tab w:leader="none" w:pos="34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each $1,000 principal amount of the applicable series of Qorvo Notes. Includes the applicable Consent Payment, Exchange Consideration and Early Participation Premium. For the avoidance of doubt, (i) consents may not be revoked after the applicable Consent Revocation Deadline, and (ii) unless the applicable Exchange Offer is amended, in no event will any holder of Qorvo Notes be eligible to receive more than $1,000 aggregate principal amount of Skyworks Notes for each $1,000 aggregate principal amount of the applicable series of Qorvo Notes accepted for exchange.</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26035</wp:posOffset>
            </wp:positionV>
            <wp:extent cx="7132320"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2" w:right="339" w:bottom="1440" w:gutter="0" w:footer="0" w:header="0"/>
        </w:sectPr>
      </w:pPr>
    </w:p>
    <w:bookmarkStart w:id="7" w:name="page8"/>
    <w:bookmarkEnd w:id="7"/>
    <w:p>
      <w:pPr>
        <w:jc w:val="both"/>
        <w:ind w:right="300" w:firstLine="648"/>
        <w:spacing w:after="0" w:line="266" w:lineRule="auto"/>
        <w:rPr>
          <w:sz w:val="20"/>
          <w:szCs w:val="20"/>
          <w:color w:val="auto"/>
        </w:rPr>
      </w:pPr>
      <w:r>
        <w:rPr>
          <w:rFonts w:ascii="Times New Roman" w:cs="Times New Roman" w:eastAsia="Times New Roman" w:hAnsi="Times New Roman"/>
          <w:sz w:val="18"/>
          <w:szCs w:val="18"/>
          <w:color w:val="auto"/>
        </w:rPr>
        <w:t>The Exchange Offers and Consent Solicitations are being made pursuant to the terms and subject to the conditions set forth in Skyworks’ pre-effective registration statement on Form S-4 (including the prospectus contained therein, which is subject to change, the “Registration Statement”) filed with the U.S. Securities and Exchange Commission (the “SEC”) on May 20, 2026.</w:t>
      </w:r>
    </w:p>
    <w:p>
      <w:pPr>
        <w:spacing w:after="0" w:line="176" w:lineRule="exact"/>
        <w:rPr>
          <w:sz w:val="20"/>
          <w:szCs w:val="20"/>
          <w:color w:val="auto"/>
        </w:rPr>
      </w:pPr>
    </w:p>
    <w:p>
      <w:pPr>
        <w:jc w:val="both"/>
        <w:ind w:firstLine="648"/>
        <w:spacing w:after="0" w:line="266" w:lineRule="auto"/>
        <w:rPr>
          <w:sz w:val="20"/>
          <w:szCs w:val="20"/>
          <w:color w:val="auto"/>
        </w:rPr>
      </w:pPr>
      <w:r>
        <w:rPr>
          <w:rFonts w:ascii="Times New Roman" w:cs="Times New Roman" w:eastAsia="Times New Roman" w:hAnsi="Times New Roman"/>
          <w:sz w:val="18"/>
          <w:szCs w:val="18"/>
          <w:color w:val="auto"/>
        </w:rPr>
        <w:t>The Exchange Offers will expire at 5:00 p.m., New York City time, on September 1, 2026, unless extended (as it may be extended, the “Expiration Date”). The settlement date (the “Settlement Date”) will be promptly after the Expiration Date and is expected to occur no earlier than the second business day after the closing date of the Mergers.</w:t>
      </w:r>
    </w:p>
    <w:p>
      <w:pPr>
        <w:spacing w:after="0" w:line="176" w:lineRule="exact"/>
        <w:rPr>
          <w:sz w:val="20"/>
          <w:szCs w:val="20"/>
          <w:color w:val="auto"/>
        </w:rPr>
      </w:pPr>
    </w:p>
    <w:p>
      <w:pPr>
        <w:ind w:right="140" w:firstLine="648"/>
        <w:spacing w:after="0" w:line="258" w:lineRule="auto"/>
        <w:rPr>
          <w:sz w:val="20"/>
          <w:szCs w:val="20"/>
          <w:color w:val="auto"/>
        </w:rPr>
      </w:pPr>
      <w:r>
        <w:rPr>
          <w:rFonts w:ascii="Times New Roman" w:cs="Times New Roman" w:eastAsia="Times New Roman" w:hAnsi="Times New Roman"/>
          <w:sz w:val="18"/>
          <w:szCs w:val="18"/>
          <w:color w:val="auto"/>
        </w:rPr>
        <w:t xml:space="preserve">Each Exchange Offer and Consent Solicitation is conditioned upon, among other things, (i) a minimum of a majority of the aggregate principal amount of Qorvo Notes of such series having been validly tendered and not validly withdrawn at or prior to the applicable Early Participation Date pursuant to the applicable Exchange Offer for such series, which may be waived by Skyworks in its sole discretion, (ii) the Registration Statement having been declared effective by the SEC, which condition may not be waived by Skyworks, and (iii) the closing of the Mergers, which condition may not be waived by Skyworks. </w:t>
      </w:r>
      <w:r>
        <w:rPr>
          <w:rFonts w:ascii="Times New Roman" w:cs="Times New Roman" w:eastAsia="Times New Roman" w:hAnsi="Times New Roman"/>
          <w:sz w:val="18"/>
          <w:szCs w:val="18"/>
          <w:b w:val="1"/>
          <w:bCs w:val="1"/>
          <w:color w:val="auto"/>
        </w:rPr>
        <w:t>The closing of the Mergers is not conditioned upon the results of the Exchange Offers and Consent Solicitations.</w:t>
      </w:r>
    </w:p>
    <w:p>
      <w:pPr>
        <w:spacing w:after="0" w:line="183" w:lineRule="exact"/>
        <w:rPr>
          <w:sz w:val="20"/>
          <w:szCs w:val="20"/>
          <w:color w:val="auto"/>
        </w:rPr>
      </w:pPr>
    </w:p>
    <w:p>
      <w:pPr>
        <w:ind w:right="40" w:firstLine="648"/>
        <w:spacing w:after="0" w:line="256" w:lineRule="auto"/>
        <w:rPr>
          <w:sz w:val="20"/>
          <w:szCs w:val="20"/>
          <w:color w:val="auto"/>
        </w:rPr>
      </w:pPr>
      <w:r>
        <w:rPr>
          <w:rFonts w:ascii="Times New Roman" w:cs="Times New Roman" w:eastAsia="Times New Roman" w:hAnsi="Times New Roman"/>
          <w:sz w:val="18"/>
          <w:szCs w:val="18"/>
          <w:color w:val="auto"/>
        </w:rPr>
        <w:t>Skyworks, in its sole discretion, may modify or terminate either Exchange Offer and may extend the Early Participation Date, the Expiration Date and/or the Settlement Date with respect to either Exchange Offer, subject to applicable law. Any such modification, termination or extension by Skyworks with respect to an Exchange Offer will not automatically modify, terminate or extend the other Exchange Offer, but will automatically modify, terminate or extend the respective Consent Solicitation, as applicable. Neither Exchange Offer nor Consent Solicitation is conditioned upon the respective consummation of the other. The Exchange Offer and Consent Solicitation with respect to a series of Qorvo Notes is not conditioned upon the consummation of the Exchange Offer or Consent Solicitation with respect to the other series of Qorvo Notes.</w:t>
      </w:r>
    </w:p>
    <w:p>
      <w:pPr>
        <w:spacing w:after="0" w:line="187" w:lineRule="exact"/>
        <w:rPr>
          <w:sz w:val="20"/>
          <w:szCs w:val="20"/>
          <w:color w:val="auto"/>
        </w:rPr>
      </w:pPr>
    </w:p>
    <w:p>
      <w:pPr>
        <w:ind w:right="40" w:firstLine="648"/>
        <w:spacing w:after="0" w:line="253" w:lineRule="auto"/>
        <w:rPr>
          <w:sz w:val="20"/>
          <w:szCs w:val="20"/>
          <w:color w:val="auto"/>
        </w:rPr>
      </w:pPr>
      <w:r>
        <w:rPr>
          <w:rFonts w:ascii="Times New Roman" w:cs="Times New Roman" w:eastAsia="Times New Roman" w:hAnsi="Times New Roman"/>
          <w:sz w:val="18"/>
          <w:szCs w:val="18"/>
          <w:color w:val="auto"/>
        </w:rPr>
        <w:t>As indicated in the table above, for each $1,000 principal amount of the applicable series of Qorvo Notes validly tendered and not validly withdrawn at or prior to the applicable Early Participation Date, holders of such Qorvo Notes will be eligible to receive a cash payment of an amount equal to the product of $2.50 multiplied by a fraction, the numerator of which is the aggregate principal amount of such series Qorvo Notes outstanding as of such Early Participation Date and the denominator of which is the aggregate principal amount of such series of Qorvo Notes validly tendered and not validly withdrawn at or prior to the applicable Early Participation Date (such amount for such series, the “Consent Payment”). With respect to a series of Qorvo Notes, consents may not be revoked after the earlier of (i) 5:00 p.m., New York City time, on June 11, 2026, unless extended or terminated, and</w:t>
      </w:r>
    </w:p>
    <w:p>
      <w:pPr>
        <w:spacing w:after="0" w:line="5" w:lineRule="exact"/>
        <w:rPr>
          <w:sz w:val="20"/>
          <w:szCs w:val="20"/>
          <w:color w:val="auto"/>
        </w:rPr>
      </w:pPr>
    </w:p>
    <w:p>
      <w:pPr>
        <w:ind w:firstLine="8"/>
        <w:spacing w:after="0" w:line="260" w:lineRule="auto"/>
        <w:tabs>
          <w:tab w:leader="none" w:pos="265"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 the supplemental indenture to the applicable indenture governing such series of Qorvo Notes implementing the Proposed Amendments for such series of Qorvo Notes is executed (the earlier of (i) and (ii), the “Consent Revocation Deadline”).</w:t>
      </w:r>
    </w:p>
    <w:p>
      <w:pPr>
        <w:spacing w:after="0" w:line="39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8" w:name="page9"/>
    <w:bookmarkEnd w:id="8"/>
    <w:p>
      <w:pPr>
        <w:ind w:right="40" w:firstLine="648"/>
        <w:spacing w:after="0" w:line="254"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5:00 p.m., New York City time, on June 11, 2026, unless extended or terminated (such date and time, as the same may be extended, the “Early Participation Date”) and accepted for exchange, holders of such series of Qorvo Notes will be eligible to receive an early participation premium, payable in principal amount of the applicable series of New Skyworks Notes, equal to $50.00 (the “Early Participation Premium”); provided that such Qorvo Notes held by the applicable holder have been validly tendered and not validly withdrawn at or prior to the applicable Early Participation Date and either (A) such holder must not have validly withdrawn such Qorvo Notes at or prior to the applicable Expiration Date or (B) if such Qorvo Notes held by such holder have been validly withdrawn at or prior to the applicable Expiration Date, such holder, prior to such Expiration Date must have (i) validly re-tendered, and not validly withdrawn, such Qorvo Notes and (ii) submitted the Early Participation VOI Number (as defined in the Registration Statement) with respect to such tendered Qorvo Notes.</w:t>
      </w:r>
    </w:p>
    <w:p>
      <w:pPr>
        <w:spacing w:after="0" w:line="188" w:lineRule="exact"/>
        <w:rPr>
          <w:sz w:val="20"/>
          <w:szCs w:val="20"/>
          <w:color w:val="auto"/>
        </w:rPr>
      </w:pPr>
    </w:p>
    <w:p>
      <w:pPr>
        <w:ind w:right="140" w:firstLine="648"/>
        <w:spacing w:after="0" w:line="266" w:lineRule="auto"/>
        <w:rPr>
          <w:sz w:val="20"/>
          <w:szCs w:val="20"/>
          <w:color w:val="auto"/>
        </w:rPr>
      </w:pPr>
      <w:r>
        <w:rPr>
          <w:rFonts w:ascii="Times New Roman" w:cs="Times New Roman" w:eastAsia="Times New Roman" w:hAnsi="Times New Roman"/>
          <w:sz w:val="18"/>
          <w:szCs w:val="18"/>
          <w:color w:val="auto"/>
        </w:rPr>
        <w:t>For each $1,000 principal amount of the applicable series of Qorvo Notes validly tendered and not validly withdrawn at or prior to the applicable Expiration Date and accepted for exchange, holders of such Qorvo Notes will be eligible to receive $950 principal amount of the corresponding series of New Skyworks Notes (the “Exchange Consideration”).</w:t>
      </w:r>
    </w:p>
    <w:p>
      <w:pPr>
        <w:spacing w:after="0" w:line="176"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Skyworks will pay a soliciting dealer fee of $2.50 for each note per $1,000 principal amount of Qorvo Notes that are validly tendered prior to the applicable Expiration Date and not validly withdrawn to retail brokers that are appropriately designated by their tendering holder clients to receive such fee, provided that such fee will only be paid with respect to tenders by holders whose aggregate principal amount of Qorvo Notes is $250,000 or less.</w:t>
      </w:r>
    </w:p>
    <w:p>
      <w:pPr>
        <w:spacing w:after="0" w:line="176" w:lineRule="exact"/>
        <w:rPr>
          <w:sz w:val="20"/>
          <w:szCs w:val="20"/>
          <w:color w:val="auto"/>
        </w:rPr>
      </w:pPr>
    </w:p>
    <w:p>
      <w:pPr>
        <w:ind w:right="20" w:firstLine="648"/>
        <w:spacing w:after="0" w:line="258" w:lineRule="auto"/>
        <w:rPr>
          <w:sz w:val="20"/>
          <w:szCs w:val="20"/>
          <w:color w:val="auto"/>
        </w:rPr>
      </w:pPr>
      <w:r>
        <w:rPr>
          <w:rFonts w:ascii="Times New Roman" w:cs="Times New Roman" w:eastAsia="Times New Roman" w:hAnsi="Times New Roman"/>
          <w:sz w:val="18"/>
          <w:szCs w:val="18"/>
          <w:color w:val="auto"/>
        </w:rPr>
        <w:t>The complete terms and conditions of the Exchange Offers and Consent Solicitations are described in the Registration Statement, a copy of which may be obtained by contacting Global Bondholder Services Corporation, the exchange agent and information agent in connection with the Exchange Offers and Consent Solicitation, at (855) 654-2015 (U.S. toll-free) or (212) 430-3774 (banks and brokers) or contact@gbsc-usa.com. Questions regarding the terms and conditions of the Exchange Offers and Consent Solicitations should be directed to the dealer manager, Goldman Sachs &amp; Co. LLC, 200 West Street, New York, New York 10282, Collect: (212) 357-1452, Toll-Free: (800) 828-3182.</w:t>
      </w:r>
    </w:p>
    <w:p>
      <w:pPr>
        <w:spacing w:after="0" w:line="183" w:lineRule="exact"/>
        <w:rPr>
          <w:sz w:val="20"/>
          <w:szCs w:val="20"/>
          <w:color w:val="auto"/>
        </w:rPr>
      </w:pPr>
    </w:p>
    <w:p>
      <w:pPr>
        <w:ind w:right="120" w:firstLine="648"/>
        <w:spacing w:after="0" w:line="261" w:lineRule="auto"/>
        <w:rPr>
          <w:sz w:val="20"/>
          <w:szCs w:val="20"/>
          <w:color w:val="auto"/>
        </w:rPr>
      </w:pPr>
      <w:r>
        <w:rPr>
          <w:rFonts w:ascii="Times New Roman" w:cs="Times New Roman" w:eastAsia="Times New Roman" w:hAnsi="Times New Roman"/>
          <w:sz w:val="18"/>
          <w:szCs w:val="18"/>
          <w:color w:val="auto"/>
        </w:rPr>
        <w:t>This press release does not constitute an offer to sell or purchase, or a solicitation of an offer to sell or purchase, or the solicitation of tenders or consents with respect to, any security. No offer, solicitation, purchase or sale will be made in any jurisdiction in which such an offer, solicitation, or sale would be unlawful. The Exchange Offers and Consent Solicitations are being made solely pursuant to the Registration Statement and only to such persons and in such jurisdictions as is permitted under applicable law.</w:t>
      </w:r>
    </w:p>
    <w:p>
      <w:pPr>
        <w:spacing w:after="0" w:line="39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About Skyworks</w:t>
      </w:r>
    </w:p>
    <w:p>
      <w:pPr>
        <w:spacing w:after="0" w:line="229" w:lineRule="exact"/>
        <w:rPr>
          <w:sz w:val="20"/>
          <w:szCs w:val="20"/>
          <w:color w:val="auto"/>
        </w:rPr>
      </w:pPr>
    </w:p>
    <w:p>
      <w:pPr>
        <w:jc w:val="both"/>
        <w:ind w:right="320" w:firstLine="648"/>
        <w:spacing w:after="0" w:line="266" w:lineRule="auto"/>
        <w:rPr>
          <w:sz w:val="20"/>
          <w:szCs w:val="20"/>
          <w:color w:val="auto"/>
        </w:rPr>
      </w:pPr>
      <w:r>
        <w:rPr>
          <w:rFonts w:ascii="Times New Roman" w:cs="Times New Roman" w:eastAsia="Times New Roman" w:hAnsi="Times New Roman"/>
          <w:sz w:val="18"/>
          <w:szCs w:val="18"/>
          <w:color w:val="auto"/>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spacing w:after="0" w:line="176" w:lineRule="exact"/>
        <w:rPr>
          <w:sz w:val="20"/>
          <w:szCs w:val="20"/>
          <w:color w:val="auto"/>
        </w:rPr>
      </w:pPr>
    </w:p>
    <w:p>
      <w:pPr>
        <w:ind w:right="240" w:firstLine="648"/>
        <w:spacing w:after="0" w:line="282" w:lineRule="auto"/>
        <w:rPr>
          <w:sz w:val="20"/>
          <w:szCs w:val="20"/>
          <w:color w:val="auto"/>
        </w:rPr>
      </w:pPr>
      <w:r>
        <w:rPr>
          <w:rFonts w:ascii="Times New Roman" w:cs="Times New Roman" w:eastAsia="Times New Roman" w:hAnsi="Times New Roman"/>
          <w:sz w:val="18"/>
          <w:szCs w:val="18"/>
          <w:color w:val="auto"/>
        </w:rPr>
        <w:t>Skyworks is a global company with engineering, marketing, operations, sales and support facilities located throughout Asia, Europe and North America and is a member of the S&amp;P 500® market index (Nasdaq: SWKS).</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Safe Harbor Statement</w:t>
      </w:r>
    </w:p>
    <w:p>
      <w:pPr>
        <w:spacing w:after="0" w:line="229" w:lineRule="exact"/>
        <w:rPr>
          <w:sz w:val="20"/>
          <w:szCs w:val="20"/>
          <w:color w:val="auto"/>
        </w:rPr>
      </w:pPr>
    </w:p>
    <w:p>
      <w:pPr>
        <w:ind w:firstLine="648"/>
        <w:spacing w:after="0" w:line="255" w:lineRule="auto"/>
        <w:rPr>
          <w:sz w:val="20"/>
          <w:szCs w:val="20"/>
          <w:color w:val="auto"/>
        </w:rPr>
      </w:pPr>
      <w:r>
        <w:rPr>
          <w:rFonts w:ascii="Times New Roman" w:cs="Times New Roman" w:eastAsia="Times New Roman" w:hAnsi="Times New Roman"/>
          <w:sz w:val="18"/>
          <w:szCs w:val="18"/>
          <w:color w:val="auto"/>
        </w:rPr>
        <w:t>This press release includes “forward-looking statements.” Forward-looking statements relate to future events, including, but not limited to, the Exchange Offers, the Consent Solicitations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spacing w:after="0" w:line="200" w:lineRule="exact"/>
        <w:rPr>
          <w:sz w:val="20"/>
          <w:szCs w:val="20"/>
          <w:color w:val="auto"/>
        </w:rPr>
      </w:pPr>
    </w:p>
    <w:p>
      <w:pPr>
        <w:spacing w:after="0" w:line="205"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160"/>
          </w:cols>
          <w:pgMar w:left="320" w:top="900" w:right="419" w:bottom="1440" w:gutter="0" w:footer="0" w:header="0"/>
        </w:sectPr>
      </w:pPr>
    </w:p>
    <w:bookmarkStart w:id="10" w:name="page11"/>
    <w:bookmarkEnd w:id="10"/>
    <w:p>
      <w:pPr>
        <w:ind w:firstLine="648"/>
        <w:spacing w:after="0" w:line="251" w:lineRule="auto"/>
        <w:rPr>
          <w:sz w:val="20"/>
          <w:szCs w:val="20"/>
          <w:color w:val="auto"/>
        </w:rPr>
      </w:pPr>
      <w:r>
        <w:rPr>
          <w:rFonts w:ascii="Times New Roman" w:cs="Times New Roman" w:eastAsia="Times New Roman" w:hAnsi="Times New Roman"/>
          <w:sz w:val="18"/>
          <w:szCs w:val="18"/>
          <w:color w:val="auto"/>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our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spacing w:after="0" w:line="200" w:lineRule="exact"/>
        <w:rPr>
          <w:sz w:val="20"/>
          <w:szCs w:val="20"/>
          <w:color w:val="auto"/>
        </w:rPr>
      </w:pP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11" w:name="page12"/>
    <w:bookmarkEnd w:id="11"/>
    <w:p>
      <w:pPr>
        <w:ind w:right="380" w:firstLine="648"/>
        <w:spacing w:after="0" w:line="282" w:lineRule="auto"/>
        <w:rPr>
          <w:sz w:val="20"/>
          <w:szCs w:val="20"/>
          <w:color w:val="auto"/>
        </w:rPr>
      </w:pPr>
      <w:r>
        <w:rPr>
          <w:rFonts w:ascii="Times New Roman" w:cs="Times New Roman" w:eastAsia="Times New Roman" w:hAnsi="Times New Roman"/>
          <w:sz w:val="18"/>
          <w:szCs w:val="18"/>
          <w:color w:val="auto"/>
        </w:rPr>
        <w:t>The forward-looking statements contained in this press release are made only as of the date hereof, and Skyworks undertakes no obligation to update or revise the forward-looking statements, whether as a result of new information, future events or otherwise.</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Additional Information about the Mergers and Where to Find It</w:t>
      </w:r>
    </w:p>
    <w:p>
      <w:pPr>
        <w:spacing w:after="0" w:line="229" w:lineRule="exact"/>
        <w:rPr>
          <w:sz w:val="20"/>
          <w:szCs w:val="20"/>
          <w:color w:val="auto"/>
        </w:rPr>
      </w:pPr>
    </w:p>
    <w:p>
      <w:pPr>
        <w:ind w:firstLine="648"/>
        <w:spacing w:after="0" w:line="253" w:lineRule="auto"/>
        <w:rPr>
          <w:sz w:val="20"/>
          <w:szCs w:val="20"/>
          <w:color w:val="auto"/>
        </w:rPr>
      </w:pPr>
      <w:r>
        <w:rPr>
          <w:rFonts w:ascii="Times New Roman" w:cs="Times New Roman" w:eastAsia="Times New Roman" w:hAnsi="Times New Roman"/>
          <w:sz w:val="18"/>
          <w:szCs w:val="18"/>
          <w:color w:val="auto"/>
        </w:rPr>
        <w:t xml:space="preserve">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Mergers Registration Statement and Proxy Statement/Prospectus and other documents containing important information about Skyworks, Qorvo and the Mergers filed with the SEC through the website maintained by the SEC at </w:t>
      </w:r>
      <w:r>
        <w:rPr>
          <w:rFonts w:ascii="Times New Roman" w:cs="Times New Roman" w:eastAsia="Times New Roman" w:hAnsi="Times New Roman"/>
          <w:sz w:val="18"/>
          <w:szCs w:val="18"/>
          <w:u w:val="single" w:color="auto"/>
          <w:color w:val="auto"/>
        </w:rPr>
        <w:t>www.sec.gov</w:t>
      </w:r>
      <w:r>
        <w:rPr>
          <w:rFonts w:ascii="Times New Roman" w:cs="Times New Roman" w:eastAsia="Times New Roman" w:hAnsi="Times New Roman"/>
          <w:sz w:val="18"/>
          <w:szCs w:val="18"/>
          <w:color w:val="auto"/>
        </w:rPr>
        <w:t>.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spacing w:after="0" w:line="18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Investor Contacts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Raji Gill</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Investor Relations</w:t>
      </w:r>
    </w:p>
    <w:p>
      <w:pPr>
        <w:spacing w:after="0" w:line="9" w:lineRule="exact"/>
        <w:rPr>
          <w:sz w:val="20"/>
          <w:szCs w:val="20"/>
          <w:color w:val="auto"/>
        </w:rPr>
      </w:pPr>
    </w:p>
    <w:p>
      <w:pPr>
        <w:ind w:right="9160" w:firstLine="8"/>
        <w:spacing w:after="0" w:line="260" w:lineRule="auto"/>
        <w:tabs>
          <w:tab w:leader="none" w:pos="435"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508-0973 </w:t>
      </w:r>
      <w:r>
        <w:rPr>
          <w:rFonts w:ascii="Times New Roman" w:cs="Times New Roman" w:eastAsia="Times New Roman" w:hAnsi="Times New Roman"/>
          <w:sz w:val="18"/>
          <w:szCs w:val="18"/>
          <w:u w:val="single" w:color="auto"/>
          <w:color w:val="auto"/>
        </w:rPr>
        <w:t>Raji.Gill@skyworksinc.com</w:t>
      </w:r>
    </w:p>
    <w:p>
      <w:pPr>
        <w:spacing w:after="0" w:line="3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1220"/>
      </w:cols>
      <w:pgMar w:left="320" w:top="904" w:right="3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1)"/>
      <w:numFmt w:val="lowerLetter"/>
      <w:start w:val="4"/>
    </w:lvl>
  </w:abstractNum>
  <w:abstractNum w:abstractNumId="3">
    <w:nsid w:val="3D1B58BA"/>
    <w:multiLevelType w:val="hybridMultilevel"/>
    <w:lvl w:ilvl="0">
      <w:lvlJc w:val="left"/>
      <w:lvlText w:val="%1"/>
      <w:numFmt w:val="decimal"/>
      <w:start w:val="104"/>
    </w:lvl>
  </w:abstractNum>
  <w:abstractNum w:abstractNumId="4">
    <w:nsid w:val="507ED7AB"/>
    <w:multiLevelType w:val="hybridMultilevel"/>
    <w:lvl w:ilvl="0">
      <w:lvlJc w:val="left"/>
      <w:lvlText w:val="(%1)"/>
      <w:numFmt w:val="decimal"/>
      <w:start w:val="1"/>
    </w:lvl>
  </w:abstractNum>
  <w:abstractNum w:abstractNumId="5">
    <w:nsid w:val="2EB141F2"/>
    <w:multiLevelType w:val="hybridMultilevel"/>
    <w:lvl w:ilvl="0">
      <w:lvlJc w:val="left"/>
      <w:lvlText w:val="(%1)"/>
      <w:numFmt w:val="lowerRoman"/>
      <w:start w:val="2"/>
    </w:lvl>
  </w:abstractNum>
  <w:abstractNum w:abstractNumId="6">
    <w:nsid w:val="41B71EFB"/>
    <w:multiLevelType w:val="hybridMultilevel"/>
    <w:lvl w:ilvl="0">
      <w:lvlJc w:val="left"/>
      <w:lvlText w:val="(%1)"/>
      <w:numFmt w:val="decimal"/>
      <w:start w:val="94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jpe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2026-05-20T16:47:17Z</dcterms:created>
  <dcterms:modified xsi:type="dcterms:W3CDTF">2026-05-20T16:47:17Z</dcterms:modified>
</cp:coreProperties>
</file>