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FORM 8-K</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155" w:lineRule="exact"/>
        <w:rPr>
          <w:sz w:val="24"/>
          <w:szCs w:val="24"/>
          <w:color w:val="auto"/>
        </w:rPr>
      </w:pPr>
    </w:p>
    <w:tbl>
      <w:tblPr>
        <w:tblLayout w:type="fixed"/>
        <w:tblInd w:w="48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3840" w:type="dxa"/>
            <w:vAlign w:val="bottom"/>
          </w:tcPr>
          <w:p>
            <w:pPr>
              <w:ind w:left="2840"/>
              <w:spacing w:after="0"/>
              <w:rPr>
                <w:sz w:val="20"/>
                <w:szCs w:val="20"/>
                <w:color w:val="auto"/>
              </w:rPr>
            </w:pPr>
            <w:r>
              <w:rPr>
                <w:rFonts w:ascii="Times New Roman" w:cs="Times New Roman" w:eastAsia="Times New Roman" w:hAnsi="Times New Roman"/>
                <w:sz w:val="18"/>
                <w:szCs w:val="18"/>
                <w:color w:val="auto"/>
                <w:w w:val="97"/>
              </w:rPr>
              <w:t>May 13, 2026</w:t>
            </w:r>
          </w:p>
        </w:tc>
      </w:tr>
    </w:tbl>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50"/>
          <w:szCs w:val="50"/>
          <w:b w:val="1"/>
          <w:bCs w:val="1"/>
          <w:u w:val="single" w:color="auto"/>
          <w:color w:val="auto"/>
        </w:rPr>
        <w:t>Skyworks Solutions, Inc.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283" w:right="339" w:bottom="1440" w:gutter="0" w:footer="0" w:header="0"/>
        </w:sectPr>
      </w:pPr>
    </w:p>
    <w:p>
      <w:pPr>
        <w:spacing w:after="0" w:line="289"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7"/>
          <w:szCs w:val="17"/>
          <w:b w:val="1"/>
          <w:bCs w:val="1"/>
          <w:color w:val="auto"/>
        </w:rPr>
        <w:t>001-05560</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04-2302115</w:t>
      </w:r>
    </w:p>
    <w:p>
      <w:pPr>
        <w:spacing w:after="0" w:line="42" w:lineRule="exact"/>
        <w:rPr>
          <w:sz w:val="24"/>
          <w:szCs w:val="24"/>
          <w:color w:val="auto"/>
        </w:rPr>
      </w:pPr>
    </w:p>
    <w:p>
      <w:pPr>
        <w:sectPr>
          <w:pgSz w:w="11900" w:h="16838" w:orient="portrait"/>
          <w:cols w:equalWidth="0" w:num="3">
            <w:col w:w="4500" w:space="720"/>
            <w:col w:w="2580" w:space="720"/>
            <w:col w:w="2720"/>
          </w:cols>
          <w:pgMar w:left="320" w:top="1283" w:right="3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200" w:lineRule="exact"/>
        <w:rPr>
          <w:sz w:val="24"/>
          <w:szCs w:val="24"/>
          <w:color w:val="auto"/>
        </w:rPr>
      </w:pPr>
    </w:p>
    <w:p>
      <w:pPr>
        <w:sectPr>
          <w:pgSz w:w="11900" w:h="16838" w:orient="portrait"/>
          <w:cols w:equalWidth="0" w:num="3">
            <w:col w:w="4100" w:space="720"/>
            <w:col w:w="2380" w:space="720"/>
            <w:col w:w="3320"/>
          </w:cols>
          <w:pgMar w:left="320" w:top="1283" w:right="339" w:bottom="1440" w:gutter="0" w:footer="0" w:header="0"/>
          <w:type w:val="continuous"/>
        </w:sectPr>
      </w:pPr>
    </w:p>
    <w:p>
      <w:pPr>
        <w:spacing w:after="0" w:line="4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5260 California Avenue</w:t>
      </w:r>
    </w:p>
    <w:p>
      <w:pPr>
        <w:sectPr>
          <w:pgSz w:w="11900" w:h="16838" w:orient="portrait"/>
          <w:cols w:equalWidth="0" w:num="1">
            <w:col w:w="11240"/>
          </w:cols>
          <w:pgMar w:left="320" w:top="1283" w:right="339" w:bottom="1440" w:gutter="0" w:footer="0" w:header="0"/>
          <w:type w:val="continuous"/>
        </w:sectPr>
      </w:pPr>
    </w:p>
    <w:p>
      <w:pPr>
        <w:spacing w:after="0" w:line="61"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Irvine, California</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92617</w:t>
      </w:r>
    </w:p>
    <w:p>
      <w:pPr>
        <w:spacing w:after="0" w:line="31" w:lineRule="exact"/>
        <w:rPr>
          <w:sz w:val="24"/>
          <w:szCs w:val="24"/>
          <w:color w:val="auto"/>
        </w:rPr>
      </w:pPr>
    </w:p>
    <w:p>
      <w:pPr>
        <w:sectPr>
          <w:pgSz w:w="11900" w:h="16838" w:orient="portrait"/>
          <w:cols w:equalWidth="0" w:num="2">
            <w:col w:w="8000" w:space="720"/>
            <w:col w:w="2520"/>
          </w:cols>
          <w:pgMar w:left="320" w:top="1283" w:right="339"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181" w:lineRule="exact"/>
        <w:rPr>
          <w:sz w:val="24"/>
          <w:szCs w:val="24"/>
          <w:color w:val="auto"/>
        </w:rPr>
      </w:pPr>
    </w:p>
    <w:p>
      <w:pPr>
        <w:sectPr>
          <w:pgSz w:w="11900" w:h="16838" w:orient="portrait"/>
          <w:cols w:equalWidth="0" w:num="2">
            <w:col w:w="7920" w:space="720"/>
            <w:col w:w="2600"/>
          </w:cols>
          <w:pgMar w:left="320" w:top="1283" w:right="339" w:bottom="1440" w:gutter="0" w:footer="0" w:header="0"/>
          <w:type w:val="continuous"/>
        </w:sect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(949) 231-3000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(Former name or former address, if changed since last report)</w:t>
      </w:r>
    </w:p>
    <w:p>
      <w:pPr>
        <w:sectPr>
          <w:pgSz w:w="11900" w:h="16838" w:orient="portrait"/>
          <w:cols w:equalWidth="0" w:num="1">
            <w:col w:w="11240"/>
          </w:cols>
          <w:pgMar w:left="320" w:top="1283" w:right="339" w:bottom="1440" w:gutter="0" w:footer="0" w:header="0"/>
          <w:type w:val="continuous"/>
        </w:sectPr>
      </w:pPr>
    </w:p>
    <w:p>
      <w:pPr>
        <w:spacing w:after="0" w:line="200" w:lineRule="exact"/>
        <w:rPr>
          <w:sz w:val="24"/>
          <w:szCs w:val="24"/>
          <w:color w:val="auto"/>
        </w:rPr>
      </w:pPr>
    </w:p>
    <w:p>
      <w:pPr>
        <w:spacing w:after="0" w:line="280" w:lineRule="exact"/>
        <w:rPr>
          <w:sz w:val="24"/>
          <w:szCs w:val="24"/>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86"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6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3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Common Stock, par value $0.25 per share</w:t>
            </w:r>
          </w:p>
        </w:tc>
        <w:tc>
          <w:tcPr>
            <w:tcW w:w="2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SWKS</w:t>
            </w:r>
          </w:p>
        </w:tc>
        <w:tc>
          <w:tcPr>
            <w:tcW w:w="40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52" w:lineRule="exact"/>
        <w:rPr>
          <w:sz w:val="24"/>
          <w:szCs w:val="24"/>
          <w:color w:val="auto"/>
        </w:rPr>
      </w:pPr>
    </w:p>
    <w:p>
      <w:pPr>
        <w:ind w:right="520"/>
        <w:spacing w:after="0" w:line="27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83" w:right="339" w:bottom="1440" w:gutter="0" w:footer="0" w:header="0"/>
          <w:type w:val="continuous"/>
        </w:sectPr>
      </w:pPr>
    </w:p>
    <w:bookmarkStart w:id="1" w:name="page2"/>
    <w:bookmarkEnd w:id="1"/>
    <w:p>
      <w:pPr>
        <w:ind w:right="300"/>
        <w:spacing w:after="0" w:line="39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60"/>
        <w:spacing w:after="0" w:line="369" w:lineRule="auto"/>
        <w:rPr>
          <w:sz w:val="20"/>
          <w:szCs w:val="20"/>
          <w:color w:val="auto"/>
        </w:rPr>
      </w:pPr>
      <w:r>
        <w:rPr>
          <w:rFonts w:ascii="Times New Roman" w:cs="Times New Roman" w:eastAsia="Times New Roman" w:hAnsi="Times New Roman"/>
          <w:sz w:val="18"/>
          <w:szCs w:val="18"/>
          <w:color w:val="auto"/>
        </w:rPr>
        <w:t>At the annual meeting of stockholders of Skyworks Solutions, Inc. (the “Company”) held on May 13, 2026 (the “Annual Meeting”), the Company’s stockholders approved the 2026 Long-Term Incentive Plan (the “2026 LTIP”), which had previously been adopted by the Company’s Board of Directors (the “Board”) subject to stockholder approval. The description of the 2026 LTIP contained on pages 80 to 92 of the Company’s Definitive Proxy Statement for the 2026 Annual Meeting, filed with the Securities and Exchange Commission (the “SEC”) on April 3, 2026, in connection with the Annual Meeting (the “Proxy Statement”), is incorporated herein by reference. A complete copy of the 2026 LTIP is attached hereto as Exhibit 99.1 and is incorporated herein by reference.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364" w:lineRule="exact"/>
        <w:rPr>
          <w:sz w:val="20"/>
          <w:szCs w:val="20"/>
          <w:color w:val="auto"/>
        </w:rPr>
      </w:pPr>
    </w:p>
    <w:p>
      <w:pPr>
        <w:ind w:right="400"/>
        <w:spacing w:after="0" w:line="454" w:lineRule="auto"/>
        <w:rPr>
          <w:sz w:val="20"/>
          <w:szCs w:val="20"/>
          <w:color w:val="auto"/>
        </w:rPr>
      </w:pPr>
      <w:r>
        <w:rPr>
          <w:rFonts w:ascii="Times New Roman" w:cs="Times New Roman" w:eastAsia="Times New Roman" w:hAnsi="Times New Roman"/>
          <w:sz w:val="18"/>
          <w:szCs w:val="18"/>
          <w:color w:val="auto"/>
        </w:rPr>
        <w:t>At the Annual Meeting, the Company’s stockholders were asked to consider and vote on nine proposals that are described in the Proxy Statement. The results of the voting on each of those proposals were as follows:</w:t>
      </w:r>
    </w:p>
    <w:p>
      <w:pPr>
        <w:spacing w:after="0" w:line="189" w:lineRule="exact"/>
        <w:rPr>
          <w:sz w:val="20"/>
          <w:szCs w:val="20"/>
          <w:color w:val="auto"/>
        </w:rPr>
      </w:pPr>
    </w:p>
    <w:p>
      <w:pPr>
        <w:ind w:right="20" w:firstLine="8"/>
        <w:spacing w:after="0" w:line="438" w:lineRule="auto"/>
        <w:tabs>
          <w:tab w:leader="none" w:pos="6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elected each of Alan S. Batey, Kevin L. Beebe, Philip G. Brace, Eric J. Guerin, Christine King, Suzanne E. McBride, David P. McGlade, Robert A. Schriesheim, and Maryann Turcke to serve as a director of the Company until the next annual meeting of the Company’s stockholders and until his or her successor is elected and qualified or until his or her earlier resignation or removal.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with respect to each director elected at the Annual Meeting are set forth in the following table:</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Nominees</w:t>
            </w:r>
          </w:p>
        </w:tc>
        <w:tc>
          <w:tcPr>
            <w:tcW w:w="242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Votes For</w:t>
            </w:r>
          </w:p>
        </w:tc>
        <w:tc>
          <w:tcPr>
            <w:tcW w:w="26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Votes Against</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Votes Abstain</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
        </w:trPr>
        <w:tc>
          <w:tcPr>
            <w:tcW w:w="7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480"/>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S. Batey</w:t>
            </w:r>
          </w:p>
        </w:tc>
        <w:tc>
          <w:tcPr>
            <w:tcW w:w="24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90,839,246</w:t>
            </w:r>
          </w:p>
        </w:tc>
        <w:tc>
          <w:tcPr>
            <w:tcW w:w="156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rPr>
              <w:t>17,937,861</w:t>
            </w:r>
          </w:p>
        </w:tc>
        <w:tc>
          <w:tcPr>
            <w:tcW w:w="1040" w:type="dxa"/>
            <w:vAlign w:val="bottom"/>
          </w:tcPr>
          <w:p>
            <w:pPr>
              <w:spacing w:after="0"/>
              <w:rPr>
                <w:sz w:val="24"/>
                <w:szCs w:val="24"/>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157,371</w:t>
            </w:r>
          </w:p>
        </w:tc>
        <w:tc>
          <w:tcPr>
            <w:tcW w:w="440" w:type="dxa"/>
            <w:vAlign w:val="bottom"/>
          </w:tcPr>
          <w:p>
            <w:pPr>
              <w:spacing w:after="0"/>
              <w:rPr>
                <w:sz w:val="24"/>
                <w:szCs w:val="24"/>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12,941,125</w:t>
            </w:r>
          </w:p>
        </w:tc>
      </w:tr>
      <w:tr>
        <w:trPr>
          <w:trHeight w:val="459"/>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L. Beebe</w:t>
            </w:r>
          </w:p>
        </w:tc>
        <w:tc>
          <w:tcPr>
            <w:tcW w:w="24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91,307,647</w:t>
            </w:r>
          </w:p>
        </w:tc>
        <w:tc>
          <w:tcPr>
            <w:tcW w:w="156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rPr>
              <w:t>17,426,070</w:t>
            </w:r>
          </w:p>
        </w:tc>
        <w:tc>
          <w:tcPr>
            <w:tcW w:w="1040" w:type="dxa"/>
            <w:vAlign w:val="bottom"/>
          </w:tcPr>
          <w:p>
            <w:pPr>
              <w:spacing w:after="0"/>
              <w:rPr>
                <w:sz w:val="24"/>
                <w:szCs w:val="24"/>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200,761</w:t>
            </w:r>
          </w:p>
        </w:tc>
        <w:tc>
          <w:tcPr>
            <w:tcW w:w="440" w:type="dxa"/>
            <w:vAlign w:val="bottom"/>
          </w:tcPr>
          <w:p>
            <w:pPr>
              <w:spacing w:after="0"/>
              <w:rPr>
                <w:sz w:val="24"/>
                <w:szCs w:val="24"/>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12,941,125</w:t>
            </w:r>
          </w:p>
        </w:tc>
      </w:tr>
      <w:tr>
        <w:trPr>
          <w:trHeight w:val="459"/>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 G. Brace</w:t>
            </w:r>
          </w:p>
        </w:tc>
        <w:tc>
          <w:tcPr>
            <w:tcW w:w="24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9"/>
              </w:rPr>
              <w:t>107,873,021</w:t>
            </w:r>
          </w:p>
        </w:tc>
        <w:tc>
          <w:tcPr>
            <w:tcW w:w="156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99"/>
              </w:rPr>
              <w:t>915,837</w:t>
            </w:r>
          </w:p>
        </w:tc>
        <w:tc>
          <w:tcPr>
            <w:tcW w:w="1040" w:type="dxa"/>
            <w:vAlign w:val="bottom"/>
          </w:tcPr>
          <w:p>
            <w:pPr>
              <w:spacing w:after="0"/>
              <w:rPr>
                <w:sz w:val="24"/>
                <w:szCs w:val="24"/>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145,620</w:t>
            </w:r>
          </w:p>
        </w:tc>
        <w:tc>
          <w:tcPr>
            <w:tcW w:w="440" w:type="dxa"/>
            <w:vAlign w:val="bottom"/>
          </w:tcPr>
          <w:p>
            <w:pPr>
              <w:spacing w:after="0"/>
              <w:rPr>
                <w:sz w:val="24"/>
                <w:szCs w:val="24"/>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12,941,125</w:t>
            </w:r>
          </w:p>
        </w:tc>
      </w:tr>
      <w:tr>
        <w:trPr>
          <w:trHeight w:val="459"/>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J. Guerin</w:t>
            </w:r>
          </w:p>
        </w:tc>
        <w:tc>
          <w:tcPr>
            <w:tcW w:w="24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9"/>
              </w:rPr>
              <w:t>107,768,177</w:t>
            </w:r>
          </w:p>
        </w:tc>
        <w:tc>
          <w:tcPr>
            <w:tcW w:w="156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1,010,581</w:t>
            </w:r>
          </w:p>
        </w:tc>
        <w:tc>
          <w:tcPr>
            <w:tcW w:w="1040" w:type="dxa"/>
            <w:vAlign w:val="bottom"/>
          </w:tcPr>
          <w:p>
            <w:pPr>
              <w:spacing w:after="0"/>
              <w:rPr>
                <w:sz w:val="24"/>
                <w:szCs w:val="24"/>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155,720</w:t>
            </w:r>
          </w:p>
        </w:tc>
        <w:tc>
          <w:tcPr>
            <w:tcW w:w="440" w:type="dxa"/>
            <w:vAlign w:val="bottom"/>
          </w:tcPr>
          <w:p>
            <w:pPr>
              <w:spacing w:after="0"/>
              <w:rPr>
                <w:sz w:val="24"/>
                <w:szCs w:val="24"/>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12,941,125</w:t>
            </w:r>
          </w:p>
        </w:tc>
      </w:tr>
      <w:tr>
        <w:trPr>
          <w:trHeight w:val="459"/>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King</w:t>
            </w:r>
          </w:p>
        </w:tc>
        <w:tc>
          <w:tcPr>
            <w:tcW w:w="24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91,823,084</w:t>
            </w:r>
          </w:p>
        </w:tc>
        <w:tc>
          <w:tcPr>
            <w:tcW w:w="156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rPr>
              <w:t>16,968,229</w:t>
            </w:r>
          </w:p>
        </w:tc>
        <w:tc>
          <w:tcPr>
            <w:tcW w:w="1040" w:type="dxa"/>
            <w:vAlign w:val="bottom"/>
          </w:tcPr>
          <w:p>
            <w:pPr>
              <w:spacing w:after="0"/>
              <w:rPr>
                <w:sz w:val="24"/>
                <w:szCs w:val="24"/>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143,165</w:t>
            </w:r>
          </w:p>
        </w:tc>
        <w:tc>
          <w:tcPr>
            <w:tcW w:w="440" w:type="dxa"/>
            <w:vAlign w:val="bottom"/>
          </w:tcPr>
          <w:p>
            <w:pPr>
              <w:spacing w:after="0"/>
              <w:rPr>
                <w:sz w:val="24"/>
                <w:szCs w:val="24"/>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12,941,125</w:t>
            </w:r>
          </w:p>
        </w:tc>
      </w:tr>
      <w:tr>
        <w:trPr>
          <w:trHeight w:val="459"/>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Suzanne E. McBride</w:t>
            </w:r>
          </w:p>
        </w:tc>
        <w:tc>
          <w:tcPr>
            <w:tcW w:w="24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9"/>
              </w:rPr>
              <w:t>106,787,393</w:t>
            </w:r>
          </w:p>
        </w:tc>
        <w:tc>
          <w:tcPr>
            <w:tcW w:w="156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1,903,738</w:t>
            </w:r>
          </w:p>
        </w:tc>
        <w:tc>
          <w:tcPr>
            <w:tcW w:w="1040" w:type="dxa"/>
            <w:vAlign w:val="bottom"/>
          </w:tcPr>
          <w:p>
            <w:pPr>
              <w:spacing w:after="0"/>
              <w:rPr>
                <w:sz w:val="24"/>
                <w:szCs w:val="24"/>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243,347</w:t>
            </w:r>
          </w:p>
        </w:tc>
        <w:tc>
          <w:tcPr>
            <w:tcW w:w="440" w:type="dxa"/>
            <w:vAlign w:val="bottom"/>
          </w:tcPr>
          <w:p>
            <w:pPr>
              <w:spacing w:after="0"/>
              <w:rPr>
                <w:sz w:val="24"/>
                <w:szCs w:val="24"/>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12,941,125</w:t>
            </w:r>
          </w:p>
        </w:tc>
      </w:tr>
      <w:tr>
        <w:trPr>
          <w:trHeight w:val="459"/>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P. McGlade</w:t>
            </w:r>
          </w:p>
        </w:tc>
        <w:tc>
          <w:tcPr>
            <w:tcW w:w="24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99,721,124</w:t>
            </w:r>
          </w:p>
        </w:tc>
        <w:tc>
          <w:tcPr>
            <w:tcW w:w="156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9,056,072</w:t>
            </w:r>
          </w:p>
        </w:tc>
        <w:tc>
          <w:tcPr>
            <w:tcW w:w="1040" w:type="dxa"/>
            <w:vAlign w:val="bottom"/>
          </w:tcPr>
          <w:p>
            <w:pPr>
              <w:spacing w:after="0"/>
              <w:rPr>
                <w:sz w:val="24"/>
                <w:szCs w:val="24"/>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157,282</w:t>
            </w:r>
          </w:p>
        </w:tc>
        <w:tc>
          <w:tcPr>
            <w:tcW w:w="440" w:type="dxa"/>
            <w:vAlign w:val="bottom"/>
          </w:tcPr>
          <w:p>
            <w:pPr>
              <w:spacing w:after="0"/>
              <w:rPr>
                <w:sz w:val="24"/>
                <w:szCs w:val="24"/>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12,941,125</w:t>
            </w:r>
          </w:p>
        </w:tc>
      </w:tr>
      <w:tr>
        <w:trPr>
          <w:trHeight w:val="459"/>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A. Schriesheim</w:t>
            </w:r>
          </w:p>
        </w:tc>
        <w:tc>
          <w:tcPr>
            <w:tcW w:w="24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9"/>
              </w:rPr>
              <w:t>106,144,737</w:t>
            </w:r>
          </w:p>
        </w:tc>
        <w:tc>
          <w:tcPr>
            <w:tcW w:w="156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2,633,151</w:t>
            </w:r>
          </w:p>
        </w:tc>
        <w:tc>
          <w:tcPr>
            <w:tcW w:w="1040" w:type="dxa"/>
            <w:vAlign w:val="bottom"/>
          </w:tcPr>
          <w:p>
            <w:pPr>
              <w:spacing w:after="0"/>
              <w:rPr>
                <w:sz w:val="24"/>
                <w:szCs w:val="24"/>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156,590</w:t>
            </w:r>
          </w:p>
        </w:tc>
        <w:tc>
          <w:tcPr>
            <w:tcW w:w="440" w:type="dxa"/>
            <w:vAlign w:val="bottom"/>
          </w:tcPr>
          <w:p>
            <w:pPr>
              <w:spacing w:after="0"/>
              <w:rPr>
                <w:sz w:val="24"/>
                <w:szCs w:val="24"/>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12,941,125</w:t>
            </w:r>
          </w:p>
        </w:tc>
      </w:tr>
      <w:tr>
        <w:trPr>
          <w:trHeight w:val="459"/>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Maryann Turcke</w:t>
            </w:r>
          </w:p>
        </w:tc>
        <w:tc>
          <w:tcPr>
            <w:tcW w:w="24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94,618,670</w:t>
            </w:r>
          </w:p>
        </w:tc>
        <w:tc>
          <w:tcPr>
            <w:tcW w:w="156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rPr>
              <w:t>14,020,920</w:t>
            </w:r>
          </w:p>
        </w:tc>
        <w:tc>
          <w:tcPr>
            <w:tcW w:w="1040" w:type="dxa"/>
            <w:vAlign w:val="bottom"/>
          </w:tcPr>
          <w:p>
            <w:pPr>
              <w:spacing w:after="0"/>
              <w:rPr>
                <w:sz w:val="24"/>
                <w:szCs w:val="24"/>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294,888</w:t>
            </w:r>
          </w:p>
        </w:tc>
        <w:tc>
          <w:tcPr>
            <w:tcW w:w="440" w:type="dxa"/>
            <w:vAlign w:val="bottom"/>
          </w:tcPr>
          <w:p>
            <w:pPr>
              <w:spacing w:after="0"/>
              <w:rPr>
                <w:sz w:val="24"/>
                <w:szCs w:val="24"/>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12,941,125</w:t>
            </w:r>
          </w:p>
        </w:tc>
      </w:tr>
    </w:tbl>
    <w:p>
      <w:pPr>
        <w:spacing w:after="0" w:line="200" w:lineRule="exact"/>
        <w:rPr>
          <w:sz w:val="20"/>
          <w:szCs w:val="20"/>
          <w:color w:val="auto"/>
        </w:rPr>
      </w:pPr>
    </w:p>
    <w:p>
      <w:pPr>
        <w:spacing w:after="0" w:line="281" w:lineRule="exact"/>
        <w:rPr>
          <w:sz w:val="20"/>
          <w:szCs w:val="20"/>
          <w:color w:val="auto"/>
        </w:rPr>
      </w:pPr>
    </w:p>
    <w:p>
      <w:pPr>
        <w:ind w:right="180" w:firstLine="8"/>
        <w:spacing w:after="0" w:line="438" w:lineRule="auto"/>
        <w:tabs>
          <w:tab w:leader="none" w:pos="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ratified the selection by the Company’s Audit Committee of KPMG LLP as the Company’s independent registered public accounting firm for the Company’s 2026 fiscal year.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For</w:t>
            </w:r>
          </w:p>
        </w:tc>
        <w:tc>
          <w:tcPr>
            <w:tcW w:w="1940" w:type="dxa"/>
            <w:vAlign w:val="bottom"/>
          </w:tcPr>
          <w:p>
            <w:pPr>
              <w:spacing w:after="0"/>
              <w:rPr>
                <w:sz w:val="18"/>
                <w:szCs w:val="18"/>
                <w:color w:val="auto"/>
              </w:rPr>
            </w:pPr>
          </w:p>
        </w:tc>
        <w:tc>
          <w:tcPr>
            <w:tcW w:w="19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7"/>
              </w:rPr>
              <w:t>Votes Against</w:t>
            </w:r>
          </w:p>
        </w:tc>
        <w:tc>
          <w:tcPr>
            <w:tcW w:w="356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7"/>
              </w:rPr>
              <w:t>Votes Abstain</w:t>
            </w:r>
          </w:p>
        </w:tc>
        <w:tc>
          <w:tcPr>
            <w:tcW w:w="208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1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79"/>
        </w:trPr>
        <w:tc>
          <w:tcPr>
            <w:tcW w:w="3700" w:type="dxa"/>
            <w:vAlign w:val="bottom"/>
            <w:gridSpan w:val="3"/>
          </w:tcPr>
          <w:p>
            <w:pPr>
              <w:jc w:val="right"/>
              <w:ind w:right="1840"/>
              <w:spacing w:after="0"/>
              <w:rPr>
                <w:sz w:val="20"/>
                <w:szCs w:val="20"/>
                <w:color w:val="auto"/>
              </w:rPr>
            </w:pPr>
            <w:r>
              <w:rPr>
                <w:rFonts w:ascii="Times New Roman" w:cs="Times New Roman" w:eastAsia="Times New Roman" w:hAnsi="Times New Roman"/>
                <w:sz w:val="18"/>
                <w:szCs w:val="18"/>
                <w:color w:val="auto"/>
              </w:rPr>
              <w:t>112,917,728</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8,706,974</w:t>
            </w:r>
          </w:p>
        </w:tc>
        <w:tc>
          <w:tcPr>
            <w:tcW w:w="900" w:type="dxa"/>
            <w:vAlign w:val="bottom"/>
          </w:tcPr>
          <w:p>
            <w:pPr>
              <w:spacing w:after="0"/>
              <w:rPr>
                <w:sz w:val="24"/>
                <w:szCs w:val="24"/>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250,901</w:t>
            </w:r>
          </w:p>
        </w:tc>
        <w:tc>
          <w:tcPr>
            <w:tcW w:w="1660" w:type="dxa"/>
            <w:vAlign w:val="bottom"/>
          </w:tcPr>
          <w:p>
            <w:pPr>
              <w:spacing w:after="0"/>
              <w:rPr>
                <w:sz w:val="24"/>
                <w:szCs w:val="24"/>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spacing w:after="0"/>
              <w:rPr>
                <w:sz w:val="24"/>
                <w:szCs w:val="24"/>
                <w:color w:val="auto"/>
              </w:rPr>
            </w:pPr>
          </w:p>
        </w:tc>
      </w:tr>
      <w:tr>
        <w:trPr>
          <w:trHeight w:val="1074"/>
        </w:trPr>
        <w:tc>
          <w:tcPr>
            <w:tcW w:w="10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ind w:right="80" w:firstLine="8"/>
        <w:spacing w:after="0" w:line="454" w:lineRule="auto"/>
        <w:tabs>
          <w:tab w:leader="none" w:pos="6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did not approve, on an advisory, non-binding basis, the compensation of the Company’s named executive officers as disclosed in the Proxy Statement.</w:t>
      </w:r>
    </w:p>
    <w:p>
      <w:pPr>
        <w:spacing w:after="0" w:line="27"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For</w:t>
            </w:r>
          </w:p>
        </w:tc>
        <w:tc>
          <w:tcPr>
            <w:tcW w:w="1000" w:type="dxa"/>
            <w:vAlign w:val="bottom"/>
          </w:tcPr>
          <w:p>
            <w:pPr>
              <w:spacing w:after="0"/>
              <w:rPr>
                <w:sz w:val="17"/>
                <w:szCs w:val="17"/>
                <w:color w:val="auto"/>
              </w:rPr>
            </w:pP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Votes Against</w:t>
            </w:r>
          </w:p>
        </w:tc>
        <w:tc>
          <w:tcPr>
            <w:tcW w:w="2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Votes Abstain</w:t>
            </w:r>
          </w:p>
        </w:tc>
        <w:tc>
          <w:tcPr>
            <w:tcW w:w="214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480"/>
        </w:trPr>
        <w:tc>
          <w:tcPr>
            <w:tcW w:w="176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w w:val="98"/>
              </w:rPr>
              <w:t>54,203,161</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54,542,944</w:t>
            </w:r>
          </w:p>
        </w:tc>
        <w:tc>
          <w:tcPr>
            <w:tcW w:w="900" w:type="dxa"/>
            <w:vAlign w:val="bottom"/>
          </w:tcPr>
          <w:p>
            <w:pPr>
              <w:spacing w:after="0"/>
              <w:rPr>
                <w:sz w:val="24"/>
                <w:szCs w:val="24"/>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188,373</w:t>
            </w:r>
          </w:p>
        </w:tc>
        <w:tc>
          <w:tcPr>
            <w:tcW w:w="840" w:type="dxa"/>
            <w:vAlign w:val="bottom"/>
          </w:tcPr>
          <w:p>
            <w:pPr>
              <w:spacing w:after="0"/>
              <w:rPr>
                <w:sz w:val="24"/>
                <w:szCs w:val="24"/>
                <w:color w:val="auto"/>
              </w:rPr>
            </w:pPr>
          </w:p>
        </w:tc>
        <w:tc>
          <w:tcPr>
            <w:tcW w:w="2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12,941,125</w:t>
            </w:r>
          </w:p>
        </w:tc>
      </w:tr>
    </w:tbl>
    <w:p>
      <w:pPr>
        <w:spacing w:after="0" w:line="200" w:lineRule="exact"/>
        <w:rPr>
          <w:sz w:val="20"/>
          <w:szCs w:val="20"/>
          <w:color w:val="auto"/>
        </w:rPr>
      </w:pPr>
    </w:p>
    <w:p>
      <w:pPr>
        <w:spacing w:after="0" w:line="281" w:lineRule="exact"/>
        <w:rPr>
          <w:sz w:val="20"/>
          <w:szCs w:val="20"/>
          <w:color w:val="auto"/>
        </w:rPr>
      </w:pPr>
    </w:p>
    <w:p>
      <w:pPr>
        <w:ind w:right="100" w:firstLine="8"/>
        <w:spacing w:after="0" w:line="438" w:lineRule="auto"/>
        <w:tabs>
          <w:tab w:leader="none" w:pos="6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did not approve an amendment to the Company’s Restated Certificate of Incorporation, as amended (the “Charter”), to eliminate the supermajority vote provisions relating to stockholder approval of a merger or consolidation, disposition of all or substantially all of the Company’s assets, or issuance of a substantial amount of the Company’s securities.</w:t>
      </w:r>
    </w:p>
    <w:p>
      <w:pPr>
        <w:spacing w:after="0" w:line="55"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For</w:t>
            </w:r>
          </w:p>
        </w:tc>
        <w:tc>
          <w:tcPr>
            <w:tcW w:w="1040" w:type="dxa"/>
            <w:vAlign w:val="bottom"/>
          </w:tcPr>
          <w:p>
            <w:pPr>
              <w:spacing w:after="0"/>
              <w:rPr>
                <w:sz w:val="17"/>
                <w:szCs w:val="17"/>
                <w:color w:val="auto"/>
              </w:rPr>
            </w:pPr>
          </w:p>
        </w:tc>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Votes Against</w:t>
            </w:r>
          </w:p>
        </w:tc>
        <w:tc>
          <w:tcPr>
            <w:tcW w:w="2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Votes Abstain</w:t>
            </w:r>
          </w:p>
        </w:tc>
        <w:tc>
          <w:tcPr>
            <w:tcW w:w="214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480"/>
        </w:trPr>
        <w:tc>
          <w:tcPr>
            <w:tcW w:w="184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w w:val="97"/>
              </w:rPr>
              <w:t>108,270,918</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561,080</w:t>
            </w:r>
          </w:p>
        </w:tc>
        <w:tc>
          <w:tcPr>
            <w:tcW w:w="900" w:type="dxa"/>
            <w:vAlign w:val="bottom"/>
          </w:tcPr>
          <w:p>
            <w:pPr>
              <w:spacing w:after="0"/>
              <w:rPr>
                <w:sz w:val="24"/>
                <w:szCs w:val="24"/>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102,480</w:t>
            </w:r>
          </w:p>
        </w:tc>
        <w:tc>
          <w:tcPr>
            <w:tcW w:w="840" w:type="dxa"/>
            <w:vAlign w:val="bottom"/>
          </w:tcPr>
          <w:p>
            <w:pPr>
              <w:spacing w:after="0"/>
              <w:rPr>
                <w:sz w:val="24"/>
                <w:szCs w:val="24"/>
                <w:color w:val="auto"/>
              </w:rPr>
            </w:pPr>
          </w:p>
        </w:tc>
        <w:tc>
          <w:tcPr>
            <w:tcW w:w="2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12,941,125</w:t>
            </w:r>
          </w:p>
        </w:tc>
      </w:tr>
    </w:tbl>
    <w:p>
      <w:pPr>
        <w:spacing w:after="0" w:line="200" w:lineRule="exact"/>
        <w:rPr>
          <w:sz w:val="20"/>
          <w:szCs w:val="20"/>
          <w:color w:val="auto"/>
        </w:rPr>
      </w:pPr>
    </w:p>
    <w:p>
      <w:pPr>
        <w:spacing w:after="0" w:line="281" w:lineRule="exact"/>
        <w:rPr>
          <w:sz w:val="20"/>
          <w:szCs w:val="20"/>
          <w:color w:val="auto"/>
        </w:rPr>
      </w:pPr>
    </w:p>
    <w:p>
      <w:pPr>
        <w:ind w:right="160" w:firstLine="8"/>
        <w:spacing w:after="0" w:line="438" w:lineRule="auto"/>
        <w:tabs>
          <w:tab w:leader="none" w:pos="6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did not approve an amendment to the Charter to eliminate the supermajority vote provisions relating to stockholder approval of a business combination with any related person.</w:t>
      </w:r>
    </w:p>
    <w:p>
      <w:pPr>
        <w:spacing w:after="0" w:line="55"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For</w:t>
            </w:r>
          </w:p>
        </w:tc>
        <w:tc>
          <w:tcPr>
            <w:tcW w:w="19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Against</w:t>
            </w:r>
          </w:p>
        </w:tc>
        <w:tc>
          <w:tcPr>
            <w:tcW w:w="1800" w:type="dxa"/>
            <w:vAlign w:val="bottom"/>
          </w:tcPr>
          <w:p>
            <w:pPr>
              <w:spacing w:after="0"/>
              <w:rPr>
                <w:sz w:val="17"/>
                <w:szCs w:val="17"/>
                <w:color w:val="auto"/>
              </w:rPr>
            </w:pPr>
          </w:p>
        </w:tc>
        <w:tc>
          <w:tcPr>
            <w:tcW w:w="18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7"/>
              </w:rPr>
              <w:t>Votes Abstain</w:t>
            </w:r>
          </w:p>
        </w:tc>
        <w:tc>
          <w:tcPr>
            <w:tcW w:w="214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480"/>
        </w:trPr>
        <w:tc>
          <w:tcPr>
            <w:tcW w:w="2760" w:type="dxa"/>
            <w:vAlign w:val="bottom"/>
            <w:gridSpan w:val="3"/>
          </w:tcPr>
          <w:p>
            <w:pPr>
              <w:jc w:val="right"/>
              <w:ind w:right="1860"/>
              <w:spacing w:after="0"/>
              <w:rPr>
                <w:sz w:val="20"/>
                <w:szCs w:val="20"/>
                <w:color w:val="auto"/>
              </w:rPr>
            </w:pPr>
            <w:r>
              <w:rPr>
                <w:rFonts w:ascii="Times New Roman" w:cs="Times New Roman" w:eastAsia="Times New Roman" w:hAnsi="Times New Roman"/>
                <w:sz w:val="18"/>
                <w:szCs w:val="18"/>
                <w:color w:val="auto"/>
                <w:w w:val="97"/>
              </w:rPr>
              <w:t>108,266,638</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562,900</w:t>
            </w:r>
          </w:p>
        </w:tc>
        <w:tc>
          <w:tcPr>
            <w:tcW w:w="180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104,940</w:t>
            </w:r>
          </w:p>
        </w:tc>
        <w:tc>
          <w:tcPr>
            <w:tcW w:w="840" w:type="dxa"/>
            <w:vAlign w:val="bottom"/>
          </w:tcPr>
          <w:p>
            <w:pPr>
              <w:spacing w:after="0"/>
              <w:rPr>
                <w:sz w:val="24"/>
                <w:szCs w:val="24"/>
                <w:color w:val="auto"/>
              </w:rPr>
            </w:pPr>
          </w:p>
        </w:tc>
        <w:tc>
          <w:tcPr>
            <w:tcW w:w="2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12,941,125</w:t>
            </w:r>
          </w:p>
        </w:tc>
      </w:tr>
    </w:tbl>
    <w:p>
      <w:pPr>
        <w:spacing w:after="0" w:line="200" w:lineRule="exact"/>
        <w:rPr>
          <w:sz w:val="20"/>
          <w:szCs w:val="20"/>
          <w:color w:val="auto"/>
        </w:rPr>
      </w:pPr>
    </w:p>
    <w:p>
      <w:pPr>
        <w:spacing w:after="0" w:line="281" w:lineRule="exact"/>
        <w:rPr>
          <w:sz w:val="20"/>
          <w:szCs w:val="20"/>
          <w:color w:val="auto"/>
        </w:rPr>
      </w:pPr>
    </w:p>
    <w:p>
      <w:pPr>
        <w:ind w:right="220" w:firstLine="8"/>
        <w:spacing w:after="0" w:line="454" w:lineRule="auto"/>
        <w:tabs>
          <w:tab w:leader="none" w:pos="6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did not approve an amendment to the Charter to eliminate the supermajority vote provision relating to stockholder amendment of Charter provisions governing directors.</w:t>
      </w:r>
    </w:p>
    <w:p>
      <w:pPr>
        <w:spacing w:after="0" w:line="41"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For</w:t>
            </w:r>
          </w:p>
        </w:tc>
        <w:tc>
          <w:tcPr>
            <w:tcW w:w="19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Against</w:t>
            </w:r>
          </w:p>
        </w:tc>
        <w:tc>
          <w:tcPr>
            <w:tcW w:w="1800" w:type="dxa"/>
            <w:vAlign w:val="bottom"/>
          </w:tcPr>
          <w:p>
            <w:pPr>
              <w:spacing w:after="0"/>
              <w:rPr>
                <w:sz w:val="18"/>
                <w:szCs w:val="18"/>
                <w:color w:val="auto"/>
              </w:rPr>
            </w:pPr>
          </w:p>
        </w:tc>
        <w:tc>
          <w:tcPr>
            <w:tcW w:w="18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7"/>
              </w:rPr>
              <w:t>Votes Abstain</w:t>
            </w:r>
          </w:p>
        </w:tc>
        <w:tc>
          <w:tcPr>
            <w:tcW w:w="214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480"/>
        </w:trPr>
        <w:tc>
          <w:tcPr>
            <w:tcW w:w="2760" w:type="dxa"/>
            <w:vAlign w:val="bottom"/>
            <w:gridSpan w:val="3"/>
          </w:tcPr>
          <w:p>
            <w:pPr>
              <w:jc w:val="right"/>
              <w:ind w:right="1860"/>
              <w:spacing w:after="0"/>
              <w:rPr>
                <w:sz w:val="20"/>
                <w:szCs w:val="20"/>
                <w:color w:val="auto"/>
              </w:rPr>
            </w:pPr>
            <w:r>
              <w:rPr>
                <w:rFonts w:ascii="Times New Roman" w:cs="Times New Roman" w:eastAsia="Times New Roman" w:hAnsi="Times New Roman"/>
                <w:sz w:val="18"/>
                <w:szCs w:val="18"/>
                <w:color w:val="auto"/>
                <w:w w:val="97"/>
              </w:rPr>
              <w:t>108,259,191</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567,621</w:t>
            </w:r>
          </w:p>
        </w:tc>
        <w:tc>
          <w:tcPr>
            <w:tcW w:w="180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107,666</w:t>
            </w:r>
          </w:p>
        </w:tc>
        <w:tc>
          <w:tcPr>
            <w:tcW w:w="840" w:type="dxa"/>
            <w:vAlign w:val="bottom"/>
          </w:tcPr>
          <w:p>
            <w:pPr>
              <w:spacing w:after="0"/>
              <w:rPr>
                <w:sz w:val="24"/>
                <w:szCs w:val="24"/>
                <w:color w:val="auto"/>
              </w:rPr>
            </w:pPr>
          </w:p>
        </w:tc>
        <w:tc>
          <w:tcPr>
            <w:tcW w:w="2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12,941,125</w:t>
            </w:r>
          </w:p>
        </w:tc>
      </w:tr>
    </w:tbl>
    <w:p>
      <w:pPr>
        <w:spacing w:after="0" w:line="200" w:lineRule="exact"/>
        <w:rPr>
          <w:sz w:val="20"/>
          <w:szCs w:val="20"/>
          <w:color w:val="auto"/>
        </w:rPr>
      </w:pPr>
    </w:p>
    <w:p>
      <w:pPr>
        <w:spacing w:after="0" w:line="281" w:lineRule="exact"/>
        <w:rPr>
          <w:sz w:val="20"/>
          <w:szCs w:val="20"/>
          <w:color w:val="auto"/>
        </w:rPr>
      </w:pPr>
    </w:p>
    <w:p>
      <w:pPr>
        <w:ind w:right="220" w:firstLine="8"/>
        <w:spacing w:after="0" w:line="438"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did not approve an amendment to the Charter to eliminate the supermajority vote provision relating to stockholder amendment of the Charter provision governing action by stockholders.</w:t>
      </w:r>
    </w:p>
    <w:p>
      <w:pPr>
        <w:spacing w:after="0" w:line="55"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For</w:t>
            </w:r>
          </w:p>
        </w:tc>
        <w:tc>
          <w:tcPr>
            <w:tcW w:w="19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Against</w:t>
            </w:r>
          </w:p>
        </w:tc>
        <w:tc>
          <w:tcPr>
            <w:tcW w:w="1800" w:type="dxa"/>
            <w:vAlign w:val="bottom"/>
          </w:tcPr>
          <w:p>
            <w:pPr>
              <w:spacing w:after="0"/>
              <w:rPr>
                <w:sz w:val="18"/>
                <w:szCs w:val="18"/>
                <w:color w:val="auto"/>
              </w:rPr>
            </w:pPr>
          </w:p>
        </w:tc>
        <w:tc>
          <w:tcPr>
            <w:tcW w:w="18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7"/>
              </w:rPr>
              <w:t>Votes Abstain</w:t>
            </w:r>
          </w:p>
        </w:tc>
        <w:tc>
          <w:tcPr>
            <w:tcW w:w="214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480"/>
        </w:trPr>
        <w:tc>
          <w:tcPr>
            <w:tcW w:w="2760" w:type="dxa"/>
            <w:vAlign w:val="bottom"/>
            <w:gridSpan w:val="3"/>
          </w:tcPr>
          <w:p>
            <w:pPr>
              <w:jc w:val="right"/>
              <w:ind w:right="1860"/>
              <w:spacing w:after="0"/>
              <w:rPr>
                <w:sz w:val="20"/>
                <w:szCs w:val="20"/>
                <w:color w:val="auto"/>
              </w:rPr>
            </w:pPr>
            <w:r>
              <w:rPr>
                <w:rFonts w:ascii="Times New Roman" w:cs="Times New Roman" w:eastAsia="Times New Roman" w:hAnsi="Times New Roman"/>
                <w:sz w:val="18"/>
                <w:szCs w:val="18"/>
                <w:color w:val="auto"/>
                <w:w w:val="97"/>
              </w:rPr>
              <w:t>108,272,665</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552,446</w:t>
            </w:r>
          </w:p>
        </w:tc>
        <w:tc>
          <w:tcPr>
            <w:tcW w:w="180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109,367</w:t>
            </w:r>
          </w:p>
        </w:tc>
        <w:tc>
          <w:tcPr>
            <w:tcW w:w="840" w:type="dxa"/>
            <w:vAlign w:val="bottom"/>
          </w:tcPr>
          <w:p>
            <w:pPr>
              <w:spacing w:after="0"/>
              <w:rPr>
                <w:sz w:val="24"/>
                <w:szCs w:val="24"/>
                <w:color w:val="auto"/>
              </w:rPr>
            </w:pPr>
          </w:p>
        </w:tc>
        <w:tc>
          <w:tcPr>
            <w:tcW w:w="2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12,941,125</w:t>
            </w:r>
          </w:p>
        </w:tc>
      </w:tr>
    </w:tbl>
    <w:p>
      <w:pPr>
        <w:spacing w:after="0" w:line="200" w:lineRule="exact"/>
        <w:rPr>
          <w:sz w:val="20"/>
          <w:szCs w:val="20"/>
          <w:color w:val="auto"/>
        </w:rPr>
      </w:pPr>
    </w:p>
    <w:p>
      <w:pPr>
        <w:spacing w:after="0" w:line="281"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voted to approve the 2026 LTIP.</w:t>
      </w:r>
    </w:p>
    <w:p>
      <w:pPr>
        <w:spacing w:after="0" w:line="252"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For</w:t>
            </w:r>
          </w:p>
        </w:tc>
        <w:tc>
          <w:tcPr>
            <w:tcW w:w="19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Against</w:t>
            </w:r>
          </w:p>
        </w:tc>
        <w:tc>
          <w:tcPr>
            <w:tcW w:w="1800" w:type="dxa"/>
            <w:vAlign w:val="bottom"/>
          </w:tcPr>
          <w:p>
            <w:pPr>
              <w:spacing w:after="0"/>
              <w:rPr>
                <w:sz w:val="18"/>
                <w:szCs w:val="18"/>
                <w:color w:val="auto"/>
              </w:rPr>
            </w:pPr>
          </w:p>
        </w:tc>
        <w:tc>
          <w:tcPr>
            <w:tcW w:w="18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7"/>
              </w:rPr>
              <w:t>Votes Abstain</w:t>
            </w:r>
          </w:p>
        </w:tc>
        <w:tc>
          <w:tcPr>
            <w:tcW w:w="214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479"/>
        </w:trPr>
        <w:tc>
          <w:tcPr>
            <w:tcW w:w="2720" w:type="dxa"/>
            <w:vAlign w:val="bottom"/>
            <w:gridSpan w:val="3"/>
          </w:tcPr>
          <w:p>
            <w:pPr>
              <w:jc w:val="right"/>
              <w:ind w:right="1900"/>
              <w:spacing w:after="0"/>
              <w:rPr>
                <w:sz w:val="20"/>
                <w:szCs w:val="20"/>
                <w:color w:val="auto"/>
              </w:rPr>
            </w:pPr>
            <w:r>
              <w:rPr>
                <w:rFonts w:ascii="Times New Roman" w:cs="Times New Roman" w:eastAsia="Times New Roman" w:hAnsi="Times New Roman"/>
                <w:sz w:val="18"/>
                <w:szCs w:val="18"/>
                <w:color w:val="auto"/>
                <w:w w:val="98"/>
              </w:rPr>
              <w:t>87,120,961</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21,664,734</w:t>
            </w:r>
          </w:p>
        </w:tc>
        <w:tc>
          <w:tcPr>
            <w:tcW w:w="180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148,783</w:t>
            </w:r>
          </w:p>
        </w:tc>
        <w:tc>
          <w:tcPr>
            <w:tcW w:w="840" w:type="dxa"/>
            <w:vAlign w:val="bottom"/>
          </w:tcPr>
          <w:p>
            <w:pPr>
              <w:spacing w:after="0"/>
              <w:rPr>
                <w:sz w:val="24"/>
                <w:szCs w:val="24"/>
                <w:color w:val="auto"/>
              </w:rPr>
            </w:pPr>
          </w:p>
        </w:tc>
        <w:tc>
          <w:tcPr>
            <w:tcW w:w="2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12,941,125</w:t>
            </w:r>
          </w:p>
        </w:tc>
      </w:tr>
    </w:tbl>
    <w:p>
      <w:pPr>
        <w:spacing w:after="0" w:line="200" w:lineRule="exact"/>
        <w:rPr>
          <w:sz w:val="20"/>
          <w:szCs w:val="20"/>
          <w:color w:val="auto"/>
        </w:rPr>
      </w:pPr>
    </w:p>
    <w:p>
      <w:pPr>
        <w:spacing w:after="0" w:line="28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did not approve a stockholder proposal regarding greenhouse gas emission reduction efforts report.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For</w:t>
            </w:r>
          </w:p>
        </w:tc>
        <w:tc>
          <w:tcPr>
            <w:tcW w:w="19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Votes Against</w:t>
            </w:r>
          </w:p>
        </w:tc>
        <w:tc>
          <w:tcPr>
            <w:tcW w:w="1800" w:type="dxa"/>
            <w:vAlign w:val="bottom"/>
          </w:tcPr>
          <w:p>
            <w:pPr>
              <w:spacing w:after="0"/>
              <w:rPr>
                <w:sz w:val="18"/>
                <w:szCs w:val="18"/>
                <w:color w:val="auto"/>
              </w:rPr>
            </w:pPr>
          </w:p>
        </w:tc>
        <w:tc>
          <w:tcPr>
            <w:tcW w:w="18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7"/>
              </w:rPr>
              <w:t>Votes Abstain</w:t>
            </w:r>
          </w:p>
        </w:tc>
        <w:tc>
          <w:tcPr>
            <w:tcW w:w="286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1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80"/>
        </w:trPr>
        <w:tc>
          <w:tcPr>
            <w:tcW w:w="3740" w:type="dxa"/>
            <w:vAlign w:val="bottom"/>
            <w:gridSpan w:val="3"/>
          </w:tcPr>
          <w:p>
            <w:pPr>
              <w:jc w:val="right"/>
              <w:ind w:right="1900"/>
              <w:spacing w:after="0"/>
              <w:rPr>
                <w:sz w:val="20"/>
                <w:szCs w:val="20"/>
                <w:color w:val="auto"/>
              </w:rPr>
            </w:pPr>
            <w:r>
              <w:rPr>
                <w:rFonts w:ascii="Times New Roman" w:cs="Times New Roman" w:eastAsia="Times New Roman" w:hAnsi="Times New Roman"/>
                <w:sz w:val="18"/>
                <w:szCs w:val="18"/>
                <w:color w:val="auto"/>
              </w:rPr>
              <w:t>18,031,051</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90,550,272</w:t>
            </w:r>
          </w:p>
        </w:tc>
        <w:tc>
          <w:tcPr>
            <w:tcW w:w="180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353,155</w:t>
            </w:r>
          </w:p>
        </w:tc>
        <w:tc>
          <w:tcPr>
            <w:tcW w:w="840" w:type="dxa"/>
            <w:vAlign w:val="bottom"/>
          </w:tcPr>
          <w:p>
            <w:pPr>
              <w:spacing w:after="0"/>
              <w:rPr>
                <w:sz w:val="24"/>
                <w:szCs w:val="24"/>
                <w:color w:val="auto"/>
              </w:rPr>
            </w:pPr>
          </w:p>
        </w:tc>
        <w:tc>
          <w:tcPr>
            <w:tcW w:w="2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12,941,125</w:t>
            </w:r>
          </w:p>
        </w:tc>
        <w:tc>
          <w:tcPr>
            <w:tcW w:w="720" w:type="dxa"/>
            <w:vAlign w:val="bottom"/>
          </w:tcPr>
          <w:p>
            <w:pPr>
              <w:spacing w:after="0"/>
              <w:rPr>
                <w:sz w:val="24"/>
                <w:szCs w:val="24"/>
                <w:color w:val="auto"/>
              </w:rPr>
            </w:pPr>
          </w:p>
        </w:tc>
      </w:tr>
      <w:tr>
        <w:trPr>
          <w:trHeight w:val="1303"/>
        </w:trPr>
        <w:tc>
          <w:tcPr>
            <w:tcW w:w="10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798"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000"/>
          </w:cols>
          <w:pgMar w:left="320" w:top="1022" w:right="579" w:bottom="1440" w:gutter="0" w:footer="0" w:header="0"/>
        </w:sect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6343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99.1</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61461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46165" cy="8255"/>
                    </a:xfrm>
                    <a:prstGeom prst="rect">
                      <a:avLst/>
                    </a:prstGeom>
                    <a:noFill/>
                  </pic:spPr>
                </pic:pic>
              </a:graphicData>
            </a:graphic>
          </wp:anchor>
        </w:drawing>
      </w:r>
    </w:p>
    <w:p>
      <w:pPr>
        <w:spacing w:after="0" w:line="88"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19">
        <w:r>
          <w:rPr>
            <w:rFonts w:ascii="Times New Roman" w:cs="Times New Roman" w:eastAsia="Times New Roman" w:hAnsi="Times New Roman"/>
            <w:sz w:val="18"/>
            <w:szCs w:val="18"/>
            <w:u w:val="single" w:color="auto"/>
            <w:color w:val="0000FF"/>
          </w:rPr>
          <w:t xml:space="preserve">2026 Long-Term Incentive Plan </w:t>
        </w:r>
        <w:r>
          <w:rPr>
            <w:rFonts w:ascii="Times New Roman" w:cs="Times New Roman" w:eastAsia="Times New Roman" w:hAnsi="Times New Roman"/>
            <w:sz w:val="18"/>
            <w:szCs w:val="18"/>
            <w:u w:val="single" w:color="auto"/>
            <w:color w:val="0000FF"/>
            <w:highlight w:val="white"/>
          </w:rPr>
          <w:t>(incorporated by reference to Annex 1 to the Company’s Definitive Proxy Statement filed with the</w:t>
        </w:r>
      </w:hyperlink>
      <w:r>
        <w:rPr>
          <w:rFonts w:ascii="Times New Roman" w:cs="Times New Roman" w:eastAsia="Times New Roman" w:hAnsi="Times New Roman"/>
          <w:sz w:val="18"/>
          <w:szCs w:val="18"/>
          <w:u w:val="single" w:color="auto"/>
          <w:color w:val="0000FF"/>
        </w:rPr>
        <w:t xml:space="preserve"> </w:t>
      </w:r>
      <w:hyperlink r:id="rId19">
        <w:r>
          <w:rPr>
            <w:rFonts w:ascii="Times New Roman" w:cs="Times New Roman" w:eastAsia="Times New Roman" w:hAnsi="Times New Roman"/>
            <w:sz w:val="18"/>
            <w:szCs w:val="18"/>
            <w:u w:val="single" w:color="auto"/>
            <w:color w:val="0000FF"/>
          </w:rPr>
          <w:t>SEC on April 3, 2026</w:t>
        </w:r>
        <w:r>
          <w:rPr>
            <w:rFonts w:ascii="Times New Roman" w:cs="Times New Roman" w:eastAsia="Times New Roman" w:hAnsi="Times New Roman"/>
            <w:sz w:val="18"/>
            <w:szCs w:val="18"/>
            <w:u w:val="single" w:color="auto"/>
            <w:color w:val="0000FF"/>
            <w:highlight w:val="white"/>
          </w:rPr>
          <w:t>)</w:t>
        </w:r>
      </w:hyperlink>
    </w:p>
    <w:p>
      <w:pPr>
        <w:spacing w:after="0" w:line="40"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942340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860" w:space="700"/>
            <w:col w:w="9440"/>
          </w:cols>
          <w:pgMar w:left="320" w:top="1022" w:right="57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Solutions, Inc.</w:t>
            </w:r>
          </w:p>
        </w:tc>
      </w:tr>
      <w:tr>
        <w:trPr>
          <w:trHeight w:val="499"/>
        </w:trPr>
        <w:tc>
          <w:tcPr>
            <w:tcW w:w="3440" w:type="dxa"/>
            <w:vAlign w:val="bottom"/>
          </w:tcPr>
          <w:p>
            <w:pPr>
              <w:ind w:left="1620"/>
              <w:spacing w:after="0"/>
              <w:rPr>
                <w:sz w:val="20"/>
                <w:szCs w:val="20"/>
                <w:color w:val="auto"/>
              </w:rPr>
            </w:pPr>
            <w:r>
              <w:rPr>
                <w:rFonts w:ascii="Times New Roman" w:cs="Times New Roman" w:eastAsia="Times New Roman" w:hAnsi="Times New Roman"/>
                <w:sz w:val="18"/>
                <w:szCs w:val="18"/>
                <w:i w:val="1"/>
                <w:iCs w:val="1"/>
                <w:color w:val="auto"/>
              </w:rPr>
              <w:t>May 19, 2026</w:t>
            </w:r>
          </w:p>
        </w:tc>
        <w:tc>
          <w:tcPr>
            <w:tcW w:w="1860" w:type="dxa"/>
            <w:vAlign w:val="bottom"/>
          </w:tcPr>
          <w:p>
            <w:pPr>
              <w:ind w:left="820"/>
              <w:spacing w:after="0"/>
              <w:rPr>
                <w:sz w:val="20"/>
                <w:szCs w:val="20"/>
                <w:color w:val="auto"/>
              </w:rPr>
            </w:pPr>
            <w:r>
              <w:rPr>
                <w:rFonts w:ascii="Times New Roman" w:cs="Times New Roman" w:eastAsia="Times New Roman" w:hAnsi="Times New Roman"/>
                <w:sz w:val="18"/>
                <w:szCs w:val="18"/>
                <w:i w:val="1"/>
                <w:iCs w:val="1"/>
                <w:color w:val="auto"/>
              </w:rPr>
              <w:t>By:</w:t>
            </w:r>
          </w:p>
        </w:tc>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Robert J. Terry</w:t>
            </w:r>
          </w:p>
        </w:tc>
      </w:tr>
      <w:tr>
        <w:trPr>
          <w:trHeight w:val="216"/>
        </w:trPr>
        <w:tc>
          <w:tcPr>
            <w:tcW w:w="3440" w:type="dxa"/>
            <w:vAlign w:val="bottom"/>
          </w:tcPr>
          <w:p>
            <w:pPr>
              <w:spacing w:after="0"/>
              <w:rPr>
                <w:sz w:val="18"/>
                <w:szCs w:val="18"/>
                <w:color w:val="auto"/>
              </w:rPr>
            </w:pPr>
          </w:p>
        </w:tc>
        <w:tc>
          <w:tcPr>
            <w:tcW w:w="1860" w:type="dxa"/>
            <w:vAlign w:val="bottom"/>
          </w:tcPr>
          <w:p>
            <w:pPr>
              <w:ind w:left="820"/>
              <w:spacing w:after="0"/>
              <w:rPr>
                <w:sz w:val="20"/>
                <w:szCs w:val="20"/>
                <w:color w:val="auto"/>
              </w:rPr>
            </w:pPr>
            <w:r>
              <w:rPr>
                <w:rFonts w:ascii="Times New Roman" w:cs="Times New Roman" w:eastAsia="Times New Roman" w:hAnsi="Times New Roman"/>
                <w:sz w:val="18"/>
                <w:szCs w:val="18"/>
                <w:i w:val="1"/>
                <w:iCs w:val="1"/>
                <w:color w:val="auto"/>
              </w:rPr>
              <w:t>Name:</w:t>
            </w: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Robert J. Terry</w:t>
            </w:r>
          </w:p>
        </w:tc>
      </w:tr>
      <w:tr>
        <w:trPr>
          <w:trHeight w:val="236"/>
        </w:trPr>
        <w:tc>
          <w:tcPr>
            <w:tcW w:w="3440" w:type="dxa"/>
            <w:vAlign w:val="bottom"/>
          </w:tcPr>
          <w:p>
            <w:pPr>
              <w:spacing w:after="0"/>
              <w:rPr>
                <w:sz w:val="20"/>
                <w:szCs w:val="20"/>
                <w:color w:val="auto"/>
              </w:rPr>
            </w:pPr>
          </w:p>
        </w:tc>
        <w:tc>
          <w:tcPr>
            <w:tcW w:w="1860" w:type="dxa"/>
            <w:vAlign w:val="bottom"/>
          </w:tcPr>
          <w:p>
            <w:pPr>
              <w:ind w:left="820"/>
              <w:spacing w:after="0"/>
              <w:rPr>
                <w:sz w:val="20"/>
                <w:szCs w:val="20"/>
                <w:color w:val="auto"/>
              </w:rPr>
            </w:pPr>
            <w:r>
              <w:rPr>
                <w:rFonts w:ascii="Times New Roman" w:cs="Times New Roman" w:eastAsia="Times New Roman" w:hAnsi="Times New Roman"/>
                <w:sz w:val="18"/>
                <w:szCs w:val="18"/>
                <w:i w:val="1"/>
                <w:iCs w:val="1"/>
                <w:color w:val="auto"/>
              </w:rPr>
              <w:t>Title:</w:t>
            </w: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Senior Vice President, General Counsel and Secretary</w:t>
            </w:r>
          </w:p>
        </w:tc>
      </w:tr>
      <w:tr>
        <w:trPr>
          <w:trHeight w:val="540"/>
        </w:trPr>
        <w:tc>
          <w:tcPr>
            <w:tcW w:w="34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20"/>
      </w:cols>
      <w:pgMar w:left="320" w:top="98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1."/>
      <w:numFmt w:val="decimal"/>
      <w:start w:val="6"/>
    </w:lvl>
  </w:abstractNum>
  <w:abstractNum w:abstractNumId="7">
    <w:nsid w:val="5BD062C2"/>
    <w:multiLevelType w:val="hybridMultilevel"/>
    <w:lvl w:ilvl="0">
      <w:lvlJc w:val="left"/>
      <w:lvlText w:val="%1."/>
      <w:numFmt w:val="decimal"/>
      <w:start w:val="7"/>
    </w:lvl>
  </w:abstractNum>
  <w:abstractNum w:abstractNumId="8">
    <w:nsid w:val="12200854"/>
    <w:multiLevelType w:val="hybridMultilevel"/>
    <w:lvl w:ilvl="0">
      <w:lvlJc w:val="left"/>
      <w:lvlText w:val="%1."/>
      <w:numFmt w:val="decimal"/>
      <w:start w:val="8"/>
    </w:lvl>
  </w:abstractNum>
  <w:abstractNum w:abstractNumId="9">
    <w:nsid w:val="4DB127F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19" Type="http://schemas.openxmlformats.org/officeDocument/2006/relationships/hyperlink" Target="https://www.sec.gov/ix?doc=/Archives/edgar/data/0000004127/000110465926039476/tm261577-5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2026-05-19T15:10:03Z</dcterms:created>
  <dcterms:modified xsi:type="dcterms:W3CDTF">2026-05-19T15:10:03Z</dcterms:modified>
</cp:coreProperties>
</file>