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517525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474980</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7"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27, 2025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ind w:left="640" w:hanging="308"/>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__________to__________</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74"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4440" w:type="dxa"/>
            <w:vAlign w:val="bottom"/>
          </w:tcPr>
          <w:p>
            <w:pPr>
              <w:jc w:val="center"/>
              <w:ind w:right="85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190"/>
        </w:trPr>
        <w:tc>
          <w:tcPr>
            <w:tcW w:w="4440" w:type="dxa"/>
            <w:vAlign w:val="bottom"/>
          </w:tcPr>
          <w:p>
            <w:pPr>
              <w:jc w:val="center"/>
              <w:ind w:right="85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020" w:type="dxa"/>
            <w:vAlign w:val="bottom"/>
          </w:tcPr>
          <w:p>
            <w:pPr>
              <w:jc w:val="center"/>
              <w:ind w:left="879"/>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442"/>
        </w:trPr>
        <w:tc>
          <w:tcPr>
            <w:tcW w:w="4440" w:type="dxa"/>
            <w:vAlign w:val="bottom"/>
          </w:tcPr>
          <w:p>
            <w:pPr>
              <w:jc w:val="center"/>
              <w:ind w:right="857"/>
              <w:spacing w:after="0"/>
              <w:rPr>
                <w:sz w:val="20"/>
                <w:szCs w:val="20"/>
                <w:color w:val="auto"/>
              </w:rPr>
            </w:pPr>
            <w:r>
              <w:rPr>
                <w:rFonts w:ascii="Times New Roman" w:cs="Times New Roman" w:eastAsia="Times New Roman" w:hAnsi="Times New Roman"/>
                <w:sz w:val="18"/>
                <w:szCs w:val="18"/>
                <w:b w:val="1"/>
                <w:bCs w:val="1"/>
                <w:color w:val="auto"/>
                <w:w w:val="99"/>
              </w:rPr>
              <w:t>5260 California Avenue</w:t>
            </w:r>
          </w:p>
        </w:tc>
        <w:tc>
          <w:tcPr>
            <w:tcW w:w="3020" w:type="dxa"/>
            <w:vAlign w:val="bottom"/>
          </w:tcPr>
          <w:p>
            <w:pPr>
              <w:spacing w:after="0"/>
              <w:rPr>
                <w:sz w:val="24"/>
                <w:szCs w:val="24"/>
                <w:color w:val="auto"/>
              </w:rPr>
            </w:pPr>
          </w:p>
        </w:tc>
      </w:tr>
      <w:tr>
        <w:trPr>
          <w:trHeight w:val="245"/>
        </w:trPr>
        <w:tc>
          <w:tcPr>
            <w:tcW w:w="4440" w:type="dxa"/>
            <w:vAlign w:val="bottom"/>
          </w:tcPr>
          <w:p>
            <w:pPr>
              <w:jc w:val="center"/>
              <w:ind w:right="857"/>
              <w:spacing w:after="0"/>
              <w:rPr>
                <w:sz w:val="20"/>
                <w:szCs w:val="20"/>
                <w:color w:val="auto"/>
              </w:rPr>
            </w:pPr>
            <w:r>
              <w:rPr>
                <w:rFonts w:ascii="Times New Roman" w:cs="Times New Roman" w:eastAsia="Times New Roman" w:hAnsi="Times New Roman"/>
                <w:sz w:val="18"/>
                <w:szCs w:val="18"/>
                <w:b w:val="1"/>
                <w:bCs w:val="1"/>
                <w:color w:val="auto"/>
                <w:w w:val="99"/>
              </w:rPr>
              <w:t>Irvine, California</w:t>
            </w:r>
          </w:p>
        </w:tc>
        <w:tc>
          <w:tcPr>
            <w:tcW w:w="3020" w:type="dxa"/>
            <w:vAlign w:val="bottom"/>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190"/>
        </w:trPr>
        <w:tc>
          <w:tcPr>
            <w:tcW w:w="4440" w:type="dxa"/>
            <w:vAlign w:val="bottom"/>
          </w:tcPr>
          <w:p>
            <w:pPr>
              <w:jc w:val="center"/>
              <w:ind w:right="85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020" w:type="dxa"/>
            <w:vAlign w:val="bottom"/>
          </w:tcPr>
          <w:p>
            <w:pPr>
              <w:jc w:val="center"/>
              <w:ind w:left="879"/>
              <w:spacing w:after="0"/>
              <w:rPr>
                <w:sz w:val="20"/>
                <w:szCs w:val="20"/>
                <w:color w:val="auto"/>
              </w:rPr>
            </w:pPr>
            <w:r>
              <w:rPr>
                <w:rFonts w:ascii="Times New Roman" w:cs="Times New Roman" w:eastAsia="Times New Roman" w:hAnsi="Times New Roman"/>
                <w:sz w:val="14"/>
                <w:szCs w:val="14"/>
                <w:i w:val="1"/>
                <w:iCs w:val="1"/>
                <w:color w:val="auto"/>
              </w:rPr>
              <w:t>(Zip Code)</w:t>
            </w:r>
          </w:p>
        </w:tc>
      </w:tr>
    </w:tbl>
    <w:p>
      <w:pPr>
        <w:spacing w:after="0" w:line="15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(949) 231-3000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23" w:lineRule="exact"/>
        <w:rPr>
          <w:sz w:val="24"/>
          <w:szCs w:val="24"/>
          <w:color w:val="auto"/>
        </w:rPr>
      </w:pPr>
    </w:p>
    <w:tbl>
      <w:tblPr>
        <w:tblLayout w:type="fixed"/>
        <w:tblInd w:w="1100" w:type="dxa"/>
        <w:tblCellMar>
          <w:top w:w="0" w:type="dxa"/>
          <w:left w:w="0" w:type="dxa"/>
          <w:bottom w:w="0" w:type="dxa"/>
          <w:right w:w="0" w:type="dxa"/>
        </w:tblCellMar>
      </w:tblPr>
      <w:tr>
        <w:trPr>
          <w:trHeight w:val="190"/>
        </w:trPr>
        <w:tc>
          <w:tcPr>
            <w:tcW w:w="35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5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27"/>
        </w:trPr>
        <w:tc>
          <w:tcPr>
            <w:tcW w:w="35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22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SWKS</w:t>
            </w:r>
          </w:p>
        </w:tc>
        <w:tc>
          <w:tcPr>
            <w:tcW w:w="32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9"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9"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17"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p>
      <w:pPr>
        <w:ind w:left="180"/>
        <w:spacing w:after="0" w:line="161" w:lineRule="exact"/>
        <w:tabs>
          <w:tab w:leader="none" w:pos="1800" w:val="left"/>
          <w:tab w:leader="none" w:pos="2400" w:val="left"/>
          <w:tab w:leader="none" w:pos="4140" w:val="left"/>
          <w:tab w:leader="none" w:pos="6460" w:val="left"/>
          <w:tab w:leader="none" w:pos="8200" w:val="left"/>
          <w:tab w:leader="none" w:pos="918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31, 2025, the registrant had 148,427,568 shares of common stock, par value $0.25 per share, outstanding.</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SKYWORKS SOLUTIONS, INC.</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 ENDED JUNE 27, 2025</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20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0000FF"/>
              </w:rPr>
              <w:t>PART I. FINANCIAL INFORMATION</w:t>
            </w:r>
          </w:p>
        </w:tc>
        <w:tc>
          <w:tcPr>
            <w:tcW w:w="10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PAGE NO.</w:t>
            </w:r>
          </w:p>
        </w:tc>
        <w:tc>
          <w:tcPr>
            <w:tcW w:w="0" w:type="dxa"/>
            <w:vAlign w:val="bottom"/>
          </w:tcPr>
          <w:p>
            <w:pPr>
              <w:spacing w:after="0"/>
              <w:rPr>
                <w:sz w:val="1"/>
                <w:szCs w:val="1"/>
                <w:color w:val="auto"/>
              </w:rPr>
            </w:pPr>
          </w:p>
        </w:tc>
      </w:tr>
      <w:tr>
        <w:trPr>
          <w:trHeight w:val="131"/>
        </w:trPr>
        <w:tc>
          <w:tcPr>
            <w:tcW w:w="10200" w:type="dxa"/>
            <w:vAlign w:val="bottom"/>
            <w:gridSpan w:val="20"/>
            <w:vMerge w:val="continue"/>
          </w:tcPr>
          <w:p>
            <w:pPr>
              <w:spacing w:after="0"/>
              <w:rPr>
                <w:sz w:val="11"/>
                <w:szCs w:val="11"/>
                <w:color w:val="auto"/>
              </w:rPr>
            </w:pPr>
          </w:p>
        </w:tc>
        <w:tc>
          <w:tcPr>
            <w:tcW w:w="920" w:type="dxa"/>
            <w:vAlign w:val="bottom"/>
            <w:gridSpan w:val="2"/>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20" w:type="dxa"/>
            <w:vAlign w:val="bottom"/>
          </w:tcPr>
          <w:p>
            <w:pPr>
              <w:spacing w:after="0"/>
              <w:rPr>
                <w:sz w:val="24"/>
                <w:szCs w:val="24"/>
                <w:color w:val="auto"/>
              </w:rPr>
            </w:pPr>
          </w:p>
        </w:tc>
        <w:tc>
          <w:tcPr>
            <w:tcW w:w="3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1: FINANCIAL STATEMENTS (UNAUDITED)</w:t>
            </w:r>
          </w:p>
        </w:tc>
        <w:tc>
          <w:tcPr>
            <w:tcW w:w="6820" w:type="dxa"/>
            <w:vAlign w:val="bottom"/>
            <w:gridSpan w:val="8"/>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8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6780" w:type="dxa"/>
            <w:vAlign w:val="bottom"/>
            <w:gridSpan w:val="7"/>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7460" w:type="dxa"/>
            <w:vAlign w:val="bottom"/>
            <w:gridSpan w:val="10"/>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420" w:type="dxa"/>
            <w:vAlign w:val="bottom"/>
            <w:gridSpan w:val="6"/>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2780" w:type="dxa"/>
            <w:vAlign w:val="bottom"/>
            <w:gridSpan w:val="7"/>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360" w:type="dxa"/>
            <w:vAlign w:val="bottom"/>
            <w:gridSpan w:val="10"/>
            <w:shd w:val="clear" w:color="auto" w:fill="0000FF"/>
          </w:tcPr>
          <w:p>
            <w:pPr>
              <w:spacing w:after="0"/>
              <w:rPr>
                <w:sz w:val="2"/>
                <w:szCs w:val="2"/>
                <w:color w:val="auto"/>
              </w:rPr>
            </w:pPr>
          </w:p>
        </w:tc>
        <w:tc>
          <w:tcPr>
            <w:tcW w:w="46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PART II. OTHER INFORMATION</w:t>
            </w:r>
          </w:p>
        </w:tc>
        <w:tc>
          <w:tcPr>
            <w:tcW w:w="80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5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46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5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46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9320" w:type="dxa"/>
            <w:vAlign w:val="bottom"/>
            <w:gridSpan w:val="17"/>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102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of investments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Pension adjustments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1"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206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0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30"/>
        </w:trPr>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r>
      <w:tr>
        <w:trPr>
          <w:trHeight w:val="449"/>
        </w:trPr>
        <w:tc>
          <w:tcPr>
            <w:tcW w:w="20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-779145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-479425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-187960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720" w:space="180"/>
            <w:col w:w="83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6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allowances of $0.9 and $0.9, respectively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23"/>
        </w:trPr>
        <w:tc>
          <w:tcPr>
            <w:tcW w:w="7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25.0 shares authorized, no shares issued</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$0.25 par value: 525.0 shares authorized; 148.4 shares issued and outstanding at</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27, 2025, and 159.9 shares issued and outstanding at September 27, 2024</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0" w:type="dxa"/>
            <w:vAlign w:val="bottom"/>
          </w:tcPr>
          <w:p>
            <w:pPr>
              <w:spacing w:after="0"/>
              <w:rPr>
                <w:sz w:val="1"/>
                <w:szCs w:val="1"/>
                <w:color w:val="auto"/>
              </w:rPr>
            </w:pPr>
          </w:p>
        </w:tc>
      </w:tr>
      <w:tr>
        <w:trPr>
          <w:trHeight w:val="223"/>
        </w:trPr>
        <w:tc>
          <w:tcPr>
            <w:tcW w:w="7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60" w:type="dxa"/>
            <w:vAlign w:val="bottom"/>
          </w:tcPr>
          <w:p>
            <w:pPr>
              <w:spacing w:after="0"/>
              <w:rPr>
                <w:sz w:val="18"/>
                <w:szCs w:val="18"/>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11"/>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and long-term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23"/>
        </w:trPr>
        <w:tc>
          <w:tcPr>
            <w:tcW w:w="7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1,348.6</w:t>
            </w: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Purchased intangibles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7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7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common stock - payroll tax withholdings on equity awards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 - stock repurchase program</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debt</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76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23"/>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23"/>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Incentives paid in common stock</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investing in purchased intangibles, accrued but not paid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investing in capital expenditures, accrued but not paid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180" w:type="dxa"/>
            <w:vAlign w:val="bottom"/>
            <w:tcBorders>
              <w:top w:val="single" w:sz="8" w:color="auto"/>
            </w:tcBorders>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60" w:type="dxa"/>
            <w:vAlign w:val="bottom"/>
            <w:tcBorders>
              <w:top w:val="single" w:sz="8" w:color="auto"/>
            </w:tcBorders>
            <w:gridSpan w:val="3"/>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Par value of</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27,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27,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6,082.4</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6,400.7</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28,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60" w:type="dxa"/>
            <w:vAlign w:val="bottom"/>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27,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29,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29,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60" w:type="dxa"/>
            <w:vAlign w:val="bottom"/>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29,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6,072.6</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6,359.2</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28,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6,084.4</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6,336.4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September 27, 2024, filed with the SEC on November 15, 2024, as amended by Amendment No. 1 to such Annual Report on Form 10-K, filed with the SEC on January 24, 2025 (“2024 10-K”). Certain items in the prior period financial statements have been reclassified to conform to the current period presentation.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closest to September 30. The fiscal year ending on October 3, 2025 consists of 53 weeks (“fiscal 2025”). The fiscal year ended on September 27, 2024 consisted of 52 weeks (“fiscal 2024”). The three and nine months ended June 27, 2025, and June 28, 2024, each consisted of 13 weeks and 39 weeks,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Early adoption is permitted. The Company is currently evaluating the impact of ASU 2023-07 on its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requires disaggregated disclosure of certain expense captions into specified categories in the notes to financial statements on an annual and interim basis. ASU 2024-03 is effective for annual periods beginning after December 15, 2026, and interim periods within annual periods beginning after December 15, 2027, on either a prospective or retrospective basis. Early adoption is permitted. The Company is currently evaluating the impact of ASU 2024-03 on its consolidated financial statements and related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geographic area is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0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Asia-Pacific</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revenue by sales channel is as follows (in millions):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24"/>
                <w:szCs w:val="24"/>
                <w:color w:val="auto"/>
              </w:rPr>
            </w:pPr>
          </w:p>
        </w:tc>
        <w:tc>
          <w:tcPr>
            <w:tcW w:w="290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 from external customers is generated principally from the sale of semiconductor products. Accordingly, the Company considers its product offerings to be similar in nature and therefore not segregated for reporting purposes.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available-for-sale marketable securities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5"/>
          </w:tcPr>
          <w:p>
            <w:pPr>
              <w:ind w:left="12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340" w:type="dxa"/>
            <w:vAlign w:val="bottom"/>
          </w:tcPr>
          <w:p>
            <w:pPr>
              <w:spacing w:after="0"/>
              <w:rPr>
                <w:sz w:val="18"/>
                <w:szCs w:val="18"/>
                <w:color w:val="auto"/>
              </w:rPr>
            </w:pPr>
          </w:p>
        </w:tc>
        <w:tc>
          <w:tcPr>
            <w:tcW w:w="2220" w:type="dxa"/>
            <w:vAlign w:val="bottom"/>
            <w:gridSpan w:val="4"/>
          </w:tcPr>
          <w:p>
            <w:pPr>
              <w:jc w:val="right"/>
              <w:ind w:right="1292"/>
              <w:spacing w:after="0"/>
              <w:rPr>
                <w:sz w:val="20"/>
                <w:szCs w:val="20"/>
                <w:color w:val="auto"/>
              </w:rPr>
            </w:pPr>
            <w:r>
              <w:rPr>
                <w:rFonts w:ascii="Times New Roman" w:cs="Times New Roman" w:eastAsia="Times New Roman" w:hAnsi="Times New Roman"/>
                <w:sz w:val="16"/>
                <w:szCs w:val="16"/>
                <w:b w:val="1"/>
                <w:bCs w:val="1"/>
                <w:color w:val="auto"/>
              </w:rPr>
              <w:t>Noncurrent</w:t>
            </w:r>
          </w:p>
        </w:tc>
      </w:tr>
      <w:tr>
        <w:trPr>
          <w:trHeight w:val="211"/>
        </w:trPr>
        <w:tc>
          <w:tcPr>
            <w:tcW w:w="4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noncurrent available-for-sale marketable securities were within two years or less of issuance of the applicable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gross unrealized gains and losses nor realized gains and losses were material as of June 27, 2025, or September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Recorded at Fair Value on a Recurring Basis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derived from valuation techniques in which one or more significant inputs are unobservable, including assumptions and judgments made by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recorded at fair value on a recurring basis consisted of the following (in millions):</w:t>
      </w:r>
    </w:p>
    <w:p>
      <w:pPr>
        <w:spacing w:after="0" w:line="16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21590</wp:posOffset>
            </wp:positionV>
            <wp:extent cx="4817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4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June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21590</wp:posOffset>
            </wp:positionV>
            <wp:extent cx="23742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21590</wp:posOffset>
            </wp:positionV>
            <wp:extent cx="2383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33" w:lineRule="exact"/>
        <w:rPr>
          <w:sz w:val="20"/>
          <w:szCs w:val="20"/>
          <w:color w:val="auto"/>
        </w:rPr>
      </w:pPr>
    </w:p>
    <w:p>
      <w:pPr>
        <w:sectPr>
          <w:pgSz w:w="11900" w:h="16838" w:orient="portrait"/>
          <w:cols w:equalWidth="0" w:num="2">
            <w:col w:w="7960" w:space="720"/>
            <w:col w:w="256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Treasury and government securities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1,179.6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8"/>
        <w:spacing w:after="0" w:line="282" w:lineRule="auto"/>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included in Levels 1 and 2 consist of money market funds, municipal bonds, corporate bonds and notes, and U.S. Treasury and government securities purchased with less than ninety days until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There were no indicators of impairment identified during the three and nine months ended June 27, 2025. During the three and nine months ended June 28, 2024, the Company recorded impairment charges of $0.7 million and $16.8 million, respectively. The impairment charges for the nine months ended June 28, 2024 primarily related to the abandonment of a previously capitalized in-process research and development (“IPR&amp;D”) project recorded within restructuring, impairment, and other charges.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debt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1"/>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20" w:type="dxa"/>
            <w:vAlign w:val="bottom"/>
          </w:tcPr>
          <w:p>
            <w:pPr>
              <w:spacing w:after="0"/>
              <w:rPr>
                <w:sz w:val="18"/>
                <w:szCs w:val="18"/>
                <w:color w:val="auto"/>
              </w:rPr>
            </w:pPr>
          </w:p>
        </w:tc>
        <w:tc>
          <w:tcPr>
            <w:tcW w:w="3580" w:type="dxa"/>
            <w:vAlign w:val="bottom"/>
            <w:gridSpan w:val="4"/>
          </w:tcPr>
          <w:p>
            <w:pPr>
              <w:jc w:val="right"/>
              <w:ind w:right="113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09"/>
        </w:trPr>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2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 Senior Notes due 2026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r>
      <w:tr>
        <w:trPr>
          <w:trHeight w:val="22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3.00% Senior Notes due 2031</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48"/>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under Senior Notes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millions):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60" w:type="dxa"/>
            <w:vAlign w:val="bottom"/>
          </w:tcPr>
          <w:p>
            <w:pPr>
              <w:spacing w:after="0"/>
              <w:rPr>
                <w:sz w:val="18"/>
                <w:szCs w:val="18"/>
                <w:color w:val="auto"/>
              </w:rPr>
            </w:pPr>
          </w:p>
        </w:tc>
        <w:tc>
          <w:tcPr>
            <w:tcW w:w="15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(in millions):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60" w:type="dxa"/>
            <w:vAlign w:val="bottom"/>
          </w:tcPr>
          <w:p>
            <w:pPr>
              <w:spacing w:after="0"/>
              <w:rPr>
                <w:sz w:val="18"/>
                <w:szCs w:val="18"/>
                <w:color w:val="auto"/>
              </w:rPr>
            </w:pPr>
          </w:p>
        </w:tc>
        <w:tc>
          <w:tcPr>
            <w:tcW w:w="15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0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during the three and nine months ended June 27, 2025.</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tests its goodwill and its indefinite-lived intangible assets for impairment annually as of the first day of its fourth fiscal quarter and in interim periods if certain events occur indicating the carrying value may be impaired. There were no indicators of goodwill and IPR&amp;D impairment noted during the three and nine months ended June 27, 2025. Refer to Note 4 for a discussion of an IPR&amp;D impairment of $16.1 million during the nine months ended June 28, 2024. There were no indicators of IPR&amp;D impairment noted during the three months ended June 28,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8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8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90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280" w:type="dxa"/>
            <w:vAlign w:val="bottom"/>
            <w:tcBorders>
              <w:top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7"/>
              </w:rPr>
              <w:t>6.4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29"/>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licenses</w:t>
            </w: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In-process research and</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w:t>
            </w: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Fully amortized intangible assets are eliminated from both the gross and accumulated amortization amounts in the first quarter of each fiscal year. During the nine months ended June 27, 2025, $24.7 million of IPR&amp;D assets were transferred to definite-lived intangible assets, and are being amortized over their useful lives of 8 years. During the three months ended June 28, 2024, $33.4 million of IPR&amp;D assets were transferred to definite-lived intangible assets, and are being amortized over their useful lives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12 years. During the nine months ended June 28, 2024, $89.1 million of IPR&amp;D assets were transferred to definite-lived intangible assets, of which $33.4 million is being amortized over their useful lives of 12 years and $55.7 million is being amortized over their useful lives of 8 years. Amortization expense related to definite-lived intangible assets was $45.8 million and $139.8 million for the three and nine months ended June 27, 2025, respectively, primarily recorded within cost of goods sold. Amortization expense related to definite-lived intangible assets was $46.0 million and $139.6 million for the three and nine months ended June 28, 2024, respectively, primarily recorded within cost of goods sold.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amortization expense for the next five fiscal years related to definite-lived intangible assets, excluding IPR&amp;D, is expected to be as follows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4"/>
        </w:trPr>
        <w:tc>
          <w:tcPr>
            <w:tcW w:w="3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components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040" w:type="dxa"/>
            <w:vAlign w:val="bottom"/>
            <w:gridSpan w:val="4"/>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6.3 %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7"/>
              </w:rPr>
              <w:t>17.0 %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 and the 21.0% United States federal statutory rate for the three and nine months ended June 27, 2025 and June 28, 2024 resulted primarily from foreign earnings taxed at rates lower than the federal statutory rate, a benefit from foreign-derived intangible income deduction (“FDII”), and research and experimentation and foreign tax credits earned, partially offset by a tax on global intangible low-taxed income (“GILTI”) and tax expense related to share-based compensation shortfalls.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which imposes a corporate alternative minimum tax (“CAMT”) of 15% on corporations with three-year average annual adjusted financial statement income exceeding $1.0 billion. The Company was subject to the provisions of CAMT beginning in fiscal 2024. CAMT had no impact to the Company’s consolidated financial statements during the three and nine months ended June 27, 2025 and June 28, 2024,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Development’s (“OECD”) Inclusive Framework on Base Erosion and Profit Shifting (“BEPS”) released Global Anti-Base Erosion (“GloBE”) rules under Pillar Two. Many countries have implemented laws based on Pillar Two which is effective for the Company beginning in fiscal 2025. Pillar Two did not have a material impact on the Company's consolidated financial statements during the three and nine months ended June 27,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U.S. government enacted the One Big Beautiful Bill Act (“OBBBA”). The OBBBA contains numerous provisions, including the permanent extension or restoration of certain expiring corporate income tax provisions, originally introduced by the Tax Cuts and Jobs Act of 2017, and incremental modifications to the international tax framework. Skyworks is currently evaluating the provisions of the OBBBA and its impact to the Company.</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various lawsuits, claims, and proceedings have been, and may in the future be, instituted or asserted against the Company, including those pertaining to patent infringement, intellectual property, securities litigation, environmental hazards, product liability and warranty, safety and health, employment, and contractual matters.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monitors the status of legal proceedings and other contingencies on an ongoing basis to assess whether loss contingencies should be recognized and disclosed in its financial statements and footnotes. Other than as described below, the Company does not believe there are any pending legal proceedings that are at least reasonably possible to result in a material loss. On June 20, 2025, Denso Corporation filed patent infringement litigation against the Company in the U.S. (United States District Court for the Central District of California) and Japan (Civil Division of the Osaka District Court). Denso alleges that the Company has and is willfully infringing Denso’s U.S. patent (7,758,979) and Japan patent (JP5190841), each relating to piezoelectric thin film. Denso is seeking monetary damages, including enhanced damages, interest, fees and costs, and injunctive relief. While the Company is unable to reasonably estimate a range for the ultimate outcome of these suits, the Company believes it has substantial defenses and intends to vigorously oppose the suits.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matter, the Company is engaged in various legal actions in the normal course of business and, while there can be no assurances, the Company believes the outcome of such pending legal actions will not have, individually or in the aggregate, a material adverse effect on its business or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purchases materials primarily pursuant to individual purchase orders, some of which have underlying master purchase agreements. Some of these purchase commitments are cancelable,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As such, the Company believes that purchase commitments as of any particular date may not be a reliable indicator of future liabilities.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certain minimum purchase commitments under long-term capacity reservation agreements primarily with foundries for the purchase of wafers. Under these agreements, the Company has agreed to pay a combination of refundable deposits and prepayments to the suppliers in exchange for reserved manufacturing production capacity over the term of the agreements. As of June 27, 2025, deposits and prepayments under the long-term capacity reservation agreements were $90.4 million, with $69.4 million recorded within other current assets and $21.0 million recorded within other long-term assets. As of September 27, 2024, deposits and prepayments under the long-term capacity reservation agreements were $167.8 million, with $144.7 million recorded within other current assets and $23.1 million recorded within other long-term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and Retirement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2025, the Board of Directors approved a stock repurchase program (“February 4, 2025 stock repurchase program”), pursuant to which the Company is authorized to repurchase up to $2.0 billion of its common stock from time to time through February 3, 2027, on the open market or in privately negotiated transactions, in compliance with applicable securities laws and other legal requirements. The February 4, 2025 stock repurchase program succeeds in its entirety the stock repurchase program approved by the Board of Directors on January 31, 2023 (“January 31, 2023 stock repurchase program”). The timing and amount of any shares of the Company’s common stock that are repurchased under the February 4, 2025 stock repurchase program will be determined by the Company’s management based on its evaluation of market conditions and other factors. The February 4, 2025 stock repurchase program may be suspended or discontinued at any time. The Company currently expects to fund the February 4, 2025 stock repurchase program using the Company’s working capital.</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27, 2025, the Company repurchased 5.2 million shares of its common stock for $333.4 million (including commissions and excise tax, as applicable), all of which shares were repurchased pursuant to the February 4, 2025 stock repurchase program. During the nine months ended June 27, 2025, the Company repurchased 12.6 million shares of its common stock for $837.7 million (including commissions and excise tax, as applicable), all of which shares were repurchased pursuant to the February 4, 2025 stock repurchase program. As of June 27, 2025, approximately $1.2 billion remained available under the February 4, 2025 stock repurchase program.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three and nine months ended June 28, 2024, the Company repurchased 0.8 million shares of its common stock for $77.4 million (including commissions and excise tax, as applicable), all of which shares were repurchased pursuant to the January 31, 2023 stock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2025, the Company announced that the Board of Directors had declared a cash dividend on the Company’s common stock of $0.71 per share. This dividend is payable on September 16, 2025, to the Company’s stockholders of record as of the close of business on August 26, 2025. Future dividends are subject to declaration by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charged to retained earnings were as follows (in millions,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1"/>
        </w:trPr>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320" w:type="dxa"/>
            <w:vAlign w:val="bottom"/>
          </w:tcPr>
          <w:p>
            <w:pPr>
              <w:spacing w:after="0"/>
              <w:rPr>
                <w:sz w:val="18"/>
                <w:szCs w:val="18"/>
                <w:color w:val="auto"/>
              </w:rPr>
            </w:pPr>
          </w:p>
        </w:tc>
        <w:tc>
          <w:tcPr>
            <w:tcW w:w="3240" w:type="dxa"/>
            <w:vAlign w:val="bottom"/>
            <w:gridSpan w:val="4"/>
          </w:tcPr>
          <w:p>
            <w:pPr>
              <w:jc w:val="right"/>
              <w:ind w:right="101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09"/>
        </w:trPr>
        <w:tc>
          <w:tcPr>
            <w:tcW w:w="40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 Amount</w:t>
            </w:r>
          </w:p>
        </w:tc>
      </w:tr>
      <w:tr>
        <w:trPr>
          <w:trHeight w:val="22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20" w:type="dxa"/>
            <w:vAlign w:val="bottom"/>
            <w:tcBorders>
              <w:top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w:t>
            </w:r>
          </w:p>
        </w:tc>
        <w:tc>
          <w:tcPr>
            <w:tcW w:w="122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0"/>
        </w:trPr>
        <w:tc>
          <w:tcPr>
            <w:tcW w:w="4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share-based compensation expense by line item in the Consolidated Statements of Operations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0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4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00" w:type="dxa"/>
            <w:vAlign w:val="bottom"/>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and nine months ended June 27, 2025, and June 28, 2024,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spacing w:after="0" w:line="21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SUPPLEMENTAL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(in millions):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customer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and other documents we have filed with the SEC contain forward-looking statements within the meaning of Section 27A of the Securities Act of 1933, as amended,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the possible impacts of geopolitical conflicts, tariffs, export controls,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2024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document, the words “we”, “our”, “ours”, “us”, “Skyworks”, and “the Company” refer only to Skyworks Solutions, Inc., and its consolidated subsidiaries and not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June 27, 2025, and June 28,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results of our operations expressed as a percentage of net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20" w:type="dxa"/>
            <w:vAlign w:val="bottom"/>
            <w:gridSpan w:val="3"/>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4700" w:type="dxa"/>
            <w:vAlign w:val="bottom"/>
          </w:tcPr>
          <w:p>
            <w:pPr>
              <w:spacing w:after="0"/>
              <w:rPr>
                <w:sz w:val="18"/>
                <w:szCs w:val="18"/>
                <w:color w:val="auto"/>
              </w:rPr>
            </w:pPr>
          </w:p>
        </w:tc>
        <w:tc>
          <w:tcPr>
            <w:tcW w:w="16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56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Pr>
          <w:p>
            <w:pPr>
              <w:spacing w:after="0"/>
              <w:rPr>
                <w:sz w:val="18"/>
                <w:szCs w:val="18"/>
                <w:color w:val="auto"/>
              </w:rPr>
            </w:pPr>
          </w:p>
        </w:tc>
        <w:tc>
          <w:tcPr>
            <w:tcW w:w="16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56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4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27, 2025, the following key factors contributed to our overall results of operations, financial position, and cash flows:</w:t>
      </w:r>
    </w:p>
    <w:p>
      <w:pPr>
        <w:spacing w:after="0" w:line="252"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to $965.0 million for the three months ended June 27, 2025, as compared to $905.5 million for the corresponding period in fiscal 2024, driven primarily by an increase in demand for our mobile and Wi-Fi products.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ending cash, cash equivalents, and marketable securities balance decreased to $1,336.7 million. The decrease in cash, cash equivalents, and marketable securities during the three months ended June 27, 2025, was primarily due to share repurchases of $330.2 million, dividend payments of $103.9 million, and capital expenditures of $61.4 million, partially offset by cash generated from operations of $314.1 million.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2025, the Board of Directors appointed Robert A. Schriesheim, a current member of the Board, as interim Chief Financial Officer of the Company, effective immediately.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center"/>
              <w:ind w:left="95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left="95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20" w:type="dxa"/>
            <w:vAlign w:val="bottom"/>
            <w:tcBorders>
              <w:bottom w:val="single" w:sz="8" w:color="auto"/>
            </w:tcBorders>
          </w:tcPr>
          <w:p>
            <w:pPr>
              <w:spacing w:after="0"/>
              <w:rPr>
                <w:sz w:val="18"/>
                <w:szCs w:val="18"/>
                <w:color w:val="auto"/>
              </w:rPr>
            </w:pPr>
          </w:p>
        </w:tc>
      </w:tr>
      <w:tr>
        <w:trPr>
          <w:trHeight w:val="21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965.0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2,986.7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 In addition, beginning in the fourth quarter of fiscal 2025, we expect revenues will be negatively impacted by a decrease in market share at a significant customer.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revenue for the three months ended June 27, 2025, as compared with the corresponding period in fiscal 2024, was driven primarily by an increase in demand for our mobile and Wi-Fi products.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revenue for the nine months ended June 27, 2025, as compared with the corresponding period in fiscal 2024, was driven primarily by a decrease in demand for our mobile products partially offset by an increase in demand for our Wi-Fi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8"/>
              </w:rPr>
              <w:t>10.1%</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1,291.0</w:t>
            </w: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41.6 %</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41.3 %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gross profit for the three months ended June 27, 2025, as compared with the corresponding period in fiscal 2024, was primarily the result of higher unit volumes.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gross profit for the nine months ended June 27, 2025, as compared with the corresponding period in fiscal 2024, was primarily the result of unfavorable product mix and lower average selling prices, partially offset by higher unit volumes.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8"/>
              </w:rPr>
              <w:t>24.1%</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20.1%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468.1</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20.7 %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18.8 %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direct personnel costs including share-based compensation expense, costs for pre-production evaluation units and testing of new devices, non-production masks, engineering prototypes, and design tool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and nine months ended June 27, 2025, as compared with the corresponding periods in fiscal 2024, was primarily related to increases in certain headcount-related expenses, including share-based compensation and costs for engineering prototypes as a result of our increased investment in developing new technologies and products.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8"/>
              </w:rPr>
              <w:t>25.4%</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226.7</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9.2 %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and nine months ended June 27, 2025, as compared with the corresponding periods in fiscal 2024, was primarily related to increases in headcount-related expenses and increases in professional services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6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20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6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6"/>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consistent for the three and nine months ended June 27, 2025, as compared with the corresponding periods in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Impairment, and Other Charges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8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157"/>
        </w:trPr>
        <w:tc>
          <w:tcPr>
            <w:tcW w:w="3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Restructuring, impairment, and other</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17.5</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0.2 %</w:t>
            </w:r>
          </w:p>
        </w:tc>
        <w:tc>
          <w:tcPr>
            <w:tcW w:w="360" w:type="dxa"/>
            <w:vAlign w:val="bottom"/>
          </w:tcPr>
          <w:p>
            <w:pPr>
              <w:spacing w:after="0"/>
              <w:rPr>
                <w:sz w:val="20"/>
                <w:szCs w:val="20"/>
                <w:color w:val="auto"/>
              </w:rPr>
            </w:pPr>
          </w:p>
        </w:tc>
        <w:tc>
          <w:tcPr>
            <w:tcW w:w="12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0.2 %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0.8 %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impairment, and other charges were consistent for the three months ended June 27, 2025, as compared with the corresponding period in fiscal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restructuring, impairment, and other charges for the nine months ended June 27, 2025, as compared with the corresponding period in fiscal 2024, was primarily due to restructuring charges incurred in connection with the transition of our Chief Executive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8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8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7"/>
              </w:rPr>
              <w:t>6.6</w:t>
            </w:r>
          </w:p>
        </w:tc>
        <w:tc>
          <w:tcPr>
            <w:tcW w:w="118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6"/>
              </w:rPr>
              <w:t>—%</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18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23.8</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0.7 %</w:t>
            </w:r>
          </w:p>
        </w:tc>
        <w:tc>
          <w:tcPr>
            <w:tcW w:w="360" w:type="dxa"/>
            <w:vAlign w:val="bottom"/>
          </w:tcPr>
          <w:p>
            <w:pPr>
              <w:spacing w:after="0"/>
              <w:rPr>
                <w:sz w:val="20"/>
                <w:szCs w:val="20"/>
                <w:color w:val="auto"/>
              </w:rPr>
            </w:pPr>
          </w:p>
        </w:tc>
        <w:tc>
          <w:tcPr>
            <w:tcW w:w="12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0.7 %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0.7 %</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consistent for the three months ended June 27, 2025, as compared with the corresponding period in fiscal 2024.</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nine months ended June 27, 2025, as compared with the corresponding period in fiscal 2024, was due to certain debt repayments in prior periods that reduced the amount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7"/>
              </w:rPr>
              <w:t>8.0</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(16.7)%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50.8%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23.8</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0.8 %</w:t>
            </w:r>
          </w:p>
        </w:tc>
        <w:tc>
          <w:tcPr>
            <w:tcW w:w="340" w:type="dxa"/>
            <w:vAlign w:val="bottom"/>
          </w:tcPr>
          <w:p>
            <w:pPr>
              <w:spacing w:after="0"/>
              <w:rPr>
                <w:sz w:val="20"/>
                <w:szCs w:val="20"/>
                <w:color w:val="auto"/>
              </w:rPr>
            </w:pPr>
          </w:p>
        </w:tc>
        <w:tc>
          <w:tcPr>
            <w:tcW w:w="12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the three months ended June 27, 2025, as compared with the corresponding period in fiscal 2024, was primarily due to an increase in foreign currency remeasurement losses partially offset by interest income generated from cash, cash equivalents, and marketable securities.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for the nine months ended June 27, 2025, as compared with the corresponding period in fiscal 2024, was primarily due to an increase in interest income generated from cash, cash equivalents,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7"/>
              </w:rPr>
              <w:t>7.0</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(44.0)%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62.4%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42.5</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0.7 %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2.3 %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 provision for income taxes of $7.0 million and $69.0 million for the three and nine months ended June 27, 2025, respectively.</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income tax expense for the three months ended June 27, 2025, as compared with the corresponding period in fiscal 2024, was primarily due to the geographical mix of worldwide earnings and a decrease in Global Intangible Low-Taxed Income (“GILTI”), net of foreign tax credits.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income tax expense for the nine months ended June 27, 2025, as compared with the corresponding period in fiscal 2024, was primarily due to higher foreign taxes including the tax impact of remeasuring existing net deferred tax liabilities in Singapore and a lower Foreign-Derived Intangible Income (“FDII”) benefit, partially offset by a decrease in GILTI, net of foreign tax credits.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monitor changes in tax laws that could arise related to the BEPS project of the OECD, including Pillar Two. Many countries have implemented laws based on Pillar Two which is effective for us beginning in fiscal 2025. While we do not expect these enacted laws to materially impact our effective tax rate for fiscal 2025, we continue to evaluate the impact of proposed and enacted legislative changes to our effective tax rate as new guidance becomes available. We are also in the process of evaluating the impact of the OBBBA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24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for the period adjusted for certain non-cash items and changes in certain operating assets and liabilities. The $247.8 million decrease in cash provided by operating activities during the nine months ended June 27, 2025, as compared with the corresponding period in fiscal 2024, was primarily related to lower net income and a smaller decrease in working capital of $92.4 million, due primarily to inventory and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consists primarily of cash paid to purchase marketable securities, capital expenditures, and cash paid to acquire intangible assets, partially offset by cash received related to the sale or maturity of marketable securities. The $18.4 million increase in cash used in investing activities during the nine months ended June 27, 2025, as compared with the corresponding period in fiscal 2024, was primarily related to an increase of $390.2 million in purchases of marketable securities and an increase of $64.8 million in capital expenditures, partially offset by an increase of $448.6 million in the sale or maturity of marketable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consists primarily of cash transactions related to equity and proceeds and payments related to our long-term borrowings. The $461.1 million increase in cash used in financing activities during the nine months ended June 27, 2025, as compared with the corresponding period in fiscal 2024, was primarily related to an increase of $752.9 million in share repurchases, partially offset by a decrease of $300.0 million for the repayment of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cash equivalents, and marketable securities totaled $1,336.7 million as of June 27, 2025, representing a decrease of $237.4 million from September 27,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$500.0 million of Notes Due 2026 and $500.0 million of Notes Due 2031 (the “Notes”). We have a Revolving Credit Agreement (the “Revolving Credit Agreement”) under which we may borrow up to $750.0 million for general corporate purposes and working capital needs of the Company and its subsidiaries. As of June 27, 2025, there were no borrowings outstanding under the revolving credit facility (the “Revolver”). The Revolving Credit Agreement expires July 26, 2026.</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share repurchases, outstanding commitments, and other liquidity requirements associated with existing operations. However, we cannot be certain that our cash, cash equivalents, and marketable securities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invested cash balances primarily consist of highly liquid marketable securities that are available to meet near-term cash requirements including: money market funds, U.S. Treasury and government securities, corporate bonds and notes, and municipal bonds.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disclosure in the 2024 10-K has not materially changed since we filed that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overall financial market risks, such as changes in market liquidity, credit quality, investment risk, interest rate risk, and foreign exchange rate risk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interest rate and general market risks relates to our investment portfolio. Our investment portfolio consists of cash and cash equivalents (money market funds, corporate bonds and notes, and U.S. Treasury and government securities purchased with less than ninety days until maturity) that total approximately $1,185.9 million, and marketable securities (U.S. Treasury and government securities, corporate bonds and notes, and municipal bonds) of approximately $132.0 million and $18.8 million within short-term and long-term marketable securities, respectively, as of June 27,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have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results of operations for the three and nine months ended June 27, 2025, a hypothetical reduction in the interest rates on our cash, cash equivalents, and other investments of 100 basis points would result in an immaterial reduction of interest income with a de minimis impact on income before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investment or interest rate risks currently pose material exposures to our business or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three and nine months ended June 27, 2025 and June 28, 2024, we had not entered into any outstanding foreign currency forward or options contracts with financial institutions.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interim chief financial officer, evaluated the effectiveness of our disclosure controls and procedures as of June 27,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June 27, 2025, our chief executive officer and interim chief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changes to our internal control over financial reporting (as defined in Rules 13a-15(f) and 15d-15(f) of the Exchange Act) that occurred during the third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9 of the Notes to Consolidated Financial Statements for a detailed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risk factors set forth below and the other information set forth in this Quarterly Report on Form 10-Q, you should carefully consider the factors discussed in Part I, Item 1A Risk Factors in the 2024 10-K, which could materially affect our business, financial condition, or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risks of doing business internationally apply to all aspects of our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significant revenues from customers located outside the United States, primarily in countries located in the Asia-Pacific region and Europe. We have suppliers located outside the United States, including third-party packaging, assembly, and test facilities and semiconductor foundries located in the Asia-Pacific region. We also operate our own wafer processing facilities in Osaka, Japan, as well as packaging, assembly, and test facilities in Singapore and in Mexicali, Mexico. Our international sales and operations are subject to a number of risks inherent in selling and operating in multiple jurisdictions. These include, but are not limited to, risks regarding:</w:t>
      </w:r>
    </w:p>
    <w:p>
      <w:pPr>
        <w:spacing w:after="0" w:line="7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 or economic downturn globally or in the jurisdictions in which we do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 including increases or decreases in commodities prices related to such fluctuations,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deflation, as well as changes in existing and expected rates of inflation or deflation, which may vary across the jurisdictions in which we do business,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as well as changes in existing and expected interest rates, which may vary across the jurisdictions in which we do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regional, and local economic and political conditions, including, but not limited to, social, economic, political, and supply chain instability related to the uncertainty regarding the relationships among the United States, China, Taiwan, Russia, Mexico, North Korea, Israel, other Middle Eastern countries, Japan, Singapore, Canada, and potentially other foreign countries, and the international community at large, as well as related to armed conflicts, such as the conflict between Russia and Ukraine and the conflicts in Israel and the Middle Eastern region, that exist, or in the future could exist, in various jurisdictions around the world,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or changes to tariffs, including the tariffs announced by the United States in the spring and summer of 2025 with respect to numerous global trading partners, which are in addition to the tariffs announced in February 2025 with respect to Canada, China and Mexico, and any retaliatory tariffs or measures by any such trading partners, including countermeasures by China announced in February 2025 and April 2025, have impacted and could further negatively impact trade between, or increase the cost of operating in, or increase the cost of or negatively impact the demand for our products or our customers’ products in, the countries in which we or our customers do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restrictive or punitive governmental actions (such as restrictions on transfer of funds, restrictions on individuals’ movement, including travel restrictions, quarantines, lockdowns, and curfews, trade protection measures, including export duties, quotas, customs duties, border taxes, border closures, increased import or export controls, export licenses, and restrictions on the purchase of products made or containing technology or components from certain companies or from companies located in certain jurisdictions), or actions by non-governmental individuals and groups (such as protests, boycotts, insurgencies, organized crime, and general civil unrest), that could negatively impact trade between, or increase the cost of operating in, the countries in which we do business,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or failure to collect, accounts receivable, as well as longer collection periods,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non-compliance with, legal or regulatory import/export requirements, including restrictions on selling to certain customers or into certain jurisdictions,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severe weather events, including, but not limited to, earthquakes, wildfires, droughts, hurricanes, tsunamis, floods, rising sea levels, as well as other impacts of climate change,</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widespread illness, the effects of global health crises on business conditions in our industry or in the jurisdictions in which we do business, or other deterioration of public health conditions, and war,</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other unauthorized transfers of our information and breaches of our information systems, as well as the potential lack of adequate remedies or enforcement mechanisms in certain jurisdictions,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engaging distribution partners or obtaining sales or other business support in certain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government actions, subsidies, or policies aimed at supporting local industry,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policies of the United States and other countries affecting trade, foreign investment and loans, foreign travel, and import or export licensing requirements, including, but not limited to, prohibitions on certain trade and other activities in China, Russia, Belarus, and portions of Ukraine,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renegotiation of, existing trade agreements by the United States (or other jurisdictions) potentially affecting Mexico, China, Canada, and other countries in which we do business,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tax law or regulations or new interpretations thereof, by federal or state agencies or foreign governments,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effective tax rate as a result of our overall profitability and mix of earnings in countries with differing statutory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audits and examination of previously filed tax returns,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or enforce our intellectual property rights in a particular foreign jurisdiction.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intellectual property, sustainability, internal and disclosure control obligations, securities regulation, competition, data privacy and protection, employment, and labor relations. Violations of one or more of these legal regimes’ laws and regulations in the conduct of our business could result in significant fines, penalties, or monetary damages, criminal sanctions against us or our officers, prohibitions on doing business, unfavorable publicity and other reputational damage, restrictions on our ability to process information, and allegations by our counterparties that we have not performed our contractual obligations.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our and our customers and suppliers doing business in China.</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Demand from Chinese customers may be adversely affected by China’s evolving laws and regulations, including those relating to taxation, import and export tariffs and restrictions, currency controls, environmental regulations, privacy and information 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economic environment, governmental policies, United States-China relations, or China-Taiwan relations could result in revisions to laws or regulations or their interpretation and enforcement, exposure of our intellectual property, increased taxation, restrictions on imports, import duties, or currency revaluations, any of which could have an adverse effect on our business plans and operating results. In particular, the imposition by the United States of new tariffs, including the tariffs announced in February and April 2025, on goods imported from China, or deemed to be of Chinese origin, and other government actions that restrict our ability to sell our products to Chinese customers or to manufacture or source components in China, and countermeasures imposed by China in response, including the countermeasures announced in February 2025 and April 2025, could directly or indirectly adversely impact our manufacturing costs, the availability and cost of materials, including gallium, germanium, antimony, tungsten, molybdenum, scandium, and rare earth metals, and the sales of our products in China, the United States and elsewhere. Such actions, including any threatened or actual tariffs and retaliatory measures, could also increase the prices of or negatively impact the demand for our customers’ products, which could negatively impact the sales of our products to those customers. In addition, the U.S. government has expanded export restrictions, and might continue expanding export restrictions, including by adding certain Chinese entities to the U.S. Bureau of Industry and Security’s Entity List (“Entity List”) or other entity lists, which has limited, and could in the future limit, our ability to sell to certain of those entities and to third parties that do business with those entities. These restrictions have negatively impacted, and may continue to negatively impact, sales of our products. In the future, we may be prevented from shipping, or be required to obtain a license to ship, our products to certain customers if they are added to the Entity List. In addition, geopolitical changes in China-Taiwan relations could disrupt the operations of several companies in Taiwan that are suppliers to, or third-party partners of, the Company, our customers, and our customers’ other suppliers. Disruption of certain critical operations in Taiwan would adversely affect our ability to manufacture certain products and would likely have substantial negative effects on the entire semiconductor industry.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of litigation and disputes, including relating to warranty claims, product recalls, and other liability claims.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defense, and medical markets. The potential liabilities associated with these and similar provisions in certain of our customer contracts are in some cases capped at significant amounts, and in other cases are uncapped. In addition, because our customers typically integrate our products into other devices, and because we typically do not have a direct relationship with the end customers of our products, our products may be used in applications for which they were not necessarily designed or tested, and they may not 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insurance programs. In addition, in the event we are unable to fulfill our contractual obligations, lawsuits may be threatened or filed against us by customers or other third parties. Furthermore, force majeure clauses in our contracts could limit our ability to pursue remedies for certain third-party disruptions and delays. From time to time, we have been, and may become involved in litigation with customers, suppliers, competitors, government or regulatory agencies, shareholders, employees, or other parties. We are the plaintiff in some of these actions and the defendant in others. Such actions could result in the imposition of various remedies such as injunctions or monetary damages, which if awarded could materially and adversely harm our business, subject us to substantial defense costs and expenses, and divert resources and the attention of management from our business. For example, on March 4, 2025, the Company and certain current and former officers were named in a putative class action lawsuit filed in the United States District Court for the Central District of California. The complaint alleges violations of federal securities laws arising out of alleged misstatements or omissions by the defendants during the alleged class period and seeks, among other things, damages and attorneys’ fees and costs on behalf of the putative class. Following the aforementioned putative class action lawsuit, in April 2025, the Company and certain of its directors and officers were named in two derivative action lawsuits filed in the United States District Court for the Central District of California. Each of the derivative actions was brought on behalf of the Company by a putative stockholder alleging, among other things, breaches of fiduciary duties and violations of federal securities laws. The complaints seek, among other things, damages and attorneys’ fees and costs. In addition, from time to time, we are, and may become, the subject of inquiries, requests for information, or investigations by government and regulatory agencies regarding our business. Any such matters, regardless of their merit or resolution, could be costly and divert the efforts and attention of our management, damage our reputation, or otherwise adversely affect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manufacturing processes are extremely complex, specialized, and subject to disruption.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 Additionally, our operations may be affected by lengthy or recurring disruptions of operations at any of our production facilities, as well as disruptions at facilities operated by our subcontractors or customers. These disruptions may result from electrical power outages or fluctuations, water shortages, fire, earthquake, flooding, war, acts of terrorism, health advisories or risks, or other natural or man-made disasters, outages or disruptions to our information technology infrastructure, including those portions provided by third parties, as well as equipment or software maintenance, repairs, updates,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could lead to underutilized manufacturing facilities, which could negatively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key facilities include, but are not limited to, our semiconductor wafer fabrication facilities in Newbury Park, California, and Woburn, Massachusetts; our SAW, TC-SAW, and BAW filter wafer processing facilities in Osaka, Japan; and our packaging, assembly and test facilities in Mexicali, Mexico, and in Singapore for filters (“Singapore Filter Manufacturing Facility”). Several of our key facilities are leased or subleased. If we are unable to renew existing leases or subleases on terms acceptable to us, we may be required to relocate our affected operations. We operate under a sublease for our Singapore Filter Manufacturing Facility that expires in July 2030. Because the owner of the site for our Singapore Filter Manufacturing Facility has decided to redevelop it for other uses, we will need to relocate our Singapore Filter Manufacturing Facility by the end of the sublease, and we have been exploring alternative sites in other locations. Relocation would be complex and could require, among other things, the transfer of equipment and process nodes and qualification of new or transferred production lines. In addition, we recently took action to optimize our U.S. factory footprint by planning for the closure of our wafer fabrication manufacturing facility in Woburn, Massachusetts and the consolidation of such manufacturing into Newbury Park, California. These activities or any other relocation, closure or consolidation of facilities could result in disruptions to our business, including potential production interruptions or delays, quality problems, difficulties forecasting our production capabilities, challenges retaining employees or hiring new employees, and the incurrence of significant capital and other expenses, which could have a material adverse effect on our financial condition, results of operations or cash flow. In addition, we may not be able to optimize our factory footprint and achieve any financial and operational benefits of such efforts, including reducing our fixed cost base, improving utilization rates, increasing gross margins, and improving overall efficiency, which could have a material adverse effect on our financial condition, results of operations or cash flow.</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maintain insurance coverage to mitigate business continuity risks, among other risks, such coverage may be insufficient to cover all losses or all types of claims that may arise. 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senior management transitions are not successful, our business and future growth prospects could be harmed.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recently implemented three senior management transitions. On February 17, 2025, Philip Brace began to serve as our Chief Executive Officer. On May 29, 2025, Robert Schriesheim began to serve as our interim Chief Financial Officer. On June 2, 2025, Todd Lepinski began to serve as our Senior Vice President, Sales and Marketing. Any significant leadership change involves inherent risks, including potential disruptions to our operations or relationships with customers, suppliers, and key employees, and can be inherently difficult to implement. If our recent senior management transitions are not successful for any reason, our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common stock made during the three months ended June 27,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60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of Publicly Announced Plans or Programs Approximate Dollar Value of Shares that May Yet Be</w:t>
            </w:r>
          </w:p>
        </w:tc>
        <w:tc>
          <w:tcPr>
            <w:tcW w:w="0" w:type="dxa"/>
            <w:vAlign w:val="bottom"/>
          </w:tcPr>
          <w:p>
            <w:pPr>
              <w:spacing w:after="0"/>
              <w:rPr>
                <w:sz w:val="1"/>
                <w:szCs w:val="1"/>
                <w:color w:val="auto"/>
              </w:rPr>
            </w:pPr>
          </w:p>
        </w:tc>
      </w:tr>
      <w:tr>
        <w:trPr>
          <w:trHeight w:val="198"/>
        </w:trPr>
        <w:tc>
          <w:tcPr>
            <w:tcW w:w="20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 Programs (1) (2)</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03/29/25 - 04/25/25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2,697,935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$58.06</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2,697,176</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 billion</w:t>
            </w: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04/26/25 - 05/23/25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2,412,786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$69.36</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2,399,397</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 billion</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05/24/25 - 06/27/25</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200,876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$69.42</w:t>
            </w:r>
          </w:p>
        </w:tc>
        <w:tc>
          <w:tcPr>
            <w:tcW w:w="2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 billion</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5,311,597</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5,246,573</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57" w:lineRule="auto"/>
        <w:tabs>
          <w:tab w:leader="none" w:pos="2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repurchase program approved by the Board of Directors on February 4, 2025 authorized the repurchase of up to $2.0 billion of our common stock from time to time on the open market or in privately negotiated transactions, in compliance with applicable securities laws and other legal requirements, and expires on February 3, 2027.</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share repurchases are subject to a 1% excise tax under the Inflation Reduction Act. Excise tax incurred reduces the amount available under the repurchase program, as applicable, and is included in the cost of shares repurchased in the Consolidated Statement of Stockholders’ Equity.</w:t>
      </w:r>
    </w:p>
    <w:p>
      <w:pPr>
        <w:spacing w:after="0" w:line="1" w:lineRule="exact"/>
        <w:rPr>
          <w:rFonts w:ascii="Times New Roman" w:cs="Times New Roman" w:eastAsia="Times New Roman" w:hAnsi="Times New Roman"/>
          <w:sz w:val="18"/>
          <w:szCs w:val="18"/>
          <w:color w:val="auto"/>
        </w:rPr>
      </w:pPr>
    </w:p>
    <w:p>
      <w:pPr>
        <w:jc w:val="both"/>
        <w:ind w:right="20" w:firstLine="8"/>
        <w:spacing w:after="0" w:line="250"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2,697,176 shares were repurchased at an average price of $58.06 per share as part of our February 4, 2025 stock repurchase program, and 759 shares were repurchased by us at the fair market value of the common stock as of the applicable purchase date, in connection with the satisfaction of tax withholding obligations under equity award agreements with an average price of $53.38 per share.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2,399,397 shares were repurchased at an average price of $69.35 per share as part of our February 4, 2025 stock repurchase program, and 13,389 shares were repurchased by us at the fair market value of the common stock as of the applicable purchase date, in connection with the satisfaction of tax withholding obligations under equity award agreements with an average price of $72.28 per share.</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shares were repurchased at an average price of $69.58 per share as part of our February 4, 2025 stock repurchase program, and 50,876 shares were repurchased by us at the fair market value of the common stock as of the applicable purchase date, in connection with the satisfaction of tax withholding obligations under equity award agreements with an average price of $68.95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gridSpan w:val="4"/>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20" w:type="dxa"/>
            <w:vAlign w:val="bottom"/>
            <w:gridSpan w:val="1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0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   Filed Herewith</w:t>
            </w:r>
          </w:p>
        </w:tc>
        <w:tc>
          <w:tcPr>
            <w:tcW w:w="0" w:type="dxa"/>
            <w:vAlign w:val="bottom"/>
          </w:tcPr>
          <w:p>
            <w:pPr>
              <w:spacing w:after="0"/>
              <w:rPr>
                <w:sz w:val="1"/>
                <w:szCs w:val="1"/>
                <w:color w:val="auto"/>
              </w:rPr>
            </w:pPr>
          </w:p>
        </w:tc>
      </w:tr>
      <w:tr>
        <w:trPr>
          <w:trHeight w:val="27"/>
        </w:trPr>
        <w:tc>
          <w:tcPr>
            <w:tcW w:w="580" w:type="dxa"/>
            <w:vAlign w:val="bottom"/>
            <w:tcBorders>
              <w:right w:val="single" w:sz="8" w:color="auto"/>
            </w:tcBorders>
            <w:gridSpan w:val="3"/>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40" w:type="dxa"/>
            <w:vAlign w:val="bottom"/>
          </w:tcPr>
          <w:p>
            <w:pPr>
              <w:spacing w:after="0"/>
              <w:rPr>
                <w:sz w:val="24"/>
                <w:szCs w:val="24"/>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Restated Certificate of Incorporation, as amended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440" w:type="dxa"/>
            <w:vAlign w:val="bottom"/>
          </w:tcPr>
          <w:p>
            <w:pPr>
              <w:spacing w:after="0"/>
              <w:rPr>
                <w:sz w:val="22"/>
                <w:szCs w:val="22"/>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Offer Letter, dated May 29, 2025, by and between Skyworks</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Solutions, Inc. and Robert Schriesheim</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440" w:type="dxa"/>
            <w:vAlign w:val="bottom"/>
          </w:tcPr>
          <w:p>
            <w:pPr>
              <w:spacing w:after="0"/>
              <w:rPr>
                <w:sz w:val="24"/>
                <w:szCs w:val="24"/>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Restricted Stock Unit Agreement for Robert A. Schriesheim</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40" w:type="dxa"/>
            <w:vAlign w:val="bottom"/>
          </w:tcPr>
          <w:p>
            <w:pPr>
              <w:spacing w:after="0"/>
              <w:rPr>
                <w:sz w:val="22"/>
                <w:szCs w:val="22"/>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8"/>
              </w:rPr>
              <w:t>to Securities Exchange Act of 1934, as amended, Rules 13a-14(a)</w:t>
            </w: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0000FF"/>
              </w:rPr>
              <w:t>-</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8"/>
              </w:rPr>
              <w:t>and 15d-14(a), as adopted pursuant to Section 302 of the Sarbanes</w:t>
            </w:r>
          </w:p>
        </w:tc>
        <w:tc>
          <w:tcPr>
            <w:tcW w:w="2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80" w:type="dxa"/>
            <w:vAlign w:val="bottom"/>
            <w:tcBorders>
              <w:top w:val="single" w:sz="8" w:color="0000FF"/>
            </w:tcBorders>
            <w:gridSpan w:val="13"/>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40" w:type="dxa"/>
            <w:vAlign w:val="bottom"/>
          </w:tcPr>
          <w:p>
            <w:pPr>
              <w:spacing w:after="0"/>
              <w:rPr>
                <w:sz w:val="22"/>
                <w:szCs w:val="22"/>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Securities Exchange Act of 1934, as amended, Rules 13a-14(a)</w:t>
            </w:r>
          </w:p>
        </w:tc>
        <w:tc>
          <w:tcPr>
            <w:tcW w:w="260" w:type="dxa"/>
            <w:vAlign w:val="bottom"/>
            <w:tcBorders>
              <w:top w:val="single" w:sz="8" w:color="0000FF"/>
            </w:tcBorders>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and 15d-14(a), as adopted pursuant to Section 302 of the Sarbanes-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80" w:type="dxa"/>
            <w:vAlign w:val="bottom"/>
            <w:tcBorders>
              <w:top w:val="single" w:sz="8" w:color="0000FF"/>
            </w:tcBorders>
            <w:gridSpan w:val="13"/>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40" w:type="dxa"/>
            <w:vAlign w:val="bottom"/>
          </w:tcPr>
          <w:p>
            <w:pPr>
              <w:spacing w:after="0"/>
              <w:rPr>
                <w:sz w:val="22"/>
                <w:szCs w:val="22"/>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to 18 U.S.C. Section 1350, as adopted pursuant to Section 906 of</w:t>
            </w: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40" w:type="dxa"/>
            <w:vAlign w:val="bottom"/>
          </w:tcPr>
          <w:p>
            <w:pPr>
              <w:spacing w:after="0"/>
              <w:rPr>
                <w:sz w:val="22"/>
                <w:szCs w:val="22"/>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 906 of the</w:t>
            </w: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4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4"/>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96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101.INS</w:t>
            </w: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2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101.SCH</w:t>
            </w: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101.CAL</w:t>
            </w: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101.DEF</w:t>
            </w: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3"/>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101.LAB</w:t>
            </w: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101.PRE</w:t>
            </w: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380" w:right="5120" w:hanging="825"/>
        <w:spacing w:after="0" w:line="231"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52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Philip G. Brace</w:t>
            </w:r>
          </w:p>
        </w:tc>
        <w:tc>
          <w:tcPr>
            <w:tcW w:w="3100" w:type="dxa"/>
            <w:vAlign w:val="bottom"/>
            <w:tcBorders>
              <w:bottom w:val="single" w:sz="8" w:color="auto"/>
            </w:tcBorders>
          </w:tcPr>
          <w:p>
            <w:pPr>
              <w:spacing w:after="0"/>
              <w:rPr>
                <w:sz w:val="24"/>
                <w:szCs w:val="24"/>
                <w:color w:val="auto"/>
              </w:rPr>
            </w:pP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G. Brace</w:t>
            </w:r>
          </w:p>
        </w:tc>
      </w:tr>
      <w:tr>
        <w:trPr>
          <w:trHeight w:val="229"/>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7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Robert A. Schriesheim</w:t>
            </w: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A. Schriesheim</w:t>
            </w:r>
          </w:p>
        </w:tc>
      </w:tr>
      <w:tr>
        <w:trPr>
          <w:trHeight w:val="229"/>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918"/>
        </w:trPr>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w:t>
            </w:r>
          </w:p>
        </w:tc>
        <w:tc>
          <w:tcPr>
            <w:tcW w:w="310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SKYWORKS SOLUTIONS, INC.</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Skyworks Solutions, Inc., a corporation duly organized and existing under the General Corporation Law of the State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(the “Corporation”), does hereby certify:</w:t>
      </w:r>
    </w:p>
    <w:p>
      <w:pPr>
        <w:spacing w:after="0" w:line="22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The name under which the Corporation was originally incorporated is Alpha Microwave, Inc., and the date of filing the original certificate of incorporation of the Corporation with the Secretary of State of the State of Delaware is September 10, 1962. The certificate of incorporation was most recently amended and restated on June 25, 2002 (as further amended, including most recently on May 11, 2023, the “Prior Certificate of Incorporation”).</w:t>
      </w:r>
    </w:p>
    <w:p>
      <w:pPr>
        <w:spacing w:after="0" w:line="203"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The provisions of the Prior Certificate of Incorporation are hereby restated and integrated into a single instrument which is hereinafter set forth, and which is entitled Restated Certificate of Incorporation of Skyworks Solutions, Inc. (the “Restated Certificate of Incorporation”), without any further amendments and without any discrepancy between the provisions of the Prior Certificate of Incorporation and the provisions of the said instrument hereinafter set forth.</w:t>
      </w:r>
    </w:p>
    <w:p>
      <w:pPr>
        <w:spacing w:after="0" w:line="220" w:lineRule="exact"/>
        <w:rPr>
          <w:sz w:val="20"/>
          <w:szCs w:val="20"/>
          <w:color w:val="auto"/>
        </w:rPr>
      </w:pPr>
    </w:p>
    <w:p>
      <w:pPr>
        <w:ind w:right="860" w:firstLine="648"/>
        <w:spacing w:after="0" w:line="271" w:lineRule="auto"/>
        <w:rPr>
          <w:sz w:val="20"/>
          <w:szCs w:val="20"/>
          <w:color w:val="auto"/>
        </w:rPr>
      </w:pPr>
      <w:r>
        <w:rPr>
          <w:rFonts w:ascii="Times New Roman" w:cs="Times New Roman" w:eastAsia="Times New Roman" w:hAnsi="Times New Roman"/>
          <w:sz w:val="22"/>
          <w:szCs w:val="22"/>
          <w:color w:val="auto"/>
        </w:rPr>
        <w:t>The Restated Certificate of Incorporation herein certified has been duly adopted by the Board of Directors of the Corporation in accordance with Section 245 of the General Corporation Law of the State of Delaware.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effective date of the Restated Certificate of Incorporation shall be its filing date (the “Effective Date”).</w:t>
      </w:r>
    </w:p>
    <w:p>
      <w:pPr>
        <w:spacing w:after="0" w:line="247"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The Prior Certificate of Incorporation shall, upon the Effective Date, be hereby amended, integrated and restated in its entirety to read as follows:</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FIRST: </w:t>
      </w:r>
      <w:r>
        <w:rPr>
          <w:rFonts w:ascii="Times New Roman" w:cs="Times New Roman" w:eastAsia="Times New Roman" w:hAnsi="Times New Roman"/>
          <w:sz w:val="22"/>
          <w:szCs w:val="22"/>
          <w:color w:val="auto"/>
        </w:rPr>
        <w:t>The name of the Corporation is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24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SECOND: </w:t>
      </w:r>
      <w:r>
        <w:rPr>
          <w:rFonts w:ascii="Times New Roman" w:cs="Times New Roman" w:eastAsia="Times New Roman" w:hAnsi="Times New Roman"/>
          <w:sz w:val="22"/>
          <w:szCs w:val="22"/>
          <w:color w:val="auto"/>
        </w:rPr>
        <w:t>The Corporation’s registered office within the State of Delaware is located at 251 Little Falls Drive,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City of Wilmington, County of New Castle, 19808. The name and address of its registered agent within the State of Delaware is Corporation Service Company, 251 Little Falls Drive, in the City of Wilmington, County of New Castle, 19808.</w:t>
      </w:r>
    </w:p>
    <w:p>
      <w:pPr>
        <w:spacing w:after="0" w:line="193"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21"/>
          <w:szCs w:val="21"/>
          <w:b w:val="1"/>
          <w:bCs w:val="1"/>
          <w:color w:val="auto"/>
        </w:rPr>
        <w:t xml:space="preserve">THIRD: </w:t>
      </w:r>
      <w:r>
        <w:rPr>
          <w:rFonts w:ascii="Times New Roman" w:cs="Times New Roman" w:eastAsia="Times New Roman" w:hAnsi="Times New Roman"/>
          <w:sz w:val="21"/>
          <w:szCs w:val="21"/>
          <w:color w:val="auto"/>
        </w:rPr>
        <w:t>The nature of the business, or objects or purposes to be transacted, promoted or carried on, are: To engage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lawful act or activity for which corporations may be organized under the General Corporation Law of the State of Delaware.</w:t>
      </w:r>
    </w:p>
    <w:p>
      <w:pPr>
        <w:spacing w:after="0" w:line="140"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FOURTH: </w:t>
      </w:r>
      <w:r>
        <w:rPr>
          <w:rFonts w:ascii="Times New Roman" w:cs="Times New Roman" w:eastAsia="Times New Roman" w:hAnsi="Times New Roman"/>
          <w:sz w:val="22"/>
          <w:szCs w:val="22"/>
          <w:color w:val="auto"/>
        </w:rPr>
        <w:t>The total number of shares of all classes of stock which the Corporation shall have the authority to issue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550,000,000, of which (i) 525,000,000 shares of the par value of</w:t>
      </w:r>
    </w:p>
    <w:p>
      <w:pPr>
        <w:sectPr>
          <w:pgSz w:w="11900" w:h="16838" w:orient="portrait"/>
          <w:cols w:equalWidth="0" w:num="1">
            <w:col w:w="11240"/>
          </w:cols>
          <w:pgMar w:left="320" w:top="1413" w:right="339" w:bottom="1440" w:gutter="0" w:footer="0" w:header="0"/>
        </w:sectPr>
      </w:pPr>
    </w:p>
    <w:bookmarkStart w:id="30" w:name="page31"/>
    <w:bookmarkEnd w:id="30"/>
    <w:p>
      <w:pPr>
        <w:ind w:right="80"/>
        <w:spacing w:after="0" w:line="271" w:lineRule="auto"/>
        <w:rPr>
          <w:sz w:val="20"/>
          <w:szCs w:val="20"/>
          <w:color w:val="auto"/>
        </w:rPr>
      </w:pPr>
      <w:r>
        <w:rPr>
          <w:rFonts w:ascii="Times New Roman" w:cs="Times New Roman" w:eastAsia="Times New Roman" w:hAnsi="Times New Roman"/>
          <w:sz w:val="22"/>
          <w:szCs w:val="22"/>
          <w:color w:val="auto"/>
        </w:rPr>
        <w:t>$.25 each are to be of a class designated Common Stock (the “Common Stock”) and (ii) 25,000,000 shares without par value are to be of a class designated Preferred Stock (the “Preferred Stock”).</w:t>
      </w:r>
    </w:p>
    <w:p>
      <w:pPr>
        <w:spacing w:after="0" w:line="185"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In this Article Fourth, any reference to a section or paragraph, without further attribution, within a provision relating to a particular class of stock is intended to refer solely to the specified section or paragraph of the other provisions relating to the same class of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Common Stock shall have the following voting powers, designations, preferences and relative, participating, optional and other special rights, and qualifications, limitations or restrictions thereof:</w:t>
      </w:r>
    </w:p>
    <w:p>
      <w:pPr>
        <w:spacing w:after="0" w:line="194" w:lineRule="exact"/>
        <w:rPr>
          <w:sz w:val="20"/>
          <w:szCs w:val="20"/>
          <w:color w:val="auto"/>
        </w:rPr>
      </w:pPr>
    </w:p>
    <w:p>
      <w:pPr>
        <w:ind w:left="660" w:right="300" w:firstLine="644"/>
        <w:spacing w:after="0" w:line="253" w:lineRule="auto"/>
        <w:tabs>
          <w:tab w:leader="none" w:pos="19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Subject to the rights of the holders of Preferred Stock, the holders of shares of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shall be entitled to receive such dividends and distributions in equal amounts per share, payable in cash or otherwise, as may be declared thereon by the Board of Directors from time to time out of assets or funds of the Corporation legally available therefor.</w:t>
      </w:r>
    </w:p>
    <w:p>
      <w:pPr>
        <w:spacing w:after="0" w:line="202" w:lineRule="exact"/>
        <w:rPr>
          <w:rFonts w:ascii="Times New Roman" w:cs="Times New Roman" w:eastAsia="Times New Roman" w:hAnsi="Times New Roman"/>
          <w:sz w:val="22"/>
          <w:szCs w:val="22"/>
          <w:color w:val="auto"/>
        </w:rPr>
      </w:pPr>
    </w:p>
    <w:p>
      <w:pPr>
        <w:ind w:left="660" w:firstLine="644"/>
        <w:spacing w:after="0" w:line="250" w:lineRule="auto"/>
        <w:tabs>
          <w:tab w:leader="none" w:pos="19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on Liquidation</w:t>
      </w:r>
      <w:r>
        <w:rPr>
          <w:rFonts w:ascii="Times New Roman" w:cs="Times New Roman" w:eastAsia="Times New Roman" w:hAnsi="Times New Roman"/>
          <w:sz w:val="22"/>
          <w:szCs w:val="22"/>
          <w:color w:val="auto"/>
        </w:rPr>
        <w:t>. In the event of any liquidation, dissolution or winding-up of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voluntary or involuntary, after the payment to creditors and the payment or setting apart for payment to the holders of any outstanding Preferred Stock of the full preferential amounts to which such holders are entitled as herein provided or referred to, all of the remaining assets of the Corporation shall belong to and be distributable in equal amounts per share to the holders of the Common Stock. For purposes of this paragraph 2, a consolidation or merger of the Corporation with any other corporation, or the sale, transfer or lease of all or substantially all its assets shall not constitute or be deemed a liquidation, dissolution or winding-up of the Corporation.</w:t>
      </w:r>
    </w:p>
    <w:p>
      <w:pPr>
        <w:spacing w:after="0" w:line="220" w:lineRule="exact"/>
        <w:rPr>
          <w:rFonts w:ascii="Times New Roman" w:cs="Times New Roman" w:eastAsia="Times New Roman" w:hAnsi="Times New Roman"/>
          <w:sz w:val="22"/>
          <w:szCs w:val="22"/>
          <w:color w:val="auto"/>
        </w:rPr>
      </w:pPr>
    </w:p>
    <w:p>
      <w:pPr>
        <w:ind w:left="660" w:right="140" w:firstLine="644"/>
        <w:spacing w:after="0" w:line="275" w:lineRule="auto"/>
        <w:tabs>
          <w:tab w:leader="none" w:pos="19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Voting</w:t>
      </w:r>
      <w:r>
        <w:rPr>
          <w:rFonts w:ascii="Times New Roman" w:cs="Times New Roman" w:eastAsia="Times New Roman" w:hAnsi="Times New Roman"/>
          <w:sz w:val="22"/>
          <w:szCs w:val="22"/>
          <w:color w:val="auto"/>
        </w:rPr>
        <w:t>. Except as otherwise provided by the laws of the State of Delaware or by this Article Fourth,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of Common Stock shall entitle the holder thereof to one vote.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51"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The Preferred Stock may be issued from time to time in one or more series. The Board of Directors is hereby authorized to provide for the issuance of shares of Preferred Stock in series and, by filing a certificate pursuant to the applicable law of the State of Delaware (hereinafter referred to as a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22" w:right="379" w:bottom="1440" w:gutter="0" w:footer="0" w:header="0"/>
        </w:sectPr>
      </w:pPr>
    </w:p>
    <w:bookmarkStart w:id="31" w:name="page32"/>
    <w:bookmarkEnd w:id="31"/>
    <w:p>
      <w:pPr>
        <w:ind w:left="1940" w:hanging="636"/>
        <w:spacing w:after="0"/>
        <w:tabs>
          <w:tab w:leader="none" w:pos="19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the series, which may be by distinguishing number, letter or title;</w:t>
      </w:r>
    </w:p>
    <w:p>
      <w:pPr>
        <w:spacing w:after="0" w:line="246" w:lineRule="exact"/>
        <w:rPr>
          <w:rFonts w:ascii="Times New Roman" w:cs="Times New Roman" w:eastAsia="Times New Roman" w:hAnsi="Times New Roman"/>
          <w:sz w:val="22"/>
          <w:szCs w:val="22"/>
          <w:color w:val="auto"/>
        </w:rPr>
      </w:pPr>
    </w:p>
    <w:p>
      <w:pPr>
        <w:ind w:left="660" w:right="160" w:firstLine="644"/>
        <w:spacing w:after="0" w:line="263" w:lineRule="auto"/>
        <w:tabs>
          <w:tab w:leader="none" w:pos="195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19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dividends, if any, shall be cumulative or noncumulative and the dividend rate of the series;</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dates at which dividends, if any, shall be payable;</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rights and price or prices, if any, for shares of the series;</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amount of any sinking fund provided for the purchase or redemption of shares of the series;</w:t>
      </w:r>
    </w:p>
    <w:p>
      <w:pPr>
        <w:spacing w:after="0" w:line="271" w:lineRule="exact"/>
        <w:rPr>
          <w:rFonts w:ascii="Times New Roman" w:cs="Times New Roman" w:eastAsia="Times New Roman" w:hAnsi="Times New Roman"/>
          <w:sz w:val="21"/>
          <w:szCs w:val="21"/>
          <w:color w:val="auto"/>
        </w:rPr>
      </w:pPr>
    </w:p>
    <w:p>
      <w:pPr>
        <w:ind w:left="660" w:right="660" w:firstLine="644"/>
        <w:spacing w:after="0" w:line="271" w:lineRule="auto"/>
        <w:tabs>
          <w:tab w:leader="none" w:pos="195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on shares of the series in the event of any voluntary or involuntary liquidation, dissolution or winding up of the affairs of the Corporation;</w:t>
      </w:r>
    </w:p>
    <w:p>
      <w:pPr>
        <w:spacing w:after="0" w:line="184" w:lineRule="exact"/>
        <w:rPr>
          <w:rFonts w:ascii="Times New Roman" w:cs="Times New Roman" w:eastAsia="Times New Roman" w:hAnsi="Times New Roman"/>
          <w:sz w:val="22"/>
          <w:szCs w:val="22"/>
          <w:color w:val="auto"/>
        </w:rPr>
      </w:pPr>
    </w:p>
    <w:p>
      <w:pPr>
        <w:ind w:left="660" w:firstLine="644"/>
        <w:spacing w:after="0" w:line="252" w:lineRule="auto"/>
        <w:tabs>
          <w:tab w:leader="none" w:pos="195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shares of the series shall be convertible into shares of any other class or series, or any other security, of the Corporation or any other corporation, and, if so, the specification of such other class or series or such other security, the conversion price or prices or rate or rates, any adjustments thereof, the date or dates as of which such shares shall be convertible and all other terms and conditions upon which such conversion may be made;</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the issuance of shares of the same series or of any other class or series; and</w:t>
      </w:r>
    </w:p>
    <w:p>
      <w:pPr>
        <w:spacing w:after="0" w:line="246" w:lineRule="exact"/>
        <w:rPr>
          <w:rFonts w:ascii="Times New Roman" w:cs="Times New Roman" w:eastAsia="Times New Roman" w:hAnsi="Times New Roman"/>
          <w:sz w:val="22"/>
          <w:szCs w:val="22"/>
          <w:color w:val="auto"/>
        </w:rPr>
      </w:pPr>
    </w:p>
    <w:p>
      <w:pPr>
        <w:jc w:val="both"/>
        <w:ind w:left="660" w:right="120" w:firstLine="644"/>
        <w:spacing w:after="0" w:line="257"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voting rights, if any, of the holders of shares of the series; provided, that, except as otherwise provided by the laws of the State of Delaware, no share of Preferred Stock of any series shall be entitled to more than one vote per share of Preferred Stock.</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Except as may be provided in this Certificate of Incorporation or in a Preferred Stock Designation, the Common Stock shall have the exclusive right to vote for the election of directors and for all other purposes, and holders of Preferred Stock shall not be entitled to receive notice of any meeting of stockholders at which they are not entitled to vote. The number of authorized shares of Preferred Stock may be increased or decreased (but not below the number of shares thereof then outstanding) by the affirmative vote of the holders of a majority of the shares of all classes of stock of the Corporation entitled to vote for the election of directors, considered for the purposes of this Article Fourth as one class of stock, without a vote of the holders of the Preferred Stock, or of any series thereof, unless a vote of any such holders is required pursuant to any Preferred Stock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32" w:name="page33"/>
    <w:bookmarkEnd w:id="32"/>
    <w:p>
      <w:pPr>
        <w:ind w:right="180" w:firstLine="648"/>
        <w:spacing w:after="0" w:line="275" w:lineRule="auto"/>
        <w:rPr>
          <w:sz w:val="20"/>
          <w:szCs w:val="20"/>
          <w:color w:val="auto"/>
        </w:rPr>
      </w:pPr>
      <w:r>
        <w:rPr>
          <w:rFonts w:ascii="Times New Roman" w:cs="Times New Roman" w:eastAsia="Times New Roman" w:hAnsi="Times New Roman"/>
          <w:sz w:val="21"/>
          <w:szCs w:val="21"/>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FIFTH: </w:t>
      </w:r>
      <w:r>
        <w:rPr>
          <w:rFonts w:ascii="Times New Roman" w:cs="Times New Roman" w:eastAsia="Times New Roman" w:hAnsi="Times New Roman"/>
          <w:sz w:val="22"/>
          <w:szCs w:val="22"/>
          <w:color w:val="auto"/>
        </w:rPr>
        <w:t>The Corporation is to have perpetual existence.</w:t>
      </w:r>
    </w:p>
    <w:p>
      <w:pPr>
        <w:spacing w:after="0" w:line="247"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SIXTH: </w:t>
      </w:r>
      <w:r>
        <w:rPr>
          <w:rFonts w:ascii="Times New Roman" w:cs="Times New Roman" w:eastAsia="Times New Roman" w:hAnsi="Times New Roman"/>
          <w:sz w:val="22"/>
          <w:szCs w:val="22"/>
          <w:color w:val="auto"/>
        </w:rPr>
        <w:t>The private property of the stockholders of the Corporation shall not be subject to the payment of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debts to any extent whatever.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SEVENTH:</w:t>
      </w:r>
    </w:p>
    <w:p>
      <w:pPr>
        <w:spacing w:after="0" w:line="251" w:lineRule="exact"/>
        <w:rPr>
          <w:sz w:val="20"/>
          <w:szCs w:val="20"/>
          <w:color w:val="auto"/>
        </w:rPr>
      </w:pPr>
    </w:p>
    <w:p>
      <w:pPr>
        <w:ind w:left="660" w:right="220" w:firstLine="644"/>
        <w:spacing w:after="0" w:line="272" w:lineRule="auto"/>
        <w:tabs>
          <w:tab w:leader="none" w:pos="195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and affairs of the Corporation shall be managed by or under the direction of the Board of Directors. The number of directors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87" w:lineRule="exact"/>
        <w:rPr>
          <w:rFonts w:ascii="Times New Roman" w:cs="Times New Roman" w:eastAsia="Times New Roman" w:hAnsi="Times New Roman"/>
          <w:sz w:val="21"/>
          <w:szCs w:val="21"/>
          <w:color w:val="auto"/>
        </w:rPr>
      </w:pPr>
    </w:p>
    <w:p>
      <w:pPr>
        <w:ind w:left="660" w:firstLine="644"/>
        <w:spacing w:after="0" w:line="248" w:lineRule="auto"/>
        <w:tabs>
          <w:tab w:leader="none" w:pos="19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law and except as hereinafter otherwise provided for filling vacancies, the directors of the Corporation shall be elected at each annual meeting of stockholders. Each director so elected shall hold office until the annual meeting of stockholders following the annual meeting at which such director was elected and until a successor is duly elected and qualified, or until such director’s earlier death, resignation or removal. The terms of office of each director serving the Corporation as of immediately prior to the effectiveness of the filing of this Certificate of Amendment under the General Corporation Law of the State of Delaware (the “Effective Time”) whose term of office did not expire at the 2011 annual meeting of stockholders of the Corporation shall nonetheless expire at the Effective Time, such that the directors elected at the 2011 annual meeting of stockholders of the Corporation effective upon the Effective Time to succeed such directors shall commence their term of office at the Effective Time, for a term expiring at the next annual meeting of stockholders, with each such director to hold office until his or her successor shall have been duly elected and qualified.</w:t>
      </w:r>
    </w:p>
    <w:p>
      <w:pPr>
        <w:spacing w:after="0" w:line="215" w:lineRule="exact"/>
        <w:rPr>
          <w:rFonts w:ascii="Times New Roman" w:cs="Times New Roman" w:eastAsia="Times New Roman" w:hAnsi="Times New Roman"/>
          <w:sz w:val="22"/>
          <w:szCs w:val="22"/>
          <w:color w:val="auto"/>
        </w:rPr>
      </w:pPr>
    </w:p>
    <w:p>
      <w:pPr>
        <w:ind w:left="660" w:right="40" w:firstLine="644"/>
        <w:spacing w:after="0" w:line="268" w:lineRule="auto"/>
        <w:tabs>
          <w:tab w:leader="none" w:pos="195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Vacancies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by a sole remaining director and directors so chosen shall hold office for a term expiring at the next annual meeting of stockholders to occur following their election. No decrease in the number of authorized directors shall shorten the term of any incumbent director.</w:t>
      </w:r>
    </w:p>
    <w:p>
      <w:pPr>
        <w:spacing w:after="0" w:line="190" w:lineRule="exact"/>
        <w:rPr>
          <w:rFonts w:ascii="Times New Roman" w:cs="Times New Roman" w:eastAsia="Times New Roman" w:hAnsi="Times New Roman"/>
          <w:sz w:val="21"/>
          <w:szCs w:val="21"/>
          <w:color w:val="auto"/>
        </w:rPr>
      </w:pPr>
    </w:p>
    <w:p>
      <w:pPr>
        <w:ind w:left="660" w:right="120" w:firstLine="644"/>
        <w:spacing w:after="0" w:line="257" w:lineRule="auto"/>
        <w:tabs>
          <w:tab w:leader="none" w:pos="19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holders of any series of Preferred Stock or any other series or class of stock, as provided herein or in any Preferred Stock Designation, to elect additional directors under specific circumstances, any director may be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33" w:name="page34"/>
    <w:bookmarkEnd w:id="33"/>
    <w:p>
      <w:pPr>
        <w:ind w:left="660" w:right="60"/>
        <w:spacing w:after="0" w:line="257" w:lineRule="auto"/>
        <w:rPr>
          <w:sz w:val="20"/>
          <w:szCs w:val="20"/>
          <w:color w:val="auto"/>
        </w:rPr>
      </w:pPr>
      <w:r>
        <w:rPr>
          <w:rFonts w:ascii="Times New Roman" w:cs="Times New Roman" w:eastAsia="Times New Roman" w:hAnsi="Times New Roman"/>
          <w:sz w:val="22"/>
          <w:szCs w:val="22"/>
          <w:color w:val="auto"/>
        </w:rPr>
        <w:t>from office at any time, with or without cause by the affirmative vote of the holders of at least a majority of the shares of all classes of stock of the Corporation entitled to vote for the election of directors, considered for the purposes of this Article Seventh as one class of stock.</w:t>
      </w:r>
    </w:p>
    <w:p>
      <w:pPr>
        <w:spacing w:after="0" w:line="213" w:lineRule="exact"/>
        <w:rPr>
          <w:sz w:val="20"/>
          <w:szCs w:val="20"/>
          <w:color w:val="auto"/>
        </w:rPr>
      </w:pPr>
    </w:p>
    <w:p>
      <w:pPr>
        <w:ind w:left="660" w:right="60" w:firstLine="644"/>
        <w:spacing w:after="0" w:line="249" w:lineRule="auto"/>
        <w:tabs>
          <w:tab w:leader="none" w:pos="195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No repeal or modification of this paragraph, directly or by adoption of an inconsistent provision of this Certificate of Incorporation, by the stockholders of the Corporation shall be effective with respect to any cause of action, suit, claim or other matter that, but for this paragraph, would accrue or arise prior to such repeal or modification.</w:t>
      </w:r>
    </w:p>
    <w:p>
      <w:pPr>
        <w:spacing w:after="0" w:line="2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EIGHTH: </w:t>
      </w:r>
      <w:r>
        <w:rPr>
          <w:rFonts w:ascii="Times New Roman" w:cs="Times New Roman" w:eastAsia="Times New Roman" w:hAnsi="Times New Roman"/>
          <w:sz w:val="22"/>
          <w:szCs w:val="22"/>
          <w:color w:val="auto"/>
        </w:rPr>
        <w:t>Unless otherwise determined by the Board of Directors, no holder of stock of the Corporation shall, as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have any right to purchase or subscribe for any stock of any class which the Corporation may issue or sell, whether or not exchangeable for any stock of the Corporation of any class or classes and whether out of unissued shares authorized by the Certificate of Incorporation of the Corporation as originally filed or by any amendment thereof or out of shares of stock of the Corporation acquired by it after the issue thereof.</w:t>
      </w:r>
    </w:p>
    <w:p>
      <w:pPr>
        <w:spacing w:after="0" w:line="200"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NINTH: </w:t>
      </w:r>
      <w:r>
        <w:rPr>
          <w:rFonts w:ascii="Times New Roman" w:cs="Times New Roman" w:eastAsia="Times New Roman" w:hAnsi="Times New Roman"/>
          <w:sz w:val="22"/>
          <w:szCs w:val="22"/>
          <w:color w:val="auto"/>
        </w:rPr>
        <w:t>Whenever a compromise or arrangement is proposed between this Corporation and its creditors or any class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General Corporation Law of the State of Delaware (the “GCL”) or on the application of trustees in dissolution or of any receiver or receivers appointed for this Corporation under the provisions of section 279 of the 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TENTH:</w:t>
      </w:r>
    </w:p>
    <w:p>
      <w:pPr>
        <w:spacing w:after="0" w:line="260" w:lineRule="exact"/>
        <w:rPr>
          <w:sz w:val="20"/>
          <w:szCs w:val="20"/>
          <w:color w:val="auto"/>
        </w:rPr>
      </w:pPr>
    </w:p>
    <w:p>
      <w:pPr>
        <w:ind w:left="660" w:right="120" w:firstLine="644"/>
        <w:spacing w:after="0" w:line="275" w:lineRule="auto"/>
        <w:tabs>
          <w:tab w:leader="none" w:pos="195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of Certificate of Incorporation</w:t>
      </w:r>
      <w:r>
        <w:rPr>
          <w:rFonts w:ascii="Times New Roman" w:cs="Times New Roman" w:eastAsia="Times New Roman" w:hAnsi="Times New Roman"/>
          <w:sz w:val="22"/>
          <w:szCs w:val="22"/>
          <w:color w:val="auto"/>
        </w:rPr>
        <w:t>. The corporation reserves the right to amend, alter,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repeal any provision contained in this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320" w:top="1422" w:right="419" w:bottom="1440" w:gutter="0" w:footer="0" w:header="0"/>
        </w:sectPr>
      </w:pPr>
    </w:p>
    <w:bookmarkStart w:id="34" w:name="page35"/>
    <w:bookmarkEnd w:id="34"/>
    <w:p>
      <w:pPr>
        <w:ind w:right="280"/>
        <w:spacing w:after="0" w:line="271" w:lineRule="auto"/>
        <w:rPr>
          <w:sz w:val="20"/>
          <w:szCs w:val="20"/>
          <w:color w:val="auto"/>
        </w:rPr>
      </w:pPr>
      <w:r>
        <w:rPr>
          <w:rFonts w:ascii="Times New Roman" w:cs="Times New Roman" w:eastAsia="Times New Roman" w:hAnsi="Times New Roman"/>
          <w:sz w:val="22"/>
          <w:szCs w:val="22"/>
          <w:color w:val="auto"/>
        </w:rPr>
        <w:t>Incorporation, in the manner hereafter set forth, and all rights conferred upon stockholders herein are granted subject to this reservation.</w:t>
      </w:r>
    </w:p>
    <w:p>
      <w:pPr>
        <w:spacing w:after="0" w:line="185" w:lineRule="exact"/>
        <w:rPr>
          <w:sz w:val="20"/>
          <w:szCs w:val="20"/>
          <w:color w:val="auto"/>
        </w:rPr>
      </w:pPr>
    </w:p>
    <w:p>
      <w:pPr>
        <w:ind w:left="1300" w:right="140" w:hanging="656"/>
        <w:spacing w:after="0" w:line="263" w:lineRule="auto"/>
        <w:tabs>
          <w:tab w:leader="none" w:pos="129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paragraphs 1(B) and (2) of this Article Tenth and in Article Eleventh, any provision of this Certificate of Incorporation may be amended, altered, changed or repealed in the manner now or hereafter prescribed by the statutes of the State of Delaware.</w:t>
      </w:r>
    </w:p>
    <w:p>
      <w:pPr>
        <w:spacing w:after="0" w:line="194" w:lineRule="exact"/>
        <w:rPr>
          <w:rFonts w:ascii="Times New Roman" w:cs="Times New Roman" w:eastAsia="Times New Roman" w:hAnsi="Times New Roman"/>
          <w:sz w:val="22"/>
          <w:szCs w:val="22"/>
          <w:color w:val="auto"/>
        </w:rPr>
      </w:pPr>
    </w:p>
    <w:p>
      <w:pPr>
        <w:ind w:left="1300" w:hanging="656"/>
        <w:spacing w:after="0" w:line="250"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of the provisions of this Certificate of Incorporation or any provision of law which might otherwise permit a lesser vote or no vote, but in addition to any affirmative vote of holders of any particular class or series of stock of the Corporation required by law or this Certificate of Incorporation, the affirmative vote of the holders of at least the following percentages of the shares of all classes of stock of the Corporation entitled to vote for the election of directors, considered for this purpose as one class of stock, shall be required to amend, alter, change or repeal, or to adopt any provisions inconsistent with, the indicated provisions of this Certificate of Incorporation:</w:t>
      </w:r>
    </w:p>
    <w:p>
      <w:pPr>
        <w:spacing w:after="0" w:line="207"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in the case of Article Seventh or Article Thirteenth; and</w:t>
      </w:r>
    </w:p>
    <w:p>
      <w:pPr>
        <w:spacing w:after="0" w:line="246"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in the case of Article Twelfth.</w:t>
      </w:r>
    </w:p>
    <w:p>
      <w:pPr>
        <w:spacing w:after="0" w:line="260"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The foregoing paragraphs 1(B)(i) and (ii) of this Article Tenth may not be amended so as to alter the stockholder vote required by either such paragraph or to adopt any provisions inconsistent with these provisions, except by an amendment that is itself approved by the affirmative vote of the holders of at least the percentage of all shares of all classes of stock of the Corporation as is required to amend the provision or provisions of this Certificate of Incorporation to which such amendment relates.</w:t>
      </w:r>
    </w:p>
    <w:p>
      <w:pPr>
        <w:spacing w:after="0" w:line="217" w:lineRule="exact"/>
        <w:rPr>
          <w:sz w:val="20"/>
          <w:szCs w:val="20"/>
          <w:color w:val="auto"/>
        </w:rPr>
      </w:pPr>
    </w:p>
    <w:p>
      <w:pPr>
        <w:ind w:right="80" w:firstLine="644"/>
        <w:spacing w:after="0" w:line="248"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By-laws</w:t>
      </w:r>
      <w:r>
        <w:rPr>
          <w:rFonts w:ascii="Times New Roman" w:cs="Times New Roman" w:eastAsia="Times New Roman" w:hAnsi="Times New Roman"/>
          <w:sz w:val="22"/>
          <w:szCs w:val="22"/>
          <w:color w:val="auto"/>
        </w:rPr>
        <w:t>. The Board of Directors is expressly authorized to adopt, alter, amend and repeal the By-laws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in any manner not inconsistent with the laws of the State of Delaware or of the Certificate of Incorporation of the Corporation, subject to the power of the holders of capital stock of the Corporation to adopt, alter or repeal the By-laws made by the Board of Directors; provided, that any such adoption, amendment or repeal by stockholders shall require the affirmative vote of the holders of at least a majority of the shares of all classes of stock of the Corporation entitled to vote for the election of directors, considered for this purpose as one class of stock. This paragraph 2 of Article Tenth may not be amended so as to alter the stockholder vote specified hereby, nor may any provisions inconsistent with these provisions be adopted, except by an amendment that is itself approved by the affirmative vote of the holders of at least a majority of the shares of all classes of stock of the Corporation entitled to vote for the election of directors, considered for this purpose as one class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4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ELEVENTH</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right="60" w:firstLine="644"/>
        <w:spacing w:after="0" w:line="249"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paragraph 2 of this Article Eleventh, the affirmative vote or consent of the holders of 80% of the shares of all classes of stock of the Corporation entitled to vote for the election of directors, considered for the purposes of this Article as one class, shall be required (a) for the adoption of any agreement for the merger or consolidation of the Corporation with or into any Other Corporation (as hereinafter defined), or (b) to authorize any sale, lease, exchange, mortgage, pledge or other disposition of all, or substantially all of the assets of the Corporation or any Subsidiary (as hereinafter defined) to any Other Corporation, or (c) to authorize the issuance or transfer by the Corporation of any Substantial Amount (as hereinafter defined) of securities of the Corporation in exchange for the securities or assets of any Other Corporation. Such affirmative vote or consent shall be in addition to the vote or consent of the holders of the stock of the Corporation otherwise required by law, the Certificate of Incorporation of the Corporation or any agreement or contract to which the Corporation is a party.</w:t>
      </w:r>
    </w:p>
    <w:p>
      <w:pPr>
        <w:spacing w:after="0" w:line="210" w:lineRule="exact"/>
        <w:rPr>
          <w:rFonts w:ascii="Times New Roman" w:cs="Times New Roman" w:eastAsia="Times New Roman" w:hAnsi="Times New Roman"/>
          <w:sz w:val="22"/>
          <w:szCs w:val="22"/>
          <w:color w:val="auto"/>
        </w:rPr>
      </w:pPr>
    </w:p>
    <w:p>
      <w:pPr>
        <w:ind w:firstLine="644"/>
        <w:spacing w:after="0" w:line="268" w:lineRule="auto"/>
        <w:tabs>
          <w:tab w:leader="none" w:pos="129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paragraph 1 of this Article Eleventh shall not be applicable to any transaction described therein if such transaction is approved by resolution of the Board of Directors of the Corporation;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majority of the members of the Board of Directors voting for the approval of such transaction were duly elected and acting members of the Board of Directors prior to the time any such Other Corporation may have become a Beneficial Owner (as hereinafter defined) of 5% or more of the shares of stock of the Corporation entitled to vote for the election of directors.</w:t>
      </w:r>
    </w:p>
    <w:p>
      <w:pPr>
        <w:spacing w:after="0" w:line="190" w:lineRule="exact"/>
        <w:rPr>
          <w:rFonts w:ascii="Times New Roman" w:cs="Times New Roman" w:eastAsia="Times New Roman" w:hAnsi="Times New Roman"/>
          <w:sz w:val="21"/>
          <w:szCs w:val="21"/>
          <w:color w:val="auto"/>
        </w:rPr>
      </w:pPr>
    </w:p>
    <w:p>
      <w:pPr>
        <w:ind w:right="60" w:firstLine="644"/>
        <w:spacing w:after="0" w:line="253"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paragraph 2 of this Article, the Board of Directors shall have the power and duty to determine for the purposes of this Article Eleventh, on the basis of information known to such Board, if and when any Other Corporation is the Beneficial Owner of 5% or more of the outstanding shares of stock of the Corporation entitled to vote for the election of directors. Any such determination shall be conclusive and binding for all purposes of this Article Eleventh.</w:t>
      </w:r>
    </w:p>
    <w:p>
      <w:pPr>
        <w:spacing w:after="0" w:line="205"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Article Eleventh, the following terms shall have the meanings indicated:</w:t>
      </w:r>
    </w:p>
    <w:p>
      <w:pPr>
        <w:spacing w:after="0" w:line="246" w:lineRule="exact"/>
        <w:rPr>
          <w:rFonts w:ascii="Times New Roman" w:cs="Times New Roman" w:eastAsia="Times New Roman" w:hAnsi="Times New Roman"/>
          <w:sz w:val="22"/>
          <w:szCs w:val="22"/>
          <w:color w:val="auto"/>
        </w:rPr>
      </w:pPr>
    </w:p>
    <w:p>
      <w:pPr>
        <w:ind w:left="1300" w:right="44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Corporation” means any person, firm, corporation or other entity, other than a subsidiary of the Corporation.</w:t>
      </w:r>
    </w:p>
    <w:p>
      <w:pPr>
        <w:spacing w:after="0" w:line="198" w:lineRule="exact"/>
        <w:rPr>
          <w:rFonts w:ascii="Times New Roman" w:cs="Times New Roman" w:eastAsia="Times New Roman" w:hAnsi="Times New Roman"/>
          <w:sz w:val="22"/>
          <w:szCs w:val="22"/>
          <w:color w:val="auto"/>
        </w:rPr>
      </w:pPr>
    </w:p>
    <w:p>
      <w:pPr>
        <w:ind w:left="1300" w:right="12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in which the Corporation owns, directly or indirectly, more than 50% of the voting securities.</w:t>
      </w:r>
    </w:p>
    <w:p>
      <w:pPr>
        <w:spacing w:after="0" w:line="185" w:lineRule="exact"/>
        <w:rPr>
          <w:sz w:val="20"/>
          <w:szCs w:val="20"/>
          <w:color w:val="auto"/>
        </w:rPr>
      </w:pPr>
    </w:p>
    <w:p>
      <w:pPr>
        <w:ind w:left="1300" w:right="400"/>
        <w:spacing w:after="0" w:line="271" w:lineRule="auto"/>
        <w:rPr>
          <w:sz w:val="20"/>
          <w:szCs w:val="20"/>
          <w:color w:val="auto"/>
        </w:rPr>
      </w:pPr>
      <w:r>
        <w:rPr>
          <w:rFonts w:ascii="Times New Roman" w:cs="Times New Roman" w:eastAsia="Times New Roman" w:hAnsi="Times New Roman"/>
          <w:sz w:val="22"/>
          <w:szCs w:val="22"/>
          <w:color w:val="auto"/>
        </w:rPr>
        <w:t>“Substantial Amount” means any securities of the Corporation having a then fair market value of more than $500,000.</w:t>
      </w:r>
    </w:p>
    <w:p>
      <w:pPr>
        <w:spacing w:after="0" w:line="185"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An Other Corporation (as defined above) shall be deemed to be the “Beneficial Owner” of stock if such Other Corporation or any “affiliate” or “associate” of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0"/>
          </w:cols>
          <w:pgMar w:left="980" w:top="1418" w:right="339" w:bottom="1440" w:gutter="0" w:footer="0" w:header="0"/>
        </w:sectPr>
      </w:pPr>
    </w:p>
    <w:bookmarkStart w:id="36" w:name="page37"/>
    <w:bookmarkEnd w:id="36"/>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Corporation (as those terms are defined in Rule 12b-2 promulgated under the Securities Exchange Act of 1934 (15 U.S.C. 78 aaa et seq.), as amended from time to time), directly or indirectly, controls the voting of such stock or has any options, warrants, conversion or other rights to acquire such stock.</w:t>
      </w:r>
    </w:p>
    <w:p>
      <w:pPr>
        <w:spacing w:after="0" w:line="213" w:lineRule="exact"/>
        <w:rPr>
          <w:sz w:val="20"/>
          <w:szCs w:val="20"/>
          <w:color w:val="auto"/>
        </w:rPr>
      </w:pPr>
    </w:p>
    <w:p>
      <w:pPr>
        <w:ind w:right="260" w:firstLine="644"/>
        <w:spacing w:after="0" w:line="257"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Article Eleventh may not be amended, revised or revoked, in whole or in part, except by the affirmative vote or consent of the holders of 80% of the shares of all classes of stock of the Corporation entitled to vote for the election of directors, considered for the purposes of this Article Eleventh as one class of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TWELFTH</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1300" w:hanging="656"/>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shall apply for the purpose of this Article Twelfth only:</w:t>
      </w:r>
    </w:p>
    <w:p>
      <w:pPr>
        <w:spacing w:after="0" w:line="260" w:lineRule="exact"/>
        <w:rPr>
          <w:sz w:val="20"/>
          <w:szCs w:val="20"/>
          <w:color w:val="auto"/>
        </w:rPr>
      </w:pPr>
    </w:p>
    <w:p>
      <w:pPr>
        <w:ind w:left="1300" w:right="480" w:hanging="656"/>
        <w:spacing w:after="0" w:line="271" w:lineRule="auto"/>
        <w:tabs>
          <w:tab w:leader="none" w:pos="12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“Announcement Date” shall mean the date of first public announcement of the proposal of a Business Combination.</w:t>
      </w:r>
    </w:p>
    <w:p>
      <w:pPr>
        <w:spacing w:after="0" w:line="184"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Combination” shall mean:</w:t>
      </w:r>
    </w:p>
    <w:p>
      <w:pPr>
        <w:spacing w:after="0" w:line="246" w:lineRule="exact"/>
        <w:rPr>
          <w:rFonts w:ascii="Times New Roman" w:cs="Times New Roman" w:eastAsia="Times New Roman" w:hAnsi="Times New Roman"/>
          <w:sz w:val="22"/>
          <w:szCs w:val="22"/>
          <w:color w:val="auto"/>
        </w:rPr>
      </w:pPr>
    </w:p>
    <w:p>
      <w:pPr>
        <w:ind w:left="2580" w:right="360" w:hanging="640"/>
        <w:spacing w:after="0" w:line="257" w:lineRule="auto"/>
        <w:tabs>
          <w:tab w:leader="none" w:pos="256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merger or consolidation of the Corporation or any Subsidiary with (a) any Related Person, or (b) any other corporation (whether or not itself a Related Person) which is, or after such merger or consolidation would be, an Affiliate of a Related Person; or</w:t>
      </w:r>
    </w:p>
    <w:p>
      <w:pPr>
        <w:spacing w:after="0" w:line="213" w:lineRule="exact"/>
        <w:rPr>
          <w:rFonts w:ascii="Times New Roman" w:cs="Times New Roman" w:eastAsia="Times New Roman" w:hAnsi="Times New Roman"/>
          <w:sz w:val="22"/>
          <w:szCs w:val="22"/>
          <w:color w:val="auto"/>
        </w:rPr>
      </w:pPr>
    </w:p>
    <w:p>
      <w:pPr>
        <w:ind w:left="2580" w:right="40" w:hanging="640"/>
        <w:spacing w:after="0" w:line="252" w:lineRule="auto"/>
        <w:tabs>
          <w:tab w:leader="none" w:pos="257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exchange, mortgage, pledge, transfer or other disposition (in one transaction or a series of transactions) to or with any Related Person or any Affiliate of any Related Person of any assets of the Corporation or any Subsidiary having an aggregate Fair Market Value of $500,000 or more; or</w:t>
      </w:r>
    </w:p>
    <w:p>
      <w:pPr>
        <w:spacing w:after="0" w:line="206" w:lineRule="exact"/>
        <w:rPr>
          <w:rFonts w:ascii="Times New Roman" w:cs="Times New Roman" w:eastAsia="Times New Roman" w:hAnsi="Times New Roman"/>
          <w:sz w:val="22"/>
          <w:szCs w:val="22"/>
          <w:color w:val="auto"/>
        </w:rPr>
      </w:pPr>
    </w:p>
    <w:p>
      <w:pPr>
        <w:ind w:left="2580" w:hanging="640"/>
        <w:spacing w:after="0" w:line="272" w:lineRule="auto"/>
        <w:tabs>
          <w:tab w:leader="none" w:pos="258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or transfer by the Corporation or any Subsidiary (in one transaction or a series of transactions) of any securities of the Corporation or any Subsidiary to any Related Person or any Affiliate of any Related Person in exchange for cash, securities or other property (or a combination thereof) having an aggregate Fair Market Value of $500,000 or more; or</w:t>
      </w:r>
    </w:p>
    <w:p>
      <w:pPr>
        <w:spacing w:after="0" w:line="187" w:lineRule="exact"/>
        <w:rPr>
          <w:rFonts w:ascii="Times New Roman" w:cs="Times New Roman" w:eastAsia="Times New Roman" w:hAnsi="Times New Roman"/>
          <w:sz w:val="21"/>
          <w:szCs w:val="21"/>
          <w:color w:val="auto"/>
        </w:rPr>
      </w:pPr>
    </w:p>
    <w:p>
      <w:pPr>
        <w:ind w:left="2580" w:right="220" w:hanging="640"/>
        <w:spacing w:after="0" w:line="295" w:lineRule="auto"/>
        <w:tabs>
          <w:tab w:leader="none" w:pos="2568"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any plan or proposal for the liquidation or dissolution of the Corporation proposed by or on behalf of any Related Person or any Affiliate of any Related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60"/>
          </w:cols>
          <w:pgMar w:left="980" w:top="1422" w:right="359" w:bottom="1440" w:gutter="0" w:footer="0" w:header="0"/>
        </w:sectPr>
      </w:pPr>
    </w:p>
    <w:bookmarkStart w:id="37" w:name="page38"/>
    <w:bookmarkEnd w:id="37"/>
    <w:p>
      <w:pPr>
        <w:ind w:left="2120" w:right="40" w:hanging="640"/>
        <w:spacing w:after="0" w:line="250" w:lineRule="auto"/>
        <w:tabs>
          <w:tab w:leader="none" w:pos="2115"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the Related Person) which has the effect, directly or indirectly, of increasing the proportionate share of the outstanding shares of any class of equity or convertible securities of the Corporation or any Subsidiary which is directly or indirectly owned by any Related Person or any Affiliate of any Related Person.</w:t>
      </w:r>
    </w:p>
    <w:p>
      <w:pPr>
        <w:spacing w:after="0" w:line="207" w:lineRule="exact"/>
        <w:rPr>
          <w:rFonts w:ascii="Times New Roman" w:cs="Times New Roman" w:eastAsia="Times New Roman" w:hAnsi="Times New Roman"/>
          <w:sz w:val="22"/>
          <w:szCs w:val="22"/>
          <w:color w:val="auto"/>
        </w:rPr>
      </w:pPr>
    </w:p>
    <w:p>
      <w:pPr>
        <w:ind w:left="840" w:right="220" w:hanging="656"/>
        <w:spacing w:after="0" w:line="256" w:lineRule="auto"/>
        <w:tabs>
          <w:tab w:leader="none" w:pos="8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shall mean the amount of cash and the Fair Market Value, as of the Consummation Date, of consideration other than cash received by the stockholder. In the event of any Business Combination in which the Corporation survives, the consideration other than cash shall include shares of any class of outstanding Voting Stock retained by the holders of such shares.</w:t>
      </w:r>
    </w:p>
    <w:p>
      <w:pPr>
        <w:spacing w:after="0" w:line="203"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Date” shall mean the date upon which the Business Combination is consummated.</w:t>
      </w:r>
    </w:p>
    <w:p>
      <w:pPr>
        <w:spacing w:after="0" w:line="246" w:lineRule="exact"/>
        <w:rPr>
          <w:rFonts w:ascii="Times New Roman" w:cs="Times New Roman" w:eastAsia="Times New Roman" w:hAnsi="Times New Roman"/>
          <w:sz w:val="22"/>
          <w:szCs w:val="22"/>
          <w:color w:val="auto"/>
        </w:rPr>
      </w:pPr>
    </w:p>
    <w:p>
      <w:pPr>
        <w:ind w:left="840" w:right="20" w:hanging="656"/>
        <w:spacing w:after="0" w:line="253" w:lineRule="auto"/>
        <w:tabs>
          <w:tab w:leader="none" w:pos="83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Director” shall mean any member of the Board of Directors of the Corporation who is unaffiliated with the Related Person and who was a member of the Board of Directors prior to the time that the Related Person became a Related Person, and any successor of a Continuing Director who is unaffiliated with the Related Person and is recommended to succeed a Continuing Director by a majority of the Continuing Directors then on the Board of Directors.</w:t>
      </w:r>
    </w:p>
    <w:p>
      <w:pPr>
        <w:spacing w:after="0" w:line="205"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Date” shall mean the date upon which a Related Person became a Related Person.</w:t>
      </w:r>
    </w:p>
    <w:p>
      <w:pPr>
        <w:spacing w:after="0" w:line="246"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shall mean the Securities Exchange Act of 1934 as in effect on May 1, 1983.</w:t>
      </w:r>
    </w:p>
    <w:p>
      <w:pPr>
        <w:spacing w:after="0" w:line="260" w:lineRule="exact"/>
        <w:rPr>
          <w:rFonts w:ascii="Times New Roman" w:cs="Times New Roman" w:eastAsia="Times New Roman" w:hAnsi="Times New Roman"/>
          <w:sz w:val="22"/>
          <w:szCs w:val="22"/>
          <w:color w:val="auto"/>
        </w:rPr>
      </w:pPr>
    </w:p>
    <w:p>
      <w:pPr>
        <w:ind w:left="840" w:hanging="656"/>
        <w:spacing w:after="0" w:line="249" w:lineRule="auto"/>
        <w:tabs>
          <w:tab w:leader="none" w:pos="83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shall mean: (i) in the case of stock, the highest closing sale price during the 30-day period immediately preceding the date in question of a share of such stock on the principal United States securities exchange registered under the Exchange Act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of Directors in good faith; and (ii) in the case of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00"/>
          </w:cols>
          <w:pgMar w:left="1440" w:top="1422" w:right="359" w:bottom="1440" w:gutter="0" w:footer="0" w:header="0"/>
        </w:sectPr>
      </w:pPr>
    </w:p>
    <w:bookmarkStart w:id="38" w:name="page39"/>
    <w:bookmarkEnd w:id="38"/>
    <w:p>
      <w:pPr>
        <w:ind w:left="1300"/>
        <w:spacing w:after="0" w:line="271" w:lineRule="auto"/>
        <w:rPr>
          <w:sz w:val="20"/>
          <w:szCs w:val="20"/>
          <w:color w:val="auto"/>
        </w:rPr>
      </w:pPr>
      <w:r>
        <w:rPr>
          <w:rFonts w:ascii="Times New Roman" w:cs="Times New Roman" w:eastAsia="Times New Roman" w:hAnsi="Times New Roman"/>
          <w:sz w:val="22"/>
          <w:szCs w:val="22"/>
          <w:color w:val="auto"/>
        </w:rPr>
        <w:t>other than cash or stock, the fair market value of such property on the date in question as determined by the Board of Directors in good faith.</w:t>
      </w:r>
    </w:p>
    <w:p>
      <w:pPr>
        <w:spacing w:after="0" w:line="185" w:lineRule="exact"/>
        <w:rPr>
          <w:sz w:val="20"/>
          <w:szCs w:val="20"/>
          <w:color w:val="auto"/>
        </w:rPr>
      </w:pPr>
    </w:p>
    <w:p>
      <w:pPr>
        <w:ind w:left="1300" w:right="20" w:hanging="656"/>
        <w:spacing w:after="0" w:line="250" w:lineRule="auto"/>
        <w:tabs>
          <w:tab w:leader="none" w:pos="12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Person” shall mean any individual, firm, corporation or other entity (other than the Corporation or any Subsidiary) which, together with its Affiliates and Associates (as such terms are defined in Rule 12b-2 under the Exchange Act) and with any other individual, firm, corporation or other entity (other than the Corporation or any Subsidiary) with which it or they have any agreement, arrangement or understanding with respect to acquiring, holding or disposing of Voting Stock, beneficially owns (as defined in Rule 13d-3 of the Exchange Act, except that such term shall include any Voting Stock which such person has the right to acquire, whether or not such right may be exercised within 60 days), directly or indirectly, more than twenty percent of the voting power of the outstanding Voting Stock.</w:t>
      </w:r>
    </w:p>
    <w:p>
      <w:pPr>
        <w:spacing w:after="0" w:line="213" w:lineRule="exact"/>
        <w:rPr>
          <w:rFonts w:ascii="Times New Roman" w:cs="Times New Roman" w:eastAsia="Times New Roman" w:hAnsi="Times New Roman"/>
          <w:sz w:val="22"/>
          <w:szCs w:val="22"/>
          <w:color w:val="auto"/>
        </w:rPr>
      </w:pPr>
    </w:p>
    <w:p>
      <w:pPr>
        <w:ind w:left="1300" w:right="140" w:hanging="656"/>
        <w:spacing w:after="0" w:line="271" w:lineRule="auto"/>
        <w:tabs>
          <w:tab w:leader="none" w:pos="128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any corporation in which a majority of the capital stock entitled to vote generally in the election of directors is owned, directly or indirectly, by the Corporation.</w:t>
      </w:r>
    </w:p>
    <w:p>
      <w:pPr>
        <w:spacing w:after="0" w:line="184" w:lineRule="exact"/>
        <w:rPr>
          <w:rFonts w:ascii="Times New Roman" w:cs="Times New Roman" w:eastAsia="Times New Roman" w:hAnsi="Times New Roman"/>
          <w:sz w:val="22"/>
          <w:szCs w:val="22"/>
          <w:color w:val="auto"/>
        </w:rPr>
      </w:pPr>
    </w:p>
    <w:p>
      <w:pPr>
        <w:ind w:left="1300" w:right="60" w:hanging="656"/>
        <w:spacing w:after="0" w:line="271" w:lineRule="auto"/>
        <w:tabs>
          <w:tab w:leader="none" w:pos="129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Stock” shall mean all of the then outstanding shares of the capital stock of the Corporation entitled to vote generally in the election of directors.</w:t>
      </w:r>
    </w:p>
    <w:p>
      <w:pPr>
        <w:spacing w:after="0" w:line="198" w:lineRule="exact"/>
        <w:rPr>
          <w:sz w:val="20"/>
          <w:szCs w:val="20"/>
          <w:color w:val="auto"/>
        </w:rPr>
      </w:pPr>
    </w:p>
    <w:p>
      <w:pPr>
        <w:ind w:right="60" w:firstLine="644"/>
        <w:spacing w:after="0" w:line="275" w:lineRule="auto"/>
        <w:tabs>
          <w:tab w:leader="none" w:pos="129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affirmative vote otherwise required by law or any provision of this Certificate of Incorporation (including without limitation Article Eleventh), except as otherwise provided in paragraph 3, any Business Combination shall require the affirmative vote of the holders of 90% of all Voting Stock, voting together as a single class.</w:t>
      </w:r>
    </w:p>
    <w:p>
      <w:pPr>
        <w:spacing w:after="0" w:line="18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Such affirmative vote shall be required notwithstanding any other provision of this Certificate of Incorporation or any provision of law or of any agreement with any national securities exchange which might otherwise permit a lesser vote or no vote, and such affirmative vote shall be required in addition to any affirmative vote of the holders of any particular class or series of the Voting Stock required by law or by this Certificate of Incorporation.</w:t>
      </w:r>
    </w:p>
    <w:p>
      <w:pPr>
        <w:spacing w:after="0" w:line="203" w:lineRule="exact"/>
        <w:rPr>
          <w:sz w:val="20"/>
          <w:szCs w:val="20"/>
          <w:color w:val="auto"/>
        </w:rPr>
      </w:pPr>
    </w:p>
    <w:p>
      <w:pPr>
        <w:ind w:right="40" w:firstLine="644"/>
        <w:spacing w:after="0" w:line="250"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2 of this Article Twelfth shall not be applicable to any particular Business Combination, and such Business Combination shall require only such affirmative vote as is required by law, any other provision of this Certificate of Incorporation (including Article Eleventh), or any agreement with any national securities exchange, if, in the case of a Business Combination that does not involve any Consideration Received by the stockholders of the Corporation, solely in their respective capacities as stockholders of the Corporation, the condition specified in the following paragraph A is met, or, in the case of any other Business Combination, the conditions specified in either of the following paragraphs A and B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0"/>
          </w:cols>
          <w:pgMar w:left="980" w:top="1422" w:right="339" w:bottom="1440" w:gutter="0" w:footer="0" w:header="0"/>
        </w:sectPr>
      </w:pPr>
    </w:p>
    <w:bookmarkStart w:id="39" w:name="page40"/>
    <w:bookmarkEnd w:id="39"/>
    <w:p>
      <w:pPr>
        <w:spacing w:after="0" w:line="225" w:lineRule="exact"/>
        <w:rPr>
          <w:sz w:val="20"/>
          <w:szCs w:val="20"/>
          <w:color w:val="auto"/>
        </w:rPr>
      </w:pPr>
    </w:p>
    <w:p>
      <w:pPr>
        <w:jc w:val="both"/>
        <w:ind w:left="840" w:right="300" w:hanging="656"/>
        <w:spacing w:after="0" w:line="257" w:lineRule="auto"/>
        <w:tabs>
          <w:tab w:leader="none" w:pos="83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Combination shall have been approved by a majority of the Continuing Directors, it being understood that this condition shall not be capable of satisfaction unless there is at least one Continuing Director.</w:t>
      </w:r>
    </w:p>
    <w:p>
      <w:pPr>
        <w:spacing w:after="0" w:line="213"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following conditions shall have been met:</w:t>
      </w:r>
    </w:p>
    <w:p>
      <w:pPr>
        <w:spacing w:after="0" w:line="246" w:lineRule="exact"/>
        <w:rPr>
          <w:rFonts w:ascii="Times New Roman" w:cs="Times New Roman" w:eastAsia="Times New Roman" w:hAnsi="Times New Roman"/>
          <w:sz w:val="22"/>
          <w:szCs w:val="22"/>
          <w:color w:val="auto"/>
        </w:rPr>
      </w:pPr>
    </w:p>
    <w:p>
      <w:pPr>
        <w:ind w:left="2120" w:right="20" w:hanging="640"/>
        <w:spacing w:after="0" w:line="249" w:lineRule="auto"/>
        <w:tabs>
          <w:tab w:leader="none" w:pos="210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 of the Consideration Received by holders of shares of a particular class of outstanding Voting Stock shall be in cash or in the same form as the Related Person has paid for shares of such class of Voting Stock within the two-year period ending on and including the Determination Date. If, within such two-year period, the Related Person has paid for shares of any class of Voting Stock with varying forms of consideration, the form of Consideration Received per share by holders of shares of such class of Voting Stock shall be either cash or the form used to acquire the largest number of shares of such class of Voting Stock acquired by the Related Person within such two-year period.</w:t>
      </w:r>
    </w:p>
    <w:p>
      <w:pPr>
        <w:spacing w:after="0" w:line="208" w:lineRule="exact"/>
        <w:rPr>
          <w:rFonts w:ascii="Times New Roman" w:cs="Times New Roman" w:eastAsia="Times New Roman" w:hAnsi="Times New Roman"/>
          <w:sz w:val="22"/>
          <w:szCs w:val="22"/>
          <w:color w:val="auto"/>
        </w:rPr>
      </w:pPr>
    </w:p>
    <w:p>
      <w:pPr>
        <w:ind w:left="2120" w:hanging="640"/>
        <w:spacing w:after="0" w:line="268" w:lineRule="auto"/>
        <w:tabs>
          <w:tab w:leader="none" w:pos="211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Consideration Received per share by holders of each class of Voting Stock in such Business Combination shall be at least equal to the higher of the following (it being intended that the requirements of this paragraph B(ii) shall be required to be met with respect to every such class of Voting Stock outstanding, whether or not the Related Person has previously acquired any shares of that particular class of Voting Stock):</w:t>
      </w:r>
    </w:p>
    <w:p>
      <w:pPr>
        <w:spacing w:after="0" w:line="190" w:lineRule="exact"/>
        <w:rPr>
          <w:rFonts w:ascii="Times New Roman" w:cs="Times New Roman" w:eastAsia="Times New Roman" w:hAnsi="Times New Roman"/>
          <w:sz w:val="21"/>
          <w:szCs w:val="21"/>
          <w:color w:val="auto"/>
        </w:rPr>
      </w:pPr>
    </w:p>
    <w:p>
      <w:pPr>
        <w:ind w:left="2780" w:right="120" w:hanging="652"/>
        <w:spacing w:after="0" w:line="253" w:lineRule="auto"/>
        <w:tabs>
          <w:tab w:leader="none" w:pos="2777"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highest per share price (including any brokerage commissions, transfer taxes and soliciting dealers’ fees) paid by the Related Person for any shares of that class of Voting Stock acquired by it within the two-year period immediately prior to the Announcement Date or in the transaction in which it became a Related Person, whichever is higher; or</w:t>
      </w:r>
    </w:p>
    <w:p>
      <w:pPr>
        <w:spacing w:after="0" w:line="205" w:lineRule="exact"/>
        <w:rPr>
          <w:rFonts w:ascii="Times New Roman" w:cs="Times New Roman" w:eastAsia="Times New Roman" w:hAnsi="Times New Roman"/>
          <w:sz w:val="22"/>
          <w:szCs w:val="22"/>
          <w:color w:val="auto"/>
        </w:rPr>
      </w:pPr>
    </w:p>
    <w:p>
      <w:pPr>
        <w:ind w:left="2780" w:right="100" w:hanging="652"/>
        <w:spacing w:after="0" w:line="271" w:lineRule="auto"/>
        <w:tabs>
          <w:tab w:leader="none" w:pos="2775"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per share of such class of Voting Stock on the Announcement Date; or</w:t>
      </w:r>
    </w:p>
    <w:p>
      <w:pPr>
        <w:spacing w:after="0" w:line="198" w:lineRule="exact"/>
        <w:rPr>
          <w:rFonts w:ascii="Times New Roman" w:cs="Times New Roman" w:eastAsia="Times New Roman" w:hAnsi="Times New Roman"/>
          <w:sz w:val="22"/>
          <w:szCs w:val="22"/>
          <w:color w:val="auto"/>
        </w:rPr>
      </w:pPr>
    </w:p>
    <w:p>
      <w:pPr>
        <w:jc w:val="both"/>
        <w:ind w:left="2780" w:right="120" w:hanging="652"/>
        <w:spacing w:after="0" w:line="257" w:lineRule="auto"/>
        <w:tabs>
          <w:tab w:leader="none" w:pos="2777"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class of preferred stock, the highest preferential amount per share to which the holders of shares of such class of Voting Stock are entitled in the event of any voluntary or involuntary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120"/>
          </w:cols>
          <w:pgMar w:left="1440" w:top="1440" w:right="339" w:bottom="1440" w:gutter="0" w:footer="0" w:header="0"/>
        </w:sectPr>
      </w:pPr>
    </w:p>
    <w:bookmarkStart w:id="40" w:name="page41"/>
    <w:bookmarkEnd w:id="40"/>
    <w:p>
      <w:pPr>
        <w:ind w:left="2780"/>
        <w:spacing w:after="0"/>
        <w:rPr>
          <w:sz w:val="20"/>
          <w:szCs w:val="20"/>
          <w:color w:val="auto"/>
        </w:rPr>
      </w:pPr>
      <w:r>
        <w:rPr>
          <w:rFonts w:ascii="Times New Roman" w:cs="Times New Roman" w:eastAsia="Times New Roman" w:hAnsi="Times New Roman"/>
          <w:sz w:val="22"/>
          <w:szCs w:val="22"/>
          <w:color w:val="auto"/>
        </w:rPr>
        <w:t>liquidation, dissolution or winding up of the Corporation.</w:t>
      </w:r>
    </w:p>
    <w:p>
      <w:pPr>
        <w:spacing w:after="0" w:line="247" w:lineRule="exact"/>
        <w:rPr>
          <w:sz w:val="20"/>
          <w:szCs w:val="20"/>
          <w:color w:val="auto"/>
        </w:rPr>
      </w:pPr>
    </w:p>
    <w:p>
      <w:pPr>
        <w:ind w:left="2120" w:hanging="640"/>
        <w:spacing w:after="0" w:line="248" w:lineRule="auto"/>
        <w:tabs>
          <w:tab w:leader="none" w:pos="21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any outstanding preferred stock; (b) there shall have been (I) no reduction in the annual rate of dividends paid on the Common Stock (except as necessary to reflect any subdivision of the Common Stock), except as approved by a majority of the Continuing Directors, and (II)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newly issued share of Voting Stock directly or indirectly from the Corporation except as part of the transaction which results in such Related Person becoming a Related Person.</w:t>
      </w:r>
    </w:p>
    <w:p>
      <w:pPr>
        <w:spacing w:after="0" w:line="214" w:lineRule="exact"/>
        <w:rPr>
          <w:rFonts w:ascii="Times New Roman" w:cs="Times New Roman" w:eastAsia="Times New Roman" w:hAnsi="Times New Roman"/>
          <w:sz w:val="22"/>
          <w:szCs w:val="22"/>
          <w:color w:val="auto"/>
        </w:rPr>
      </w:pPr>
    </w:p>
    <w:p>
      <w:pPr>
        <w:ind w:left="2120" w:right="60" w:hanging="640"/>
        <w:spacing w:after="0" w:line="251" w:lineRule="auto"/>
        <w:tabs>
          <w:tab w:leader="none" w:pos="21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such Related Person has become a Related Person, such Related Person shall not have received the benefit, directly or indirectly (except proportionately, solely in such Related Person’s capacity as a stockholder of the Corporation), of any loans, advances, guarantees, pledges or other financial assistance or any tax credits or other tax advantages provided by the Corporation, whether in anticipation of or in connection with such Business Combination or otherwise.</w:t>
      </w:r>
    </w:p>
    <w:p>
      <w:pPr>
        <w:spacing w:after="0" w:line="208" w:lineRule="exact"/>
        <w:rPr>
          <w:rFonts w:ascii="Times New Roman" w:cs="Times New Roman" w:eastAsia="Times New Roman" w:hAnsi="Times New Roman"/>
          <w:sz w:val="22"/>
          <w:szCs w:val="22"/>
          <w:color w:val="auto"/>
        </w:rPr>
      </w:pPr>
    </w:p>
    <w:p>
      <w:pPr>
        <w:ind w:left="2120" w:right="40" w:hanging="640"/>
        <w:spacing w:after="0" w:line="251" w:lineRule="auto"/>
        <w:tabs>
          <w:tab w:leader="none" w:pos="211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proxy or information statement describing the proposed Business Combination and complying with the requirements of the Exchange Act and the rules and regulations thereunder (or any subsequent provisions replacing such act, rules or regulations) shall be mailed to all stockholders of the Corporation at least 30 days prior to the consummation of such Business Combination (whether or not such proxy or information statement is required to be mailed pursuant to the Exchange Act or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20"/>
          </w:cols>
          <w:pgMar w:left="1440" w:top="1422" w:right="339" w:bottom="1440" w:gutter="0" w:footer="0" w:header="0"/>
        </w:sectPr>
      </w:pPr>
    </w:p>
    <w:bookmarkStart w:id="41" w:name="page42"/>
    <w:bookmarkEnd w:id="41"/>
    <w:p>
      <w:pPr>
        <w:ind w:left="3240" w:right="80"/>
        <w:spacing w:after="0" w:line="256" w:lineRule="auto"/>
        <w:rPr>
          <w:sz w:val="20"/>
          <w:szCs w:val="20"/>
          <w:color w:val="auto"/>
        </w:rPr>
      </w:pPr>
      <w:r>
        <w:rPr>
          <w:rFonts w:ascii="Times New Roman" w:cs="Times New Roman" w:eastAsia="Times New Roman" w:hAnsi="Times New Roman"/>
          <w:sz w:val="22"/>
          <w:szCs w:val="22"/>
          <w:color w:val="auto"/>
        </w:rPr>
        <w:t>provisions). Such proxy or information statement shall contain on the front thereof, prominently displayed, any recommendation as to the advisability or inadvisability of the Business Combination which the Continuing Directors, or any of them, may have furnished in writing to the Board of Directors.</w:t>
      </w:r>
    </w:p>
    <w:p>
      <w:pPr>
        <w:spacing w:after="0" w:line="203" w:lineRule="exact"/>
        <w:rPr>
          <w:sz w:val="20"/>
          <w:szCs w:val="20"/>
          <w:color w:val="auto"/>
        </w:rPr>
      </w:pPr>
    </w:p>
    <w:p>
      <w:pPr>
        <w:ind w:left="660" w:firstLine="644"/>
        <w:spacing w:after="0" w:line="262" w:lineRule="auto"/>
        <w:tabs>
          <w:tab w:leader="none" w:pos="195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total number of authorized directors (whether or not there exist any vacancies in previously authorized directorships at the time any determination is to be made by the Board of Directors) shall have the power and duty to determine, on the basis of information known to them after reasonable inquiry, all facts necessary to determine compliance with this Article Twelfth including, without limitation, (1) whether a person is a Related Person, (2) the number of shares of Voting Stock beneficially owned by any person, (3) whether the applicable conditions set forth in paragraph (2) of Section C have been met with respect to any Business Combination, and (4) whether the assets which are the subject of any Business Combination or the Consideration Received for the issuance or transfer of securities by the Corporation or any Subsidiary in any Business Combination have an aggregate Fair Market Value of $500,000 or more.</w:t>
      </w:r>
    </w:p>
    <w:p>
      <w:pPr>
        <w:spacing w:after="0" w:line="199" w:lineRule="exact"/>
        <w:rPr>
          <w:rFonts w:ascii="Times New Roman" w:cs="Times New Roman" w:eastAsia="Times New Roman" w:hAnsi="Times New Roman"/>
          <w:sz w:val="21"/>
          <w:szCs w:val="21"/>
          <w:color w:val="auto"/>
        </w:rPr>
      </w:pPr>
    </w:p>
    <w:p>
      <w:pPr>
        <w:ind w:left="660" w:right="680" w:firstLine="644"/>
        <w:spacing w:after="0" w:line="271" w:lineRule="auto"/>
        <w:tabs>
          <w:tab w:leader="none" w:pos="19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Article Twelfth shall be construed to relieve any Related Person from any fiduciary obligation imposed by law.</w:t>
      </w:r>
    </w:p>
    <w:p>
      <w:pPr>
        <w:spacing w:after="0" w:line="194"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THIRTEENTH</w:t>
      </w:r>
      <w:r>
        <w:rPr>
          <w:rFonts w:ascii="Times New Roman" w:cs="Times New Roman" w:eastAsia="Times New Roman" w:hAnsi="Times New Roman"/>
          <w:sz w:val="22"/>
          <w:szCs w:val="22"/>
          <w:color w:val="auto"/>
        </w:rPr>
        <w:t>: Any action required or permitted to be taken by the stockholders of the Corporation must be effected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annual or special meeting of stockholders of the Corporation and may not be effected by any consent in writing by such stockholders.</w:t>
      </w:r>
    </w:p>
    <w:p>
      <w:pPr>
        <w:spacing w:after="0" w:line="19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FOURTEENTH</w:t>
      </w:r>
      <w:r>
        <w:rPr>
          <w:rFonts w:ascii="Times New Roman" w:cs="Times New Roman" w:eastAsia="Times New Roman" w:hAnsi="Times New Roman"/>
          <w:sz w:val="22"/>
          <w:szCs w:val="22"/>
          <w:color w:val="auto"/>
        </w:rPr>
        <w:t>: To the fullest extent permitted by law, no officer of the Corporation shall be liable to the 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stockholders for monetary damages for breach of fiduciary duty as an officer, except for liability (i) for any breach of the officer’s duty of loyalty to the Corporation or its stockholders, (ii) for acts or omissions not in good faith or which involve intentional misconduct or a knowing violation of law, (iii) for any transaction from which the officer derived an improper personal benefit, or (iv) for any action by or in the right of the Corporation. No repeal or modification of this Article Fourteenth, directly or by adoption of an inconsistent provision of this Certificate of Incorporation, by the stockholders of the Corporation shall be effective with respect to any cause of action, suit, claim or other matter that, but for this Article Fourteenth, would accrue or arise prior to such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42" w:name="page43"/>
    <w:bookmarkEnd w:id="42"/>
    <w:p>
      <w:pPr>
        <w:ind w:firstLine="648"/>
        <w:spacing w:after="0" w:line="257" w:lineRule="auto"/>
        <w:rPr>
          <w:sz w:val="20"/>
          <w:szCs w:val="20"/>
          <w:color w:val="auto"/>
        </w:rPr>
      </w:pPr>
      <w:r>
        <w:rPr>
          <w:rFonts w:ascii="Times New Roman" w:cs="Times New Roman" w:eastAsia="Times New Roman" w:hAnsi="Times New Roman"/>
          <w:sz w:val="22"/>
          <w:szCs w:val="22"/>
          <w:color w:val="auto"/>
        </w:rPr>
        <w:t>IN WITNESS WHEREOF, this Restated Certificate of Incorporation, which has been duly adopted in accordance with Section 245 of the General Corporation Law of the State of Delaware, has been duly executed by a duly authorized officer of the Corporation this 1st day of August, 2023.</w:t>
      </w: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200" w:lineRule="exact"/>
        <w:rPr>
          <w:sz w:val="20"/>
          <w:szCs w:val="20"/>
          <w:color w:val="auto"/>
        </w:rPr>
      </w:pPr>
    </w:p>
    <w:p>
      <w:pPr>
        <w:spacing w:after="0" w:line="344" w:lineRule="exact"/>
        <w:rPr>
          <w:sz w:val="20"/>
          <w:szCs w:val="20"/>
          <w:color w:val="auto"/>
        </w:rPr>
      </w:pPr>
    </w:p>
    <w:p>
      <w:pPr>
        <w:ind w:left="4560"/>
        <w:spacing w:after="0"/>
        <w:tabs>
          <w:tab w:leader="none" w:pos="5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27940</wp:posOffset>
            </wp:positionV>
            <wp:extent cx="19970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Liam Griffin</w:t>
      </w:r>
    </w:p>
    <w:p>
      <w:pPr>
        <w:spacing w:after="0" w:line="7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40"/>
          </w:cols>
          <w:pgMar w:left="320" w:top="1422" w:right="4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22"/>
          <w:szCs w:val="22"/>
          <w:color w:val="auto"/>
        </w:rPr>
        <w:t>CERTIFICATE OF OWNERSHIP AND MERGER</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MERGING</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ADVANCED ANALOGIC TECHNOLOGIES INCORPORATED</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INTO</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(Pursuant to Section 253 of the General Corporation Law of Delaware)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Skyworks Solutions, Inc., a corporation organized and existing under and by virtue of the General Corporation Law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Delaware (the “Corporation”), does hereby certify:</w:t>
      </w:r>
    </w:p>
    <w:p>
      <w:pPr>
        <w:spacing w:after="0" w:line="190" w:lineRule="exact"/>
        <w:rPr>
          <w:sz w:val="20"/>
          <w:szCs w:val="20"/>
          <w:color w:val="auto"/>
        </w:rPr>
      </w:pPr>
    </w:p>
    <w:p>
      <w:pPr>
        <w:ind w:right="48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That the Corporation was incorporated on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September, 1962, pursuant to the provisions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Corporation Law of the State of Delaware.</w:t>
      </w:r>
    </w:p>
    <w:p>
      <w:pPr>
        <w:spacing w:after="0" w:line="187" w:lineRule="exact"/>
        <w:rPr>
          <w:sz w:val="20"/>
          <w:szCs w:val="20"/>
          <w:color w:val="auto"/>
        </w:rPr>
      </w:pPr>
    </w:p>
    <w:p>
      <w:pPr>
        <w:jc w:val="both"/>
        <w:ind w:right="14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That the Corporation owns all of the outstanding shares of capital stock of Advanced Analogic Technologies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a corporation incorporated on January 21, 2005, pursuant to the provisions of the General Corporation Law of the State of Delaware.</w:t>
      </w:r>
    </w:p>
    <w:p>
      <w:pPr>
        <w:spacing w:after="0" w:line="161"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THIRD</w:t>
      </w:r>
      <w:r>
        <w:rPr>
          <w:rFonts w:ascii="Times New Roman" w:cs="Times New Roman" w:eastAsia="Times New Roman" w:hAnsi="Times New Roman"/>
          <w:sz w:val="22"/>
          <w:szCs w:val="22"/>
          <w:color w:val="auto"/>
        </w:rPr>
        <w:t>: That the Corporation, at a meeting of its Board of Directors held on May 14, 2025, duly adopted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resolutions: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Skyworks Solutions, Inc., a Delaware corporation (the “Corporation”), lawfully owns one hundred percent</w:t>
      </w:r>
    </w:p>
    <w:p>
      <w:pPr>
        <w:spacing w:after="0" w:line="3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22"/>
          <w:szCs w:val="22"/>
          <w:color w:val="auto"/>
        </w:rPr>
        <w:t>(100%) of the issued and outstanding shares of capital stock of Advanced Analogic Technologies Incorporated, a Delaware corporation (the “Subsidiary”); and</w:t>
      </w:r>
    </w:p>
    <w:p>
      <w:pPr>
        <w:spacing w:after="0" w:line="168" w:lineRule="exact"/>
        <w:rPr>
          <w:sz w:val="20"/>
          <w:szCs w:val="20"/>
          <w:color w:val="auto"/>
        </w:rPr>
      </w:pPr>
    </w:p>
    <w:p>
      <w:pPr>
        <w:ind w:right="600" w:firstLine="648"/>
        <w:spacing w:after="0" w:line="257" w:lineRule="auto"/>
        <w:rPr>
          <w:sz w:val="20"/>
          <w:szCs w:val="20"/>
          <w:color w:val="auto"/>
        </w:rPr>
      </w:pPr>
      <w:r>
        <w:rPr>
          <w:rFonts w:ascii="Times New Roman" w:cs="Times New Roman" w:eastAsia="Times New Roman" w:hAnsi="Times New Roman"/>
          <w:sz w:val="22"/>
          <w:szCs w:val="22"/>
          <w:color w:val="auto"/>
        </w:rPr>
        <w:t>WHEREAS, the Board of Directors (the “Board”) has determined that it is advisable and in the best interests of the Corporation that the Subsidiary should merge with and into the Corporation, with the Corporation being the surviving corporation.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BE IT:</w:t>
      </w:r>
    </w:p>
    <w:p>
      <w:pPr>
        <w:spacing w:after="0" w:line="233"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22"/>
          <w:szCs w:val="22"/>
          <w:color w:val="auto"/>
        </w:rPr>
        <w:t>RESOLVED, that, pursuant to Section 253 of the Delaware General Corporation Law, the Corporation is hereby authorized to merge the Subsidiary with and into the Corporation (the “Merger”), effective upon filing, with the Corporation being the surviving corporation of the Merger.</w:t>
      </w:r>
    </w:p>
    <w:p>
      <w:pPr>
        <w:spacing w:after="0" w:line="173"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22"/>
          <w:szCs w:val="22"/>
          <w:color w:val="auto"/>
        </w:rPr>
        <w:t>RESOLVED, that the officers of the Corporation (the “Proper Officers”) be, and each of them acting singly hereby is, authorized to execute a Certificate of Ownership and Merger with respect to the Merger, to cause the same to be filed with the Secretary of State of the State of</w:t>
      </w:r>
    </w:p>
    <w:p>
      <w:pPr>
        <w:sectPr>
          <w:pgSz w:w="11900" w:h="16838" w:orient="portrait"/>
          <w:cols w:equalWidth="0" w:num="1">
            <w:col w:w="11200"/>
          </w:cols>
          <w:pgMar w:left="320" w:top="14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20" w:top="1422" w:right="379" w:bottom="1440" w:gutter="0" w:footer="0" w:header="0"/>
          <w:type w:val="continuous"/>
        </w:sectPr>
      </w:pPr>
    </w:p>
    <w:bookmarkStart w:id="44" w:name="page45"/>
    <w:bookmarkEnd w:id="44"/>
    <w:p>
      <w:pPr>
        <w:spacing w:after="0" w:line="19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Delaware and to take all such other actions and to execute all such other instruments and agreements as they or any of them may deem necessary or appropriate to effect the Merger.</w:t>
      </w:r>
    </w:p>
    <w:p>
      <w:pPr>
        <w:spacing w:after="0" w:line="15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RESOLVED, that the Proper Officers hereby are, and each of them acting singly hereby is, authorized and empowered to take any and all actions and to execute, affix the Corporation’s seal to and deliver any and all documents, agreements, certificates and instruments, in the name and on behalf of the Corporation, as the Proper Officers may deem necessary or desirable to carry out the purposes and intent of, and to consummate, the Merger and any and all other transactions contemplated by the foregoing resolutions, the execution and delivery of any such document and the taking of any such action to be conclusive evidence of the authority of such Proper Officer pursuant to these resolutions.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FOURTH</w:t>
      </w:r>
      <w:r>
        <w:rPr>
          <w:rFonts w:ascii="Times New Roman" w:cs="Times New Roman" w:eastAsia="Times New Roman" w:hAnsi="Times New Roman"/>
          <w:sz w:val="22"/>
          <w:szCs w:val="22"/>
          <w:color w:val="auto"/>
        </w:rPr>
        <w:t>: That this Certificate of Ownership and Merger shall be effective upon filing.</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180"/>
          </w:cols>
          <w:pgMar w:left="320" w:top="1440" w:right="399" w:bottom="1440" w:gutter="0" w:footer="0" w:header="0"/>
        </w:sectPr>
      </w:pPr>
    </w:p>
    <w:bookmarkStart w:id="45" w:name="page46"/>
    <w:bookmarkEnd w:id="45"/>
    <w:p>
      <w:pPr>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its corporate seal to be affixed and this Certificate to be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its Senior Vice President, General Counsel and Secretary this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2025.</w:t>
      </w:r>
    </w:p>
    <w:p>
      <w:pPr>
        <w:spacing w:after="0" w:line="200" w:lineRule="exact"/>
        <w:rPr>
          <w:sz w:val="20"/>
          <w:szCs w:val="20"/>
          <w:color w:val="auto"/>
        </w:rPr>
      </w:pPr>
    </w:p>
    <w:p>
      <w:pPr>
        <w:spacing w:after="0" w:line="3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SKYWORKS SOLUTIONS, INC.</w:t>
      </w: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By:  /s/ Robert J.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27940</wp:posOffset>
            </wp:positionV>
            <wp:extent cx="19456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Robert J. Terry, Senior Vice President,</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20"/>
          </w:cols>
          <w:pgMar w:left="320" w:top="1418" w:right="5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19685</wp:posOffset>
            </wp:positionV>
            <wp:extent cx="1731645" cy="574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164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29,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Schriesheim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Rob:</w:t>
      </w:r>
    </w:p>
    <w:p>
      <w:pPr>
        <w:spacing w:after="0" w:line="24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2"/>
          <w:szCs w:val="22"/>
          <w:color w:val="auto"/>
        </w:rPr>
        <w:t>I am writing to confirm the details of our offer to you to assume the role of Interim Chief Financial Officer (“Interim CFO”) of Skyworks Solutions, Inc. (“Skyworks” or the “Company”). Beginning on the date of your appointment to the role of Interim Chief Financial Officer by the Company’s Board of Directors (the “Effective Date”), and continuing until the date on which another individual assumes the role of Skyworks’ Chief Financial Officer (the “End Date”) (such period, the “Interim Services Period”), you will be employed by Skyworks pursuant to the terms and conditions set forth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Responsibilities and Duties</w:t>
      </w:r>
    </w:p>
    <w:p>
      <w:pPr>
        <w:spacing w:after="0" w:line="239"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22"/>
          <w:szCs w:val="22"/>
          <w:color w:val="auto"/>
        </w:rPr>
        <w:t>You will serve as Skyworks’ Interim CFO and will perform those duties and have those responsibilities commensurate with the position of a Chief Financial Officer. You will travel as appropriate to fulfill your duties, including, as needed, to Skyworks’ Irvine, California offices. The Company will reimburse you for the costs of such travel, including any taxes payable with respect thereto.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Compensation and Benefits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Salary</w:t>
      </w:r>
    </w:p>
    <w:p>
      <w:pPr>
        <w:spacing w:after="0" w:line="237"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22"/>
          <w:szCs w:val="22"/>
          <w:color w:val="auto"/>
        </w:rPr>
        <w:t>You will be paid a base salary at the annualized rate of $625,000, payable biweekly in accordance with the standard payroll practices of the Company and subject to all withholdings and deductions as required by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Interim Service RSU Grant</w:t>
      </w:r>
    </w:p>
    <w:p>
      <w:pPr>
        <w:spacing w:after="0" w:line="264"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22"/>
          <w:szCs w:val="22"/>
          <w:color w:val="auto"/>
        </w:rPr>
        <w:t>You will receive a grant of Restricted Stock Units (“Interim Service RSUs”) made under the Company’s Second Amended and Restated 2015 Long-Term Incentive Plan, with the number of shares subject to such award calculated by dividing $1,200,000 by the closing price of the Company’s common stock on the Effective Date. The Interim Service RSUs shall vest on the second anniversary of the Effective Date in an amount equal to the sum of (i) fifty percent</w:t>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(50%) of the Interim Service RSUs and (ii) a number of Interim Service RSUs equal to the product of fifty percent (50%) of the Interim Service RSUs multiplied by a fraction, the numerator of which is the number of full months during which you provide services as Interim CFO and the denominator of which is 6 (i.e., </w:t>
      </w:r>
      <w:r>
        <w:rPr>
          <w:rFonts w:ascii="Times New Roman" w:cs="Times New Roman" w:eastAsia="Times New Roman" w:hAnsi="Times New Roman"/>
          <w:sz w:val="22"/>
          <w:szCs w:val="22"/>
          <w:i w:val="1"/>
          <w:iCs w:val="1"/>
          <w:color w:val="auto"/>
        </w:rPr>
        <w:t>the number of shares referred to in clause (ii) that ultimately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vest will be based on full months served</w:t>
      </w:r>
      <w:r>
        <w:rPr>
          <w:rFonts w:ascii="Times New Roman" w:cs="Times New Roman" w:eastAsia="Times New Roman" w:hAnsi="Times New Roman"/>
          <w:sz w:val="22"/>
          <w:szCs w:val="22"/>
          <w:color w:val="auto"/>
        </w:rPr>
        <w:t>); provided, however, that the fraction in clause (ii) shall not be greater than one.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Interim Service RSUs will be subject to the terms and conditions set forth in the applicable award agreement.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award agreement with respect to the Interim Service RSUs will be available in your E*Trade/Morgan Stanley stock plan account after the grant date. You will be notified through your Skyworks email when the grant is available for acceptance, at which time you must take action to activate your E*Trade/Morgan Stanley account and accept your award.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Executive Financial/Tax/Health Reimbursement Program</w:t>
      </w:r>
    </w:p>
    <w:p>
      <w:pPr>
        <w:spacing w:after="0" w:line="224"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For fiscal year 2025, you will be eligible to be reimbursed up to $20,000 for the cost of financial planning services, personal tax/estate planning and preparation services, and/or an executive physical. Such reimbursements shall not be subject to any tax gross-ups and shall be subject to the terms of Skyworks’ applicable executive reimbursement policy.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Employee Benefits</w:t>
      </w:r>
    </w:p>
    <w:p>
      <w:pPr>
        <w:spacing w:after="0" w:line="2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In addition, you may participate in the Company’s benefit plans pursuant to the terms and conditions of such plans. Benefits are subject to change at any time in Skyworks’ sole discretion.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 Ownership Requirements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light of the interim nature of this position, you will continue to be subject to the Company’s Director Ownership and Retention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Miscellaneous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Continued Board Service</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Nothing herein or the occurrence of the End Date shall alter your continued service on Skyworks’ Board of Directors for any term to which you have been duly elected as a director.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Conditions of Offer and Employment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As a condition of your employment, you will be required to sign our standard Employment Agreement, pursuant to which you will acknowledge and agree, among other things, that your employment with Skyworks will be at-will, of an indefinite duration and terminable with or without cause and with or without notice at any time, either by you or Skyworks, including during the Interim Services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1422" w:right="439" w:bottom="1440" w:gutter="0" w:footer="0" w:header="0"/>
        </w:sectPr>
      </w:pPr>
    </w:p>
    <w:bookmarkStart w:id="48" w:name="page49"/>
    <w:bookmarkEnd w:id="48"/>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When you commence employment you will also be required to acknowledge your receipt and review of our Code of Business Conduct and Ethics, which, among other things, requires you to avoid any activity or relationship that would cause an actual or apparent conflict of interest with your responsibilities to Skyworks, and you will be required to sign and abide by all of Skyworks’ written policies.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Additionally, shortly after accepting the offer, you will receive an email asking you to promptly log into our system and complete Section 1 of the Form I-9. You must complete Section 1 no later than the first day of your employment and submit acceptable documentation (as noted on the Form I-9) verifying your identity and work authorization within three days of starting employment.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Clawback</w:t>
      </w:r>
    </w:p>
    <w:p>
      <w:pPr>
        <w:spacing w:after="0" w:line="22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You acknowledge and agree that, as applicable, you will be subject to and bound by the terms and conditions of Skyworks’ Executive Compensation Recovery Policy (as it may be amended, restated, supplemented or otherwise modified from time to time, the “Clawback Policy”), a copy of which has been provided or made available to you. You will also be required to sign and return Skyworks’ Attestation and Acknowledgement of Clawback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Entire Agreement; Governing Law</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offer letter (together with the Employment Agreement, the Clawback Policy and stock award plan document referenced above) contains the entire understanding of the parties concerning its subject matter and supersedes any prior or contemporaneous promises, understandings, agreements, representations, or offers, either written or oral, related thereto. This offer letter may be modified only by a written instrument executed by both parties. The Company reserves the right to amend, modify, or eliminate standard employee benefit and compensation programs at any time with or without notice. This offer letter and any disputes hereunder shall be governed by and construed in accordance with the internal laws of the State of California without giving effect to any choice or conflict of law provision or rule (whether of California or any other jurisdiction) that would cause the application of laws of any jurisdiction other than those of California.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1440" w:right="439" w:bottom="1440" w:gutter="0" w:footer="0" w:header="0"/>
        </w:sectPr>
      </w:pPr>
    </w:p>
    <w:bookmarkStart w:id="49" w:name="page50"/>
    <w:bookmarkEnd w:id="49"/>
    <w:p>
      <w:pPr>
        <w:spacing w:after="0" w:line="271" w:lineRule="auto"/>
        <w:rPr>
          <w:sz w:val="20"/>
          <w:szCs w:val="20"/>
          <w:color w:val="auto"/>
        </w:rPr>
      </w:pPr>
      <w:r>
        <w:rPr>
          <w:rFonts w:ascii="Times New Roman" w:cs="Times New Roman" w:eastAsia="Times New Roman" w:hAnsi="Times New Roman"/>
          <w:sz w:val="22"/>
          <w:szCs w:val="22"/>
          <w:color w:val="auto"/>
        </w:rPr>
        <w:t>Upon receiving this offer letter, please contact me to discuss any questions that you may have. Please indicate your acceptance of the offer by signing and returning a scanned copy of this letter via email to me.</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We are excited about the prospect of you serving in this interim capacity. If you have any questions about any of the above, please call 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Karilee Durham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Kari Durham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SVP, Human Resources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142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of Offer</w:t>
      </w:r>
    </w:p>
    <w:p>
      <w:pPr>
        <w:spacing w:after="0" w:line="200" w:lineRule="exact"/>
        <w:rPr>
          <w:sz w:val="20"/>
          <w:szCs w:val="20"/>
          <w:color w:val="auto"/>
        </w:rPr>
      </w:pPr>
    </w:p>
    <w:p>
      <w:pPr>
        <w:spacing w:after="0" w:line="2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have read and understood,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promises, understandings, agreements, representations, and offers, both written and oral, with respect to the subject matter of this letter.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 Robert Schriesheim</w:t>
            </w:r>
          </w:p>
        </w:tc>
        <w:tc>
          <w:tcPr>
            <w:tcW w:w="4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05/29/2025</w:t>
            </w:r>
          </w:p>
        </w:tc>
      </w:tr>
      <w:tr>
        <w:trPr>
          <w:trHeight w:val="290"/>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Robert Schriesheim</w:t>
            </w:r>
          </w:p>
        </w:tc>
        <w:tc>
          <w:tcPr>
            <w:tcW w:w="300" w:type="dxa"/>
            <w:vAlign w:val="bottom"/>
          </w:tcPr>
          <w:p>
            <w:pPr>
              <w:spacing w:after="0"/>
              <w:rPr>
                <w:sz w:val="24"/>
                <w:szCs w:val="24"/>
                <w:color w:val="auto"/>
              </w:rPr>
            </w:pPr>
          </w:p>
        </w:tc>
        <w:tc>
          <w:tcPr>
            <w:tcW w:w="4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Date</w:t>
            </w:r>
          </w:p>
        </w:tc>
      </w:tr>
    </w:tbl>
    <w:p>
      <w:pPr>
        <w:sectPr>
          <w:pgSz w:w="11900" w:h="16838" w:orient="portrait"/>
          <w:cols w:equalWidth="0" w:num="1">
            <w:col w:w="11140"/>
          </w:cols>
          <w:pgMar w:left="320" w:top="1337"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68" w:lineRule="exact"/>
        <w:rPr>
          <w:sz w:val="20"/>
          <w:szCs w:val="20"/>
          <w:color w:val="auto"/>
        </w:rPr>
      </w:pPr>
    </w:p>
    <w:p>
      <w:pPr>
        <w:jc w:val="center"/>
        <w:spacing w:after="0"/>
        <w:rPr>
          <w:sz w:val="20"/>
          <w:szCs w:val="20"/>
          <w:color w:val="auto"/>
        </w:rPr>
      </w:pPr>
      <w:r>
        <w:rPr>
          <w:rFonts w:ascii="Cambria" w:cs="Cambria" w:eastAsia="Cambria" w:hAnsi="Cambria"/>
          <w:sz w:val="36"/>
          <w:szCs w:val="36"/>
          <w:b w:val="1"/>
          <w:bCs w:val="1"/>
          <w:color w:val="auto"/>
        </w:rPr>
        <w:t>SKYWORKS SOLUTIONS, INC.</w:t>
      </w:r>
    </w:p>
    <w:p>
      <w:pPr>
        <w:spacing w:after="0" w:line="20" w:lineRule="exact"/>
        <w:rPr>
          <w:sz w:val="20"/>
          <w:szCs w:val="20"/>
          <w:color w:val="auto"/>
        </w:rPr>
      </w:pPr>
    </w:p>
    <w:p>
      <w:pPr>
        <w:jc w:val="center"/>
        <w:spacing w:after="0" w:line="248" w:lineRule="auto"/>
        <w:rPr>
          <w:sz w:val="20"/>
          <w:szCs w:val="20"/>
          <w:color w:val="auto"/>
        </w:rPr>
      </w:pPr>
      <w:r>
        <w:rPr>
          <w:rFonts w:ascii="Cambria" w:cs="Cambria" w:eastAsia="Cambria" w:hAnsi="Cambria"/>
          <w:sz w:val="25"/>
          <w:szCs w:val="25"/>
          <w:b w:val="1"/>
          <w:bCs w:val="1"/>
          <w:color w:val="auto"/>
        </w:rPr>
        <w:t>RESTRICTED STOCK UNIT AGREEMENT GRANTED UNDER SECOND AMENDED AND RESTATED 2015 LONG-TERM INCENTIVE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(the “Grant Date”): May 29,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(the “Participant”): Robert Schriesheim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 (the “Award”): 17,266 restricted stock units</w:t>
      </w:r>
    </w:p>
    <w:p>
      <w:pPr>
        <w:spacing w:after="0" w:line="200" w:lineRule="exact"/>
        <w:rPr>
          <w:sz w:val="20"/>
          <w:szCs w:val="20"/>
          <w:color w:val="auto"/>
        </w:rPr>
      </w:pPr>
    </w:p>
    <w:p>
      <w:pPr>
        <w:spacing w:after="0" w:line="263"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AGREEMENT made on the Grant Date, between Skyworks Solutions, Inc., a Delaware corporation (the “Company”), and the Participant.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good and valuable consideration, receipt of which is acknowledged, the parties hereto agree as follows:</w:t>
      </w:r>
    </w:p>
    <w:p>
      <w:pPr>
        <w:spacing w:after="0" w:line="220"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Restricted Stock Unit Agreement (the “Agreement”) evidences the grant by the Company on the Grant Date to the Participant of the Award, subject to the terms and conditions set forth in this Agreement and in the Company’s Second Amended and Restated 2015 Long-Term Incentive Plan (the “Plan”). Each Restricted Stock Unit represents the right to receive one share of the common stock, $0.25 par value per share, of the Company (“Common Stock”) following the satisfaction of the vesting conditions as provided in Section 2 of this Agreement, on the terms set forth herein. The shares of Common Stock that are issuable hereunder are referred to in this Agreement as “Shares.” No Shares shall be issued by the Company and delivered to the Participant unless, and until, all conditions set forth herein for such issuance and delivery are met.</w:t>
      </w:r>
    </w:p>
    <w:p>
      <w:pPr>
        <w:spacing w:after="0" w:line="179" w:lineRule="exact"/>
        <w:rPr>
          <w:sz w:val="20"/>
          <w:szCs w:val="20"/>
          <w:color w:val="auto"/>
        </w:rPr>
      </w:pPr>
    </w:p>
    <w:p>
      <w:pPr>
        <w:ind w:left="1040" w:hanging="384"/>
        <w:spacing w:after="0"/>
        <w:tabs>
          <w:tab w:leader="none" w:pos="10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 Forfeiture</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xml:space="preserve">. Fifty percent </w:t>
      </w:r>
      <w:r>
        <w:rPr>
          <w:rFonts w:ascii="Times New Roman" w:cs="Times New Roman" w:eastAsia="Times New Roman" w:hAnsi="Times New Roman"/>
          <w:sz w:val="22"/>
          <w:szCs w:val="22"/>
          <w:b w:val="1"/>
          <w:bCs w:val="1"/>
          <w:color w:val="auto"/>
        </w:rPr>
        <w:t>(50%)</w:t>
      </w:r>
      <w:r>
        <w:rPr>
          <w:rFonts w:ascii="Times New Roman" w:cs="Times New Roman" w:eastAsia="Times New Roman" w:hAnsi="Times New Roman"/>
          <w:sz w:val="22"/>
          <w:szCs w:val="22"/>
          <w:color w:val="auto"/>
        </w:rPr>
        <w:t xml:space="preserve"> of the total number of Restricted Stock Units shall not be subject to vesting based on the Participant’s continued provision of service to the Company and fifty percent </w:t>
      </w:r>
      <w:r>
        <w:rPr>
          <w:rFonts w:ascii="Times New Roman" w:cs="Times New Roman" w:eastAsia="Times New Roman" w:hAnsi="Times New Roman"/>
          <w:sz w:val="22"/>
          <w:szCs w:val="22"/>
          <w:b w:val="1"/>
          <w:bCs w:val="1"/>
          <w:color w:val="auto"/>
        </w:rPr>
        <w:t>(50%)</w:t>
      </w:r>
      <w:r>
        <w:rPr>
          <w:rFonts w:ascii="Times New Roman" w:cs="Times New Roman" w:eastAsia="Times New Roman" w:hAnsi="Times New Roman"/>
          <w:sz w:val="22"/>
          <w:szCs w:val="22"/>
          <w:color w:val="auto"/>
        </w:rPr>
        <w:t xml:space="preserve"> of the total number of Restricted Stock Units shall vest in substantially equal monthly installments, subject to the Participant’s continued service to the Company solely in the capacity of Interim Chief Financial Officer (“Interim CFO”), at the end of each full month of service by the Participant as the Company’s Interim CFO between the Grant Date and the six-month anniversary thereof. For the avoidance of doubt, in no event shall (i) fewer than fifty percent </w:t>
      </w:r>
      <w:r>
        <w:rPr>
          <w:rFonts w:ascii="Times New Roman" w:cs="Times New Roman" w:eastAsia="Times New Roman" w:hAnsi="Times New Roman"/>
          <w:sz w:val="22"/>
          <w:szCs w:val="22"/>
          <w:b w:val="1"/>
          <w:bCs w:val="1"/>
          <w:color w:val="auto"/>
        </w:rPr>
        <w:t>(50%)</w:t>
      </w:r>
      <w:r>
        <w:rPr>
          <w:rFonts w:ascii="Times New Roman" w:cs="Times New Roman" w:eastAsia="Times New Roman" w:hAnsi="Times New Roman"/>
          <w:sz w:val="22"/>
          <w:szCs w:val="22"/>
          <w:color w:val="auto"/>
        </w:rPr>
        <w:t xml:space="preserve"> of the total number of Restricted Stock Units be</w:t>
      </w:r>
    </w:p>
    <w:p>
      <w:pPr>
        <w:sectPr>
          <w:pgSz w:w="11900" w:h="16838" w:orient="portrait"/>
          <w:cols w:equalWidth="0" w:num="1">
            <w:col w:w="11240"/>
          </w:cols>
          <w:pgMar w:left="320" w:top="1413" w:right="339" w:bottom="1440" w:gutter="0" w:footer="0" w:header="0"/>
        </w:sectPr>
      </w:pPr>
    </w:p>
    <w:bookmarkStart w:id="52" w:name="page53"/>
    <w:bookmarkEnd w:id="52"/>
    <w:p>
      <w:pPr>
        <w:spacing w:after="0" w:line="275" w:lineRule="auto"/>
        <w:rPr>
          <w:sz w:val="20"/>
          <w:szCs w:val="20"/>
          <w:color w:val="auto"/>
        </w:rPr>
      </w:pPr>
      <w:r>
        <w:rPr>
          <w:rFonts w:ascii="Times New Roman" w:cs="Times New Roman" w:eastAsia="Times New Roman" w:hAnsi="Times New Roman"/>
          <w:sz w:val="22"/>
          <w:szCs w:val="22"/>
          <w:color w:val="auto"/>
        </w:rPr>
        <w:t xml:space="preserve">vested hereunder or (ii) more than one hundred percent </w:t>
      </w:r>
      <w:r>
        <w:rPr>
          <w:rFonts w:ascii="Times New Roman" w:cs="Times New Roman" w:eastAsia="Times New Roman" w:hAnsi="Times New Roman"/>
          <w:sz w:val="22"/>
          <w:szCs w:val="22"/>
          <w:b w:val="1"/>
          <w:bCs w:val="1"/>
          <w:color w:val="auto"/>
        </w:rPr>
        <w:t>(100%</w:t>
      </w:r>
      <w:r>
        <w:rPr>
          <w:rFonts w:ascii="Times New Roman" w:cs="Times New Roman" w:eastAsia="Times New Roman" w:hAnsi="Times New Roman"/>
          <w:sz w:val="22"/>
          <w:szCs w:val="22"/>
          <w:color w:val="auto"/>
        </w:rPr>
        <w:t>) of the total number of Restricted Stock Units be vested hereunder.</w:t>
      </w:r>
    </w:p>
    <w:p>
      <w:pPr>
        <w:spacing w:after="0" w:line="153" w:lineRule="exact"/>
        <w:rPr>
          <w:sz w:val="20"/>
          <w:szCs w:val="20"/>
          <w:color w:val="auto"/>
        </w:rPr>
      </w:pPr>
    </w:p>
    <w:p>
      <w:pPr>
        <w:jc w:val="both"/>
        <w:ind w:firstLine="1304"/>
        <w:spacing w:after="0" w:line="250" w:lineRule="auto"/>
        <w:tabs>
          <w:tab w:leader="none" w:pos="179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of Employment</w:t>
      </w:r>
      <w:r>
        <w:rPr>
          <w:rFonts w:ascii="Times New Roman" w:cs="Times New Roman" w:eastAsia="Times New Roman" w:hAnsi="Times New Roman"/>
          <w:sz w:val="22"/>
          <w:szCs w:val="22"/>
          <w:color w:val="auto"/>
        </w:rPr>
        <w:t>. Except as otherwise provided in Section 11 of the Plan, in the event that the Participant ceases to be employed by the Company as its Interim CFO for any reason or no reason, with or without Cause, all of the Restricted Stock Units that are not yet vested pursuant to Section 2(a) of this Agreement as of the time of such termination of employment shall be forfeited immediately and automatically, without the payment of any consideration to the Participant, effective as of such termination of employment. For the avoidance of doubt, the acceleration provisions of Section 9 of the Plan shall not apply to the Award. The Participant shall have no further rights with respect to any Restricted Stock Units that are so forfeited. If the Participant is employed by a Subsidiary of the Company, any references in this Agreement to employment with the Company shall instead be deemed to refer to employment with such Subsidiary.</w:t>
      </w:r>
    </w:p>
    <w:p>
      <w:pPr>
        <w:spacing w:after="0" w:line="18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this Agreement and notwithstanding anything to the contrary in the Plan, any Shares subject to vested Restricted Stock Units shall be issued on the earliest to occur of the second anniversary of the Grant Date, a Change in Control, the Participant’s death or the Participant’s Disability. Any Shares that are not subject to vested Restricted Stock Units at the time of settlement shall be forfeited and the Participant will have no further rights with respect thereto. Settlement of Restricted Stock Units shall be in Shares only.</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obligated to issue and deliver the Shares to the Participant in accordance with Section 3(a) hereof, unless the issuance and delivery of the Shares shall comply with all relevant provisions of law and other legal requirements including, without limitation, any applicable federal or state or foreign securities laws and the requirements of any stock exchange upon which the Shares may then be listed.</w:t>
      </w:r>
    </w:p>
    <w:p>
      <w:pPr>
        <w:spacing w:after="0" w:line="17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Participant shall not sell, assign, transfer, pledge, hypothecate or otherwise dispose of, by operation of law or otherwise, the Award or the Shares subject to the Award (until such Shares have been issued pursuant to Section 3(a) hereof), or any interest therein, except by will or the laws of descent and distribution.</w:t>
      </w:r>
    </w:p>
    <w:p>
      <w:pPr>
        <w:spacing w:after="0" w:line="186" w:lineRule="exact"/>
        <w:rPr>
          <w:sz w:val="20"/>
          <w:szCs w:val="20"/>
          <w:color w:val="auto"/>
        </w:rPr>
      </w:pPr>
    </w:p>
    <w:p>
      <w:pPr>
        <w:ind w:left="1040" w:hanging="384"/>
        <w:spacing w:after="0"/>
        <w:tabs>
          <w:tab w:leader="none" w:pos="10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 Dividend and Other Shareholder Rights.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Agreement is subject to the provisions of the Plan, a copy of which is furnished to the Participant with this Agreement. Capitalized terms not otherwise defined in this Agreement shall have the meaning set forth in the Plan. Except as set forth in the Plan, neither the Participant nor any person claiming under or through the Participant shall be, or have any rights or privileges of, a stockholder of the Company in respect of the Shares issuable pursuant to the Restricted Stock Units granted hereunder until the Shares have been issued by the Company and delivered to the Participant.</w:t>
      </w:r>
    </w:p>
    <w:p>
      <w:pPr>
        <w:sectPr>
          <w:pgSz w:w="11900" w:h="16838" w:orient="portrait"/>
          <w:cols w:equalWidth="0" w:num="1">
            <w:col w:w="11240"/>
          </w:cols>
          <w:pgMar w:left="320" w:top="1418" w:right="339" w:bottom="1440" w:gutter="0" w:footer="0" w:header="0"/>
        </w:sectPr>
      </w:pPr>
    </w:p>
    <w:bookmarkStart w:id="53" w:name="page54"/>
    <w:bookmarkEnd w:id="53"/>
    <w:p>
      <w:pPr>
        <w:ind w:left="1032" w:hanging="384"/>
        <w:spacing w:after="0"/>
        <w:tabs>
          <w:tab w:leader="none" w:pos="103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 No Section 83(b) Election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51" w:lineRule="auto"/>
        <w:tabs>
          <w:tab w:leader="none" w:pos="1785"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that Shares are to be issued pursuant to Section 3 hereof, the Company shall automatically, and without any action or election by the Participant, withhold a number of Shares having a Fair Market Value on such date equal to the amount sufficient to satisfy the taxes required by law to be withheld, based on the minimum statutory withholding rates for federal, state, local and foreign income tax and payroll tax purposes that are applicable to such taxable income; provided, however, that if the Participant is permitted by the Committee to elect to use a higher withholding rate, the number of Shares withheld shall be based on such higher withholding rate.</w:t>
      </w:r>
    </w:p>
    <w:p>
      <w:pPr>
        <w:spacing w:after="0" w:line="181" w:lineRule="exact"/>
        <w:rPr>
          <w:rFonts w:ascii="Times New Roman" w:cs="Times New Roman" w:eastAsia="Times New Roman" w:hAnsi="Times New Roman"/>
          <w:sz w:val="22"/>
          <w:szCs w:val="22"/>
          <w:color w:val="auto"/>
        </w:rPr>
      </w:pPr>
    </w:p>
    <w:p>
      <w:pPr>
        <w:ind w:left="-8" w:firstLine="1304"/>
        <w:spacing w:after="0" w:line="284" w:lineRule="auto"/>
        <w:tabs>
          <w:tab w:leader="none" w:pos="1834"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that no election under Section 83(b) of the Internal Revenue Code of 1986 may be filed with respect to this Award or the Shares issued hereunder.</w:t>
      </w:r>
    </w:p>
    <w:p>
      <w:pPr>
        <w:spacing w:after="0" w:line="143" w:lineRule="exact"/>
        <w:rPr>
          <w:rFonts w:ascii="Times New Roman" w:cs="Times New Roman" w:eastAsia="Times New Roman" w:hAnsi="Times New Roman"/>
          <w:sz w:val="22"/>
          <w:szCs w:val="22"/>
          <w:color w:val="auto"/>
        </w:rPr>
      </w:pPr>
    </w:p>
    <w:p>
      <w:pPr>
        <w:ind w:left="1032" w:hanging="384"/>
        <w:spacing w:after="0"/>
        <w:tabs>
          <w:tab w:leader="none" w:pos="103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51" w:lineRule="auto"/>
        <w:tabs>
          <w:tab w:leader="none" w:pos="1744"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81" w:lineRule="exact"/>
        <w:rPr>
          <w:rFonts w:ascii="Times New Roman" w:cs="Times New Roman" w:eastAsia="Times New Roman" w:hAnsi="Times New Roman"/>
          <w:sz w:val="22"/>
          <w:szCs w:val="22"/>
          <w:color w:val="auto"/>
        </w:rPr>
      </w:pPr>
    </w:p>
    <w:p>
      <w:pPr>
        <w:jc w:val="both"/>
        <w:ind w:left="-8" w:firstLine="1304"/>
        <w:spacing w:after="0" w:line="253" w:lineRule="auto"/>
        <w:tabs>
          <w:tab w:leader="none" w:pos="1783"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w:t>
      </w:r>
      <w:r>
        <w:rPr>
          <w:rFonts w:ascii="Times New Roman" w:cs="Times New Roman" w:eastAsia="Times New Roman" w:hAnsi="Times New Roman"/>
          <w:sz w:val="22"/>
          <w:szCs w:val="22"/>
          <w:color w:val="auto"/>
        </w:rPr>
        <w:t>. The Participant acknowledges and agrees that the vesting of the Shares pursuant to Section 2 hereof is earned only by continuing to provide active service to the Company as an employee at the will of the Company. The Participant further acknowledges and agrees that the transactions contemplated hereunder and the vesting schedule set forth herein do not constitute an express or implied promise of continued engagement as an employee for the vesting period, for any period, or at all.</w:t>
      </w:r>
    </w:p>
    <w:p>
      <w:pPr>
        <w:spacing w:after="0" w:line="178" w:lineRule="exact"/>
        <w:rPr>
          <w:rFonts w:ascii="Times New Roman" w:cs="Times New Roman" w:eastAsia="Times New Roman" w:hAnsi="Times New Roman"/>
          <w:sz w:val="22"/>
          <w:szCs w:val="22"/>
          <w:color w:val="auto"/>
        </w:rPr>
      </w:pPr>
    </w:p>
    <w:p>
      <w:pPr>
        <w:jc w:val="both"/>
        <w:ind w:left="-8" w:firstLine="1304"/>
        <w:spacing w:after="0" w:line="261" w:lineRule="auto"/>
        <w:tabs>
          <w:tab w:leader="none" w:pos="1852"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Invention Assignment.</w:t>
      </w:r>
      <w:r>
        <w:rPr>
          <w:rFonts w:ascii="Times New Roman" w:cs="Times New Roman" w:eastAsia="Times New Roman" w:hAnsi="Times New Roman"/>
          <w:sz w:val="21"/>
          <w:szCs w:val="21"/>
          <w:color w:val="auto"/>
        </w:rPr>
        <w:t xml:space="preserve"> The Participant agrees that he or she will promptly disclose to the Company any invention or discovery, whether or not patentable (hereafter termed “invention” or “inventions”) that he or she makes or conceives, or first actually reduces to practice, solely or jointly with others, during the Participant’s employment, and which at the time of disclosure to the Company or at the time of making or conceiving, or first actually reducing to practice (a) results from or is related to any assignments given to or assumed by the Participant, or (b) is subject to any contractual obligation of the Company to a third party, or (c) utilized the time, equipment, supplies, facilities, or trade secret information of the Company, or</w:t>
      </w:r>
    </w:p>
    <w:p>
      <w:pPr>
        <w:jc w:val="both"/>
        <w:ind w:left="-8" w:firstLine="8"/>
        <w:spacing w:after="0" w:line="249" w:lineRule="auto"/>
        <w:tabs>
          <w:tab w:leader="none" w:pos="30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pertains to any actual or anticipated Company work, product, research, business activity, or any logical extension thereof, and the Participant will assign and does hereby assign to the Company the Participant’s entire right, title and interest (domestic and foreign and including all rights under the International Convention for the Protection of Industrial Property) in all such inventions,</w:t>
      </w:r>
    </w:p>
    <w:p>
      <w:pPr>
        <w:sectPr>
          <w:pgSz w:w="11900" w:h="16838" w:orient="portrait"/>
          <w:cols w:equalWidth="0" w:num="1">
            <w:col w:w="11232"/>
          </w:cols>
          <w:pgMar w:left="328" w:top="1422" w:right="339" w:bottom="1440" w:gutter="0" w:footer="0" w:header="0"/>
        </w:sectPr>
      </w:pPr>
    </w:p>
    <w:bookmarkStart w:id="54" w:name="page55"/>
    <w:bookmarkEnd w:id="54"/>
    <w:p>
      <w:pPr>
        <w:ind w:right="20"/>
        <w:spacing w:after="0" w:line="271" w:lineRule="auto"/>
        <w:rPr>
          <w:sz w:val="20"/>
          <w:szCs w:val="20"/>
          <w:color w:val="auto"/>
        </w:rPr>
      </w:pPr>
      <w:r>
        <w:rPr>
          <w:rFonts w:ascii="Times New Roman" w:cs="Times New Roman" w:eastAsia="Times New Roman" w:hAnsi="Times New Roman"/>
          <w:sz w:val="22"/>
          <w:szCs w:val="22"/>
          <w:color w:val="auto"/>
        </w:rPr>
        <w:t>subject to the requirements of law, and without further compensation or award of any kind to the Participant from the Company, or any customer.</w:t>
      </w:r>
    </w:p>
    <w:p>
      <w:pPr>
        <w:spacing w:after="0" w:line="158" w:lineRule="exact"/>
        <w:rPr>
          <w:sz w:val="20"/>
          <w:szCs w:val="20"/>
          <w:color w:val="auto"/>
        </w:rPr>
      </w:pPr>
    </w:p>
    <w:p>
      <w:pPr>
        <w:jc w:val="both"/>
        <w:ind w:firstLine="1304"/>
        <w:spacing w:after="0" w:line="263" w:lineRule="auto"/>
        <w:tabs>
          <w:tab w:leader="none" w:pos="189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0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provision for the benefit of the Company contained in this Agreement may be waived, either generally or in any particular instance, by the Board of Directors of the Company.</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4 of this Agreement.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2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Pronouns</w:t>
      </w:r>
      <w:r>
        <w:rPr>
          <w:rFonts w:ascii="Times New Roman" w:cs="Times New Roman" w:eastAsia="Times New Roman" w:hAnsi="Times New Roman"/>
          <w:sz w:val="22"/>
          <w:szCs w:val="22"/>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0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spacing w:after="0" w:line="176"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Acknowledgments</w:t>
      </w:r>
      <w:r>
        <w:rPr>
          <w:rFonts w:ascii="Times New Roman" w:cs="Times New Roman" w:eastAsia="Times New Roman" w:hAnsi="Times New Roman"/>
          <w:sz w:val="22"/>
          <w:szCs w:val="22"/>
          <w:color w:val="auto"/>
        </w:rPr>
        <w:t>. The Participant acknowledges that he or she: (i) has read this Agreement;</w:t>
      </w:r>
    </w:p>
    <w:p>
      <w:pPr>
        <w:spacing w:after="0" w:line="27" w:lineRule="exact"/>
        <w:rPr>
          <w:rFonts w:ascii="Times New Roman" w:cs="Times New Roman" w:eastAsia="Times New Roman" w:hAnsi="Times New Roman"/>
          <w:sz w:val="22"/>
          <w:szCs w:val="22"/>
          <w:color w:val="auto"/>
        </w:rPr>
      </w:pPr>
    </w:p>
    <w:p>
      <w:pPr>
        <w:jc w:val="both"/>
        <w:ind w:firstLine="8"/>
        <w:spacing w:after="0" w:line="255" w:lineRule="auto"/>
        <w:tabs>
          <w:tab w:leader="none" w:pos="33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been represented in the preparation, negotiation, and execution of this Agreement by legal counsel of the Participant’s own choice or has voluntarily declined to seek such counsel; (iii) understands the terms and consequences of this Agreement;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fully aware of the legal and binding effect of this Agreement.</w:t>
      </w:r>
    </w:p>
    <w:p>
      <w:pPr>
        <w:spacing w:after="0" w:line="20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is intended to be exempt from, or compliant with, Section 409A and shall be interpreted and construed consistently therewith. Notwithstanding the foregoing, in no event shall the Company have any liability to the Participant or to any other person in the event that the Agreement is determined to not be exempt from or compliant with Section 409A.</w:t>
      </w:r>
    </w:p>
    <w:p>
      <w:pPr>
        <w:sectPr>
          <w:pgSz w:w="11900" w:h="16838" w:orient="portrait"/>
          <w:cols w:equalWidth="0" w:num="1">
            <w:col w:w="11240"/>
          </w:cols>
          <w:pgMar w:left="320" w:top="1422" w:right="339" w:bottom="1440" w:gutter="0" w:footer="0" w:header="0"/>
        </w:sectPr>
      </w:pPr>
    </w:p>
    <w:bookmarkStart w:id="55" w:name="page56"/>
    <w:bookmarkEnd w:id="55"/>
    <w:p>
      <w:pPr>
        <w:jc w:val="both"/>
        <w:ind w:left="-1120" w:firstLine="1304"/>
        <w:spacing w:after="0" w:line="257" w:lineRule="auto"/>
        <w:tabs>
          <w:tab w:leader="none" w:pos="65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Rights</w:t>
      </w:r>
      <w:r>
        <w:rPr>
          <w:rFonts w:ascii="Times New Roman" w:cs="Times New Roman" w:eastAsia="Times New Roman" w:hAnsi="Times New Roman"/>
          <w:sz w:val="22"/>
          <w:szCs w:val="22"/>
          <w:color w:val="auto"/>
        </w:rPr>
        <w:t>. The right of the Participant to receive Shares pursuant to this Agreement is an unfunded and unsecured obligation of the Company. The Participant shall have no rights under this Agreement other than those of an unsecured general creditor of the Company.</w:t>
      </w:r>
    </w:p>
    <w:p>
      <w:pPr>
        <w:sectPr>
          <w:pgSz w:w="11900" w:h="16838" w:orient="portrait"/>
          <w:cols w:equalWidth="0" w:num="1">
            <w:col w:w="10120"/>
          </w:cols>
          <w:pgMar w:left="1440" w:top="142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above written.</w:t>
      </w:r>
    </w:p>
    <w:p>
      <w:pPr>
        <w:sectPr>
          <w:pgSz w:w="11900" w:h="16838" w:orient="portrait"/>
          <w:cols w:equalWidth="0" w:num="1">
            <w:col w:w="10180"/>
          </w:cols>
          <w:pgMar w:left="980" w:top="1422" w:right="739" w:bottom="1440" w:gutter="0" w:footer="0" w:header="0"/>
        </w:sectPr>
      </w:pPr>
    </w:p>
    <w:p>
      <w:pPr>
        <w:spacing w:after="0" w:line="2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Skyworks Solutions, Inc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 Philip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27940</wp:posOffset>
            </wp:positionV>
            <wp:extent cx="3111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Philip Brace</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b w:val="1"/>
          <w:bCs w:val="1"/>
          <w:color w:val="auto"/>
        </w:rPr>
        <w:t xml:space="preserve">Participant (Signature): </w:t>
      </w:r>
      <w:r>
        <w:rPr>
          <w:rFonts w:ascii="Times New Roman" w:cs="Times New Roman" w:eastAsia="Times New Roman" w:hAnsi="Times New Roman"/>
          <w:sz w:val="21"/>
          <w:szCs w:val="21"/>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38100</wp:posOffset>
            </wp:positionV>
            <wp:extent cx="16459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Print Name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27940</wp:posOffset>
            </wp:positionV>
            <wp:extent cx="23831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0180"/>
          </w:cols>
          <w:pgMar w:left="980" w:top="1422" w:right="739" w:bottom="1440" w:gutter="0" w:footer="0" w:header="0"/>
          <w:type w:val="continuous"/>
        </w:sectPr>
      </w:pPr>
    </w:p>
    <w:bookmarkStart w:id="57" w:name="page58"/>
    <w:bookmarkEnd w:id="5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6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OF THE CEO PURSUANT TO SECURITIES EXCHANGE ACT RULES 13a-14(a) AND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G. Brace, certify that:</w:t>
      </w:r>
    </w:p>
    <w:p>
      <w:pPr>
        <w:spacing w:after="0" w:line="11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5, 2025</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34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Philip G. Brace</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58" w:name="page59"/>
    <w:bookmarkEnd w:id="5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68"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CERTIFICATION OF THE CFO PURSUANT TO SECURITIES EXCHANGE ACT RULES 13a-14(a) AND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Schriesheim, certify that:</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5, 2025</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603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A. Schriesheim</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887" w:right="339" w:bottom="1440" w:gutter="0" w:footer="0" w:header="0"/>
        </w:sectPr>
      </w:pPr>
    </w:p>
    <w:bookmarkStart w:id="59" w:name="page60"/>
    <w:bookmarkEnd w:id="5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June 27, 2025 as filed with the Securities and Exchange Commission on the date hereof (the “Report”), I, Philip G. Brace, President and Chief Executive Officer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G. Brace</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5, 2025</w:t>
      </w:r>
    </w:p>
    <w:p>
      <w:pPr>
        <w:sectPr>
          <w:pgSz w:w="11900" w:h="16838" w:orient="portrait"/>
          <w:cols w:equalWidth="0" w:num="1">
            <w:col w:w="11240"/>
          </w:cols>
          <w:pgMar w:left="320" w:top="887" w:right="339" w:bottom="1440" w:gutter="0" w:footer="0" w:header="0"/>
        </w:sectPr>
      </w:pPr>
    </w:p>
    <w:bookmarkStart w:id="60" w:name="page61"/>
    <w:bookmarkEnd w:id="60"/>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June 27, 2025 as filed with the Securities and Exchange Commission on the date hereof (the “Report”), I, Robert A. Schriesheim, Interim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A. Schriesheim</w:t>
      </w: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5,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8"/>
    </w:lvl>
  </w:abstractNum>
  <w:abstractNum w:abstractNumId="6">
    <w:nsid w:val="54E49EB4"/>
    <w:multiLevelType w:val="hybridMultilevel"/>
    <w:lvl w:ilvl="0">
      <w:lvlJc w:val="left"/>
      <w:lvlText w:val="%1."/>
      <w:numFmt w:val="decimal"/>
      <w:start w:val="10"/>
    </w:lvl>
  </w:abstractNum>
  <w:abstractNum w:abstractNumId="7">
    <w:nsid w:val="71F32454"/>
    <w:multiLevelType w:val="hybridMultilevel"/>
    <w:lvl w:ilvl="0">
      <w:lvlJc w:val="left"/>
      <w:lvlText w:val="%1."/>
      <w:numFmt w:val="decimal"/>
      <w:start w:val="1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04"/>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5"/>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upperLetter"/>
      <w:start w:val="1"/>
    </w:lvl>
    <w:lvl w:ilvl="1">
      <w:lvlJc w:val="left"/>
      <w:lvlText w:val="(%2)"/>
      <w:numFmt w:val="lowerRoman"/>
      <w:start w:val="1"/>
    </w:lvl>
  </w:abstractNum>
  <w:abstractNum w:abstractNumId="19">
    <w:nsid w:val="3006C83E"/>
    <w:multiLevelType w:val="hybridMultilevel"/>
    <w:lvl w:ilvl="0">
      <w:lvlJc w:val="left"/>
      <w:lvlText w:val="%1."/>
      <w:numFmt w:val="decimal"/>
      <w:start w:val="2"/>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5"/>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upperLetter"/>
      <w:start w:val="1"/>
    </w:lvl>
    <w:lvl w:ilvl="1">
      <w:lvlJc w:val="left"/>
      <w:lvlText w:val="(%2)"/>
      <w:numFmt w:val="lowerRoman"/>
      <w:start w:val="1"/>
    </w:lvl>
  </w:abstractNum>
  <w:abstractNum w:abstractNumId="24">
    <w:nsid w:val="5072367"/>
    <w:multiLevelType w:val="hybridMultilevel"/>
    <w:lvl w:ilvl="0">
      <w:lvlJc w:val="left"/>
      <w:lvlText w:val="%1"/>
      <w:numFmt w:val="upperLetter"/>
      <w:start w:val="1"/>
    </w:lvl>
    <w:lvl w:ilvl="1">
      <w:lvlJc w:val="left"/>
      <w:lvlText w:val="(%2)"/>
      <w:numFmt w:val="lowerRoman"/>
      <w:start w:val="5"/>
    </w:lvl>
  </w:abstractNum>
  <w:abstractNum w:abstractNumId="25">
    <w:nsid w:val="3804823E"/>
    <w:multiLevelType w:val="hybridMultilevel"/>
    <w:lvl w:ilvl="0">
      <w:lvlJc w:val="left"/>
      <w:lvlText w:val="%1."/>
      <w:numFmt w:val="upperLetter"/>
      <w:start w:val="3"/>
    </w:lvl>
    <w:lvl w:ilvl="1">
      <w:lvlJc w:val="left"/>
      <w:lvlText w:val="%2"/>
      <w:numFmt w:val="lowerRoman"/>
      <w:start w:val="1"/>
    </w:lvl>
  </w:abstractNum>
  <w:abstractNum w:abstractNumId="26">
    <w:nsid w:val="77465F01"/>
    <w:multiLevelType w:val="hybridMultilevel"/>
    <w:lvl w:ilvl="0">
      <w:lvlJc w:val="left"/>
      <w:lvlText w:val="%1."/>
      <w:numFmt w:val="upperLetter"/>
      <w:start w:val="9"/>
    </w:lvl>
  </w:abstractNum>
  <w:abstractNum w:abstractNumId="27">
    <w:nsid w:val="7724C67E"/>
    <w:multiLevelType w:val="hybridMultilevel"/>
    <w:lvl w:ilvl="0">
      <w:lvlJc w:val="left"/>
      <w:lvlText w:val="%1."/>
      <w:numFmt w:val="decimal"/>
      <w:start w:val="2"/>
    </w:lvl>
  </w:abstractNum>
  <w:abstractNum w:abstractNumId="28">
    <w:nsid w:val="5C482A97"/>
    <w:multiLevelType w:val="hybridMultilevel"/>
    <w:lvl w:ilvl="0">
      <w:lvlJc w:val="left"/>
      <w:lvlText w:val="%1."/>
      <w:numFmt w:val="decimal"/>
      <w:start w:val="3"/>
    </w:lvl>
  </w:abstractNum>
  <w:abstractNum w:abstractNumId="29">
    <w:nsid w:val="2463B9E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30">
    <w:nsid w:val="5E884ADC"/>
    <w:multiLevelType w:val="hybridMultilevel"/>
    <w:lvl w:ilvl="0">
      <w:lvlJc w:val="left"/>
      <w:lvlText w:val="(%1)"/>
      <w:numFmt w:val="lowerRoman"/>
      <w:start w:val="3"/>
    </w:lvl>
  </w:abstractNum>
  <w:abstractNum w:abstractNumId="31">
    <w:nsid w:val="51EAD36B"/>
    <w:multiLevelType w:val="hybridMultilevel"/>
    <w:lvl w:ilvl="0">
      <w:lvlJc w:val="left"/>
      <w:lvlText w:val="%1."/>
      <w:numFmt w:val="decimal"/>
      <w:start w:val="4"/>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2"/>
    </w:lvl>
    <w:lvl w:ilvl="1">
      <w:lvlJc w:val="left"/>
      <w:lvlText w:val="(%2)"/>
      <w:numFmt w:val="lowerLetter"/>
      <w:start w:val="1"/>
    </w:lvl>
  </w:abstractNum>
  <w:abstractNum w:abstractNumId="34">
    <w:nsid w:val="153EA438"/>
    <w:multiLevelType w:val="hybridMultilevel"/>
    <w:lvl w:ilvl="0">
      <w:lvlJc w:val="left"/>
      <w:lvlText w:val="%1"/>
      <w:numFmt w:val="decimal"/>
      <w:start w:val="1"/>
    </w:lvl>
    <w:lvl w:ilvl="1">
      <w:lvlJc w:val="left"/>
      <w:lvlText w:val="(%2)"/>
      <w:numFmt w:val="lowerLetter"/>
      <w:start w:val="2"/>
    </w:lvl>
  </w:abstractNum>
  <w:abstractNum w:abstractNumId="35">
    <w:nsid w:val="3855585C"/>
    <w:multiLevelType w:val="hybridMultilevel"/>
    <w:lvl w:ilvl="0">
      <w:lvlJc w:val="left"/>
      <w:lvlText w:val="%1."/>
      <w:numFmt w:val="decimal"/>
      <w:start w:val="3"/>
    </w:lvl>
    <w:lvl w:ilvl="1">
      <w:lvlJc w:val="left"/>
      <w:lvlText w:val="(%2)"/>
      <w:numFmt w:val="lowerLetter"/>
      <w:start w:val="1"/>
    </w:lvl>
  </w:abstractNum>
  <w:abstractNum w:abstractNumId="36">
    <w:nsid w:val="70A64E2A"/>
    <w:multiLevelType w:val="hybridMultilevel"/>
    <w:lvl w:ilvl="0">
      <w:lvlJc w:val="left"/>
      <w:lvlText w:val="%1."/>
      <w:numFmt w:val="decimal"/>
      <w:start w:val="5"/>
    </w:lvl>
  </w:abstractNum>
  <w:abstractNum w:abstractNumId="37">
    <w:nsid w:val="6A2342E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8">
    <w:nsid w:val="2A487CB0"/>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39">
    <w:nsid w:val="1D4ED43B"/>
    <w:multiLevelType w:val="hybridMultilevel"/>
    <w:lvl w:ilvl="0">
      <w:lvlJc w:val="left"/>
      <w:lvlText w:val="%1"/>
      <w:numFmt w:val="lowerRoman"/>
      <w:start w:val="1"/>
    </w:lvl>
    <w:lvl w:ilvl="1">
      <w:lvlJc w:val="left"/>
      <w:lvlText w:val="(%2)"/>
      <w:numFmt w:val="lowerLetter"/>
      <w:start w:val="4"/>
    </w:lvl>
  </w:abstractNum>
  <w:abstractNum w:abstractNumId="40">
    <w:nsid w:val="725A06FB"/>
    <w:multiLevelType w:val="hybridMultilevel"/>
    <w:lvl w:ilvl="0">
      <w:lvlJc w:val="left"/>
      <w:lvlText w:val="(%1)"/>
      <w:numFmt w:val="lowerRoman"/>
      <w:start w:val="2"/>
    </w:lvl>
    <w:lvl w:ilvl="1">
      <w:lvlJc w:val="left"/>
      <w:lvlText w:val="%2"/>
      <w:numFmt w:val="lowerLetter"/>
      <w:start w:val="1"/>
    </w:lvl>
  </w:abstractNum>
  <w:abstractNum w:abstractNumId="41">
    <w:nsid w:val="2CD89A32"/>
    <w:multiLevelType w:val="hybridMultilevel"/>
    <w:lvl w:ilvl="0">
      <w:lvlJc w:val="left"/>
      <w:lvlText w:val="(%1)"/>
      <w:numFmt w:val="lowerRoman"/>
      <w:start w:val="4"/>
    </w:lvl>
    <w:lvl w:ilvl="1">
      <w:lvlJc w:val="left"/>
      <w:lvlText w:val="(%2)"/>
      <w:numFmt w:val="lowerLetter"/>
      <w:start w:val="11"/>
    </w:lvl>
  </w:abstractNum>
  <w:abstractNum w:abstractNumId="42">
    <w:nsid w:val="57E4CCAF"/>
    <w:multiLevelType w:val="hybridMultilevel"/>
    <w:lvl w:ilvl="0">
      <w:lvlJc w:val="left"/>
      <w:lvlText w:val="(%1)"/>
      <w:numFmt w:val="lowerLetter"/>
      <w:start w:val="12"/>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2025-08-05T16:26:43Z</dcterms:created>
  <dcterms:modified xsi:type="dcterms:W3CDTF">2025-08-05T16:26:43Z</dcterms:modified>
</cp:coreProperties>
</file>