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808-1_s3asr.htm"/>
        <w:bookmarkStart w:id="1" w:name="kstm2620808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August 3,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10"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1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3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3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10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REGISTRATION STATEMENT </w:t>
      </w:r>
      <w:r>
        <w:rPr>
          <w:rFonts w:ascii="Times New Roman;Times;serif" w:hAnsi="Times New Roman;Times;serif"/>
          <w:b/>
          <w:i w:val="false"/>
          <w:caps w:val="false"/>
          <w:smallCaps w:val="false"/>
          <w:color w:val="000000"/>
          <w:sz w:val="19"/>
        </w:rPr>
        <w:br/>
      </w:r>
      <w:r>
        <w:rPr>
          <w:rFonts w:ascii="Times New Roman;Times;serif" w:hAnsi="Times New Roman;Times;serif"/>
          <w:b/>
          <w:i/>
          <w:caps w:val="false"/>
          <w:smallCaps w:val="false"/>
          <w:color w:val="000000"/>
          <w:spacing w:val="-4"/>
          <w:sz w:val="19"/>
        </w:rPr>
        <w:t>UNDER</w:t>
      </w:r>
      <w:r>
        <w:rPr>
          <w:rFonts w:ascii="Times New Roman;Times;serif" w:hAnsi="Times New Roman;Times;serif"/>
          <w:b/>
          <w:i w:val="false"/>
          <w:caps w:val="false"/>
          <w:smallCaps w:val="false"/>
          <w:color w:val="000000"/>
          <w:spacing w:val="-4"/>
          <w:sz w:val="19"/>
        </w:rPr>
        <w:t xml:space="preserve"> </w:t>
      </w:r>
      <w:r>
        <w:rPr>
          <w:rFonts w:ascii="Times New Roman;Times;serif" w:hAnsi="Times New Roman;Times;serif"/>
          <w:b/>
          <w:i w:val="false"/>
          <w:caps w:val="false"/>
          <w:smallCaps w:val="false"/>
          <w:color w:val="000000"/>
          <w:sz w:val="19"/>
        </w:rPr>
        <w:br/>
      </w:r>
      <w:r>
        <w:rPr>
          <w:rFonts w:ascii="Times New Roman;Times;serif" w:hAnsi="Times New Roman;Times;serif"/>
          <w:b/>
          <w:i/>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100" w:after="283"/>
        <w:jc w:val="center"/>
        <w:rPr>
          <w:rFonts w:ascii="Times New Roman;Times;serif" w:hAnsi="Times New Roman;Times;serif"/>
          <w:b w:val="false"/>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SKYWORKS SOLUTIONS, INC. </w:t>
      </w:r>
      <w:r>
        <w:rPr>
          <w:rFonts w:ascii="Times New Roman;Times;serif" w:hAnsi="Times New Roman;Times;serif"/>
          <w:b w:val="false"/>
          <w:i w:val="false"/>
          <w:caps w:val="false"/>
          <w:smallCaps w:val="false"/>
          <w:color w:val="000000"/>
          <w:sz w:val="32"/>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32"/>
        </w:rPr>
        <w:t xml:space="preserve">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8"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9"/>
              </w:rPr>
            </w:pPr>
            <w:r>
              <w:rPr>
                <w:b/>
                <w:spacing w:val="-4"/>
                <w:sz w:val="19"/>
              </w:rPr>
              <w:t>04-2302115</w:t>
            </w:r>
            <w:r>
              <w:rPr>
                <w:b/>
                <w:sz w:val="19"/>
              </w:rPr>
              <w:t xml:space="preserve"> </w:t>
            </w:r>
          </w:p>
          <w:p>
            <w:pPr>
              <w:pStyle w:val="TableContents"/>
              <w:bidi w:val="0"/>
              <w:spacing w:lineRule="atLeast" w:line="180" w:before="38"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58"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5260 California Avenue</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Irvine, CA 92617</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(949) 231-3000</w:t>
      </w:r>
      <w:r>
        <w:rPr>
          <w:rFonts w:ascii="Times New Roman;Times;serif" w:hAnsi="Times New Roman;Times;serif"/>
          <w:b/>
          <w:i w:val="false"/>
          <w:caps w:val="false"/>
          <w:smallCaps w:val="false"/>
          <w:color w:val="000000"/>
          <w:sz w:val="19"/>
        </w:rPr>
        <w:t xml:space="preserve"> </w:t>
      </w:r>
    </w:p>
    <w:p>
      <w:pPr>
        <w:pStyle w:val="TextBody"/>
        <w:bidi w:val="0"/>
        <w:spacing w:lineRule="atLeast" w:line="170" w:before="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190" w:before="10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Robert J. Terry, Esq.</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Senior Vice President, General Counsel and Secretary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Skyworks Solutions, Inc.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5260 California Avenue</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Irvine, CA 92617</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(949) 231-3000</w:t>
      </w:r>
      <w:r>
        <w:rPr>
          <w:rFonts w:ascii="Times New Roman;Times;serif" w:hAnsi="Times New Roman;Times;serif"/>
          <w:b/>
          <w:i w:val="false"/>
          <w:caps w:val="false"/>
          <w:smallCaps w:val="false"/>
          <w:color w:val="000000"/>
          <w:sz w:val="19"/>
        </w:rPr>
        <w:t xml:space="preserve"> </w:t>
      </w:r>
    </w:p>
    <w:p>
      <w:pPr>
        <w:pStyle w:val="TextBody"/>
        <w:bidi w:val="0"/>
        <w:spacing w:lineRule="atLeast" w:line="170" w:before="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10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Copies to:</w:t>
      </w:r>
      <w:r>
        <w:rPr>
          <w:rFonts w:ascii="Times New Roman;Times;serif" w:hAnsi="Times New Roman;Times;serif"/>
          <w:b/>
          <w:i/>
          <w:caps w:val="false"/>
          <w:smallCaps w:val="false"/>
          <w:color w:val="000000"/>
          <w:spacing w:val="4"/>
          <w:sz w:val="19"/>
        </w:rPr>
        <w:t xml:space="preserve"> </w:t>
      </w:r>
    </w:p>
    <w:p>
      <w:pPr>
        <w:pStyle w:val="TextBody"/>
        <w:bidi w:val="0"/>
        <w:spacing w:lineRule="atLeast" w:line="200" w:before="10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P. Michelle Gasaway, Esq.</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Skadden, Arps, Slate, Meagher &amp; Flom LLP</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2000 Avenue of the Stars, Suite 200N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Los Angeles, CA 90067</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Telephone: (213) 687-5000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Approximate date of commencement of proposed sale to the public: From time to time after the effective date of this Registration Statement.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28" w:type="dxa"/>
        <w:jc w:val="left"/>
        <w:tblInd w:w="540" w:type="dxa"/>
        <w:tblLayout w:type="fixed"/>
        <w:tblCellMar>
          <w:top w:w="0" w:type="dxa"/>
          <w:left w:w="0" w:type="dxa"/>
          <w:bottom w:w="0" w:type="dxa"/>
          <w:right w:w="0" w:type="dxa"/>
        </w:tblCellMar>
      </w:tblPr>
      <w:tblGrid>
        <w:gridCol w:w="124"/>
        <w:gridCol w:w="2276"/>
        <w:gridCol w:w="109"/>
        <w:gridCol w:w="109"/>
        <w:gridCol w:w="2656"/>
        <w:gridCol w:w="154"/>
      </w:tblGrid>
      <w:tr>
        <w:trPr/>
        <w:tc>
          <w:tcPr>
            <w:tcW w:w="124" w:type="dxa"/>
            <w:tcBorders/>
            <w:vAlign w:val="center"/>
          </w:tcPr>
          <w:p>
            <w:pPr>
              <w:pStyle w:val="TableContents"/>
              <w:bidi w:val="0"/>
              <w:spacing w:before="0" w:after="283"/>
              <w:jc w:val="left"/>
              <w:rPr/>
            </w:pPr>
            <w:r>
              <w:rPr/>
              <w:t>​</w:t>
            </w:r>
          </w:p>
        </w:tc>
        <w:tc>
          <w:tcPr>
            <w:tcW w:w="2276" w:type="dxa"/>
            <w:tcBorders/>
            <w:vAlign w:val="center"/>
          </w:tcPr>
          <w:p>
            <w:pPr>
              <w:pStyle w:val="TableContents"/>
              <w:bidi w:val="0"/>
              <w:spacing w:lineRule="atLeast" w:line="190" w:before="0" w:after="0"/>
              <w:ind w:left="190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2065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206500" cy="525780"/>
                              </a:xfrm>
                              <a:prstGeom prst="rect"/>
                              <a:solidFill>
                                <a:srgbClr val="FFFFFF"/>
                              </a:solidFill>
                            </wps:spPr>
                            <wps:txbx>
                              <w:txbxContent>
                                <w:p>
                                  <w:pPr>
                                    <w:pStyle w:val="TextBody"/>
                                    <w:bidi w:val="0"/>
                                    <w:spacing w:lineRule="atLeast" w:line="19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6" w:type="dxa"/>
            <w:tcBorders/>
            <w:vAlign w:val="center"/>
          </w:tcPr>
          <w:p>
            <w:pPr>
              <w:pStyle w:val="TableContents"/>
              <w:bidi w:val="0"/>
              <w:spacing w:lineRule="atLeast" w:line="190" w:before="0" w:after="0"/>
              <w:ind w:left="228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478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447800" cy="350520"/>
                              </a:xfrm>
                              <a:prstGeom prst="rect"/>
                              <a:solidFill>
                                <a:srgbClr val="FFFFFF"/>
                              </a:solidFill>
                            </wps:spPr>
                            <wps:txbx>
                              <w:txbxContent>
                                <w:p>
                                  <w:pPr>
                                    <w:pStyle w:val="TextBody"/>
                                    <w:bidi w:val="0"/>
                                    <w:spacing w:lineRule="atLeast" w:line="19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1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76" w:type="dxa"/>
            <w:tcBorders/>
            <w:vAlign w:val="center"/>
          </w:tcPr>
          <w:p>
            <w:pPr>
              <w:pStyle w:val="TableContents"/>
              <w:bidi w:val="0"/>
              <w:spacing w:lineRule="atLeast" w:line="190" w:before="0" w:after="0"/>
              <w:ind w:left="190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2065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206500" cy="525780"/>
                              </a:xfrm>
                              <a:prstGeom prst="rect"/>
                              <a:solidFill>
                                <a:srgbClr val="FFFFFF"/>
                              </a:solidFill>
                            </wps:spPr>
                            <wps:txbx>
                              <w:txbxContent>
                                <w:p>
                                  <w:pPr>
                                    <w:pStyle w:val="TextBody"/>
                                    <w:bidi w:val="0"/>
                                    <w:spacing w:lineRule="atLeast" w:line="19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6" w:type="dxa"/>
            <w:tcBorders/>
            <w:vAlign w:val="center"/>
          </w:tcPr>
          <w:p>
            <w:pPr>
              <w:pStyle w:val="TableContents"/>
              <w:bidi w:val="0"/>
              <w:spacing w:lineRule="atLeast" w:line="190" w:before="0" w:after="0"/>
              <w:ind w:left="228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478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4478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1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6" w:type="dxa"/>
            <w:tcBorders/>
            <w:vAlign w:val="center"/>
          </w:tcPr>
          <w:p>
            <w:pPr>
              <w:pStyle w:val="TableContents"/>
              <w:bidi w:val="0"/>
              <w:spacing w:lineRule="atLeast" w:line="190" w:before="0" w:after="0"/>
              <w:ind w:left="2280" w:right="0" w:hanging="0"/>
              <w:jc w:val="left"/>
              <w:rPr/>
            </w:pPr>
            <w:r>
              <w:rPr>
                <w:spacing w:val="4"/>
              </w:rPr>
              <w:t>☐</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478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4478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1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1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SKYWORKS SOLUTIONS,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3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common stock, par value $0.25 per share, and/or debt securities from time to time in one or more offerings. We will provide specific terms of any offering of these securities, including the initial public offering price and our net proceeds from the sale thereof, in supplements to this prospectus. The prospectus supplement may also add, update or change information contained in this prospectus. Any statement contained in this prospectus is deemed modified or superseded by any inconsistent statement contained in an accompanying prospectus supplement.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offer to sell any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these securities on a continuous or delayed basis directly, through agents, dealers or underwriters as designated from time to time, or through a combination of these methods. We reserve the sole right to accept, and together with any agents, dealers and underwriters, reserve the right to reject, in whole or in part, any proposed purchase of securities. If any agents, dealers or underwriters are involved in the sale of any securities, the applicable prospectus supplement will set forth any applicable commissions or discounts. Our net proceeds from the sale of our securities will be the initial public offering price less the applicable discount, in the case of an offering made through an underwriter, or the purchase price of those securities less the applicable commission, in the case of an offering through an agent, and, in each case, less other expenses payable by us in connection with the issuance and distribution of those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“SWKS.”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information referred to under the heading “Risk Factors” on page </w:t>
      </w:r>
      <w:hyperlink w:anchor="tRIFA">
        <w:r>
          <w:rPr>
            <w:rStyle w:val="InternetLink"/>
          </w:rPr>
          <w:t>6</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3,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GoBack"/>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4"/>
        <w:gridCol w:w="109"/>
        <w:gridCol w:w="109"/>
        <w:gridCol w:w="109"/>
        <w:gridCol w:w="109"/>
        <w:gridCol w:w="3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WYCF">
              <w:r>
                <w:rPr>
                  <w:rStyle w:val="InternetLink"/>
                  <w:spacing w:val="4"/>
                </w:rPr>
                <w:t>3</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UCO">
              <w:r>
                <w:rPr>
                  <w:rStyle w:val="InternetLink"/>
                  <w:spacing w:val="4"/>
                </w:rPr>
                <w:t>5</w:t>
              </w:r>
            </w:hyperlink>
            <w:hyperlink w:anchor="t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DODS">
              <w:r>
                <w:rPr>
                  <w:rStyle w:val="InternetLink"/>
                  <w:spacing w:val="4"/>
                </w:rPr>
                <w:t>10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LEMA">
              <w:r>
                <w:rPr>
                  <w:rStyle w:val="InternetLink"/>
                  <w:spacing w:val="4"/>
                </w:rPr>
                <w:t>24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EXP">
              <w:r>
                <w:rPr>
                  <w:rStyle w:val="InternetLink"/>
                  <w:spacing w:val="4"/>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(the “Securities Act”). Under the automatic shelf process, we may offer and sell, from time to time, the securities described in this prospectus or in any applicable prospectus supplement in one or more offerings. This prospectus only provides you with a general description of the securities we may offer. Each time we offer and sell securities, we will provide a prospectus supplement containing specific information about the terms of those securities. The prospectus supplement may also add, update or change information contained in this prospectus.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into this prospectus, in any prospectus supplement or in any free writing prospectus that we may provide to you. We have not authorized anyone to provide you with different or additional information. We take no responsibility for, and can provide no assurance as to the reliability of, any other information that others may give you. You should not assume that the information contained in this prospectus, any prospectus supplement, any related free writing prospectus or any document incorporated by reference is accurate as of any date other than the date mentioned on the respective cover page of these documents or any earlier date as of which such information is given. Our business, financial condition, results of operations and prospects may have changed since those respective dates.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to our registration statement contain the full text of certain agreements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“Skyworks,” “Company,” “we,” “our” and “us” refer to Skyworks Solutions, Inc., a Delaware corporation, and its subsidiaries, except for descriptions of the terms of the securities or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S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Securities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prospectus. Additionally, forward-looking statements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and statements regarding the proposed combination with Qorvo, Inc.;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impacts of geopolitical conflicts, tariffs, export controls, inflation, recession, and global health crises;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market new products, enhancements or technologies and the timing of these development and marketing plans;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future financial performance, including expenses, revenues, and profitability;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demand trends, market opportunities, and our market positioning, including the size of the markets for our products and services;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related to the rate and degree of market acceptance of our products and our customers’ products;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our capital requirements and our needs for additional financing; and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the success of other competing technologies that may become available.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forward-looking statements in this prospectus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those in the forward-looking statements.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All forward-looking statements in this prospectus (including documents incorporated by reference or deemed incorporated by reference herein) should be considered in the context of the risks and other factors described above and in Item 1A — Risk Factors in Part I of our </w:t>
      </w:r>
      <w:hyperlink r:id="rId2">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Item 1A — Risk Factors in Part II of our </w:t>
      </w:r>
      <w:hyperlink r:id="rId3">
        <w:r>
          <w:rPr>
            <w:rStyle w:val="InternetLink"/>
          </w:rPr>
          <w:t>Quarterly Reports on Form 10-Q for the quarterly periods ended January 2, 2026</w:t>
        </w:r>
      </w:hyperlink>
      <w:r>
        <w:rPr>
          <w:rFonts w:ascii="Times New Roman;Times;serif" w:hAnsi="Times New Roman;Times;serif"/>
          <w:b w:val="false"/>
          <w:i w:val="false"/>
          <w:caps w:val="false"/>
          <w:smallCaps w:val="false"/>
          <w:color w:val="000000"/>
          <w:spacing w:val="4"/>
          <w:sz w:val="20"/>
        </w:rPr>
        <w:t xml:space="preserve">, </w:t>
      </w:r>
      <w:hyperlink r:id="rId4">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Any forward-looking statements speak only as of the date the statement is made and we undertake no obligation to update or revise any forward-looking statements, whether as a result of new information, future events or otherwise, except as required by federal securities laws. It is not possible to identify all of the risks, uncertainties and other factors that may affect future results. In light of these risks and uncertainties, the forward-looking events and circumstances discussed in this prospectus and the documents incorporated or deemed incorporated by reference herein may not occur and actual results may differ materially from those anticipated or implied in the forward-looking statements. Accordingly, users of this prospectus (including documents incorporated by reference or deemed incorporated by reference herein) are cautioned not to place undue reliance on the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YC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reporting requirements of the Exchange Act. We file annual, quarterly and current reports, proxy statements and other information with the SEC. Our SEC filings are available over the Internet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free of charge on or through our website our Annual Reports on Form 10-K, Quarterly Reports on Form 10-Q, and Current Reports on Form 8-K, and any amendments to these reports, as well as proxy statements on Schedule 14A, as soon as reasonably practicable after we electronically file such material with, or furnish such material to, the SEC. You may access these documents on the “SEC Filings” page of our website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IOC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Sections 13(a), 13(c), 14 or 15(d) of the Exchange Act until the completion of the offering of securities described in this prospectus: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6">
        <w:r>
          <w:rPr>
            <w:rStyle w:val="InternetLink"/>
          </w:rPr>
          <w:t>Annual Report on Form 10-K for the fiscal year ended October 3, 2025 filed with the SEC on November 7, 2025</w:t>
        </w:r>
      </w:hyperlink>
      <w:r>
        <w:rPr>
          <w:rFonts w:ascii="Times New Roman;Times;serif" w:hAnsi="Times New Roman;Times;serif"/>
          <w:b w:val="false"/>
          <w:i w:val="false"/>
          <w:caps w:val="false"/>
          <w:smallCaps w:val="false"/>
          <w:color w:val="000000"/>
          <w:spacing w:val="4"/>
          <w:sz w:val="20"/>
        </w:rPr>
        <w:t xml:space="preserve">, as amended by our </w:t>
      </w:r>
      <w:hyperlink r:id="rId7">
        <w:r>
          <w:rPr>
            <w:rStyle w:val="InternetLink"/>
          </w:rPr>
          <w:t>Annual Report on Form 10-K/A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8">
        <w:r>
          <w:rPr>
            <w:rStyle w:val="InternetLink"/>
          </w:rPr>
          <w:t xml:space="preserve">Quarterly Reports on Form 10-Q for the quarterly period ended January 2, 2026 filed with the SEC on February 5, 2026, for the quarterly period ended April 3, 2026 filed with the SEC on </w:t>
        </w:r>
      </w:hyperlink>
      <w:hyperlink r:id="rId9">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quarterly period ended July 3, 2026 filed with the SEC on </w:t>
      </w:r>
      <w:hyperlink r:id="rId10">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251421257), </w:t>
      </w:r>
      <w:hyperlink r:id="rId12">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251421271; Item 8.01 only), </w:t>
      </w:r>
      <w:hyperlink r:id="rId13">
        <w:r>
          <w:rPr>
            <w:rStyle w:val="InternetLink"/>
          </w:rPr>
          <w:t>November 14,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November 24, 2025</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December 12, 2025</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(Item 8.01 only), </w:t>
      </w:r>
      <w:hyperlink r:id="rId18">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(Item 8.01 only), </w:t>
      </w:r>
      <w:hyperlink r:id="rId20">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261004779), </w:t>
      </w:r>
      <w:hyperlink r:id="rId22">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261005210), </w:t>
      </w:r>
      <w:hyperlink r:id="rId23">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261211796), </w:t>
      </w:r>
      <w:hyperlink r:id="rId25">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261211815; Item 8.01 only), </w:t>
      </w:r>
      <w:hyperlink r:id="rId26">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Form 8-A filed under the Exchange Act, including any amendment or report filed for the purpose of updating such description, including the description of capital stock filed as </w:t>
      </w:r>
      <w:hyperlink r:id="rId28">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October 3, 2025.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however, incorporate by reference in this prospectus or any prospectus supplement any documents or portions thereof that are not deemed “filed” with the SEC, including any information furnished pursuant to Item 2.02 or Item 7.01, and any Item 9.01 related thereto, of our Current Reports on Form 8-K unless, and except to the extent, specified in such Current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these filings without charge by requesting the filings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5260 California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Irvine, CA 92617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(949) 231-3000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OU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together with its consolidated subsidiaries,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Over the past two decades, Skyworks has made important investments to address key network technologies, from cellular to advanced Wi-Fi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enhanced GPS, and Bluetooth</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among others. Capitalizing on both organic growth and strategic acquisitions, we are targeting high-growth verticals, while at the same time, seeking to diversify our revenue and customer 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worldwide with engineering, manufacturing, sales, and service facilities throughout Asia, Europe, and North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5260 California Avenue, Irvine, California 92617, and our telephone number at that address is (949) 231-3000. Our principal website is located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risk. Prior to making a decision about investing in our securities, and in consultation with your own financial, tax and legal advisors, you should carefully consider the risk factors incorporated by reference in this prospectus from our </w:t>
      </w:r>
      <w:hyperlink r:id="rId29">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our Quarterly Reports on Form 10-Q for the quarterly periods ended </w:t>
      </w:r>
      <w:hyperlink r:id="rId30">
        <w:r>
          <w:rPr>
            <w:rStyle w:val="InternetLink"/>
          </w:rPr>
          <w:t>January 2, 2026</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32">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under the heading “Risk Factors” and other filings we may make from time to time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also refer to the other information contained in or incorporated or deemed to be incorporated by reference in this prospectus and the applicable prospectus supplement, including our financial statements and the related notes incorporated by reference therein. Additional risks and uncertainties that are not yet identified may also materially harm our business, financial condition, results of operations and prospects and could result in a complete loss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accompanying prospectus supplement, the net proceeds from our sale of securities under this prospectus will be used for general corporate purposes. When securities are offered, the prospectus supplement relating thereto will set forth our intended use of the net proceeds that we receive from the sale of such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C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our Restated Certificate of Incorporation, as amended (the “Certificate of Incorporation”), and our Fourth Amended and Restated By-laws, as amended (the “By-laws”). We encourage you to read our Certificate of Incorporation, our By-laws, and the applicable provisions of the Delaware General Corporation Law (the “DGCL”),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550 million shares of capital stock, of which: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525 million shares are designated as common stock, par value $0.25 per share; and </w:t>
      </w:r>
      <w:r>
        <mc:AlternateContent>
          <mc:Choice Requires="wps">
            <w:drawing>
              <wp:anchor behindDoc="0" distT="7239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shares are designated as preferred stock, without par value. </w:t>
      </w:r>
      <w:r>
        <mc:AlternateContent>
          <mc:Choice Requires="wps">
            <w:drawing>
              <wp:anchor behindDoc="0" distT="7239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and distributions declared by our Board of Directors out of assets or funds legally available. Upon the liquidation, dissolution, or winding up of the Company, whether voluntary or involuntary, holders of our common stock are entitled to share ratably in all assets remaining after payment to creditors and the liquidation preference of any then-outstanding shares of preferred stock. Holders of common stock have no preemptive or conversion rights or other subscription rights. There are no redemption or sinking fund provisions applicable to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preferred stock are outstanding. Pursuant to our Certificate of Incorporation, our Board of Directors has the authority, without further action by our stockholders, to issue preferred stock from time to time in one or more series. Our Board of Directors may designate the number of shares to be included in each such series and to fix the designation, powers, preferences and rights of the shares of each such series and the qualifications, limitations, and restrictions thereof, including dividend rights, redemption rights, sinking fund terms, liquidation preference terms, conversion rights, and voting rights. A series of our preferred stock could, depending on the terms of such series, impede the completion of a merger, tender offer or other takeover attempt.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Certain Terms in Our Charter Documents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provisions that could have the effect of delaying, deferring, preventing, or discouraging another party from acquiring control of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Issuance of Undesignated Preferred Stock</w:t>
      </w:r>
      <w:r>
        <w:rPr>
          <w:rFonts w:ascii="Times New Roman;Times;serif" w:hAnsi="Times New Roman;Times;serif"/>
          <w:b w:val="false"/>
          <w:i w:val="false"/>
          <w:caps w:val="false"/>
          <w:smallCaps w:val="false"/>
          <w:color w:val="000000"/>
          <w:spacing w:val="4"/>
          <w:sz w:val="20"/>
        </w:rPr>
        <w:t xml:space="preserve">.   As discussed above under “Preferred Stock,” our Board of Directors has the ability to designate and issue preferred stock with voting or other rights or preferences that could delay or deter hostile takeovers or changes in our control or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Limits on Ability of Stockholders to Call a Special Meeting</w:t>
      </w:r>
      <w:r>
        <w:rPr>
          <w:rFonts w:ascii="Times New Roman;Times;serif" w:hAnsi="Times New Roman;Times;serif"/>
          <w:b w:val="false"/>
          <w:i w:val="false"/>
          <w:caps w:val="false"/>
          <w:smallCaps w:val="false"/>
          <w:color w:val="000000"/>
          <w:spacing w:val="4"/>
          <w:sz w:val="20"/>
        </w:rPr>
        <w:t xml:space="preserve">.   Our By-laws provide that special meetings of the stockholders may be called only by a majority of our Board of Directors or by the Company’s secretary upon written request by stockholders holding at least twenty-five percent (25%) of the outstanding shares of common stock, subject to such stockholders’ compliance with certain other requirements. This may delay or impede the ability of our stockholders to force consideration of a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Prohibition on Stockholder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provides that any action taken by the stockholders must be effected at an annual or special meeting of stockholders and may not be effected by any consent in writing by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Advance Notification of Stockholder Nominations and Proposals</w:t>
      </w:r>
      <w:r>
        <w:rPr>
          <w:rFonts w:ascii="Times New Roman;Times;serif" w:hAnsi="Times New Roman;Times;serif"/>
          <w:b w:val="false"/>
          <w:i w:val="false"/>
          <w:caps w:val="false"/>
          <w:smallCaps w:val="false"/>
          <w:color w:val="000000"/>
          <w:spacing w:val="4"/>
          <w:sz w:val="20"/>
        </w:rPr>
        <w:t xml:space="preserve">.   Our By-laws establish advance notice procedures with respect to stockholder proposals and the nomination of candidates for election as directors, other than nominations made by or at the direction of our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xml:space="preserve">.   Our Certificate of Incorporation and By-laws contain provisions that establish specific procedures for appointing and removing members of our Board of Directors. Under our Certificate of Incorporation and By-laws, vacancies and newly created directorships on our Board of Directors may be filled only by a majority of the directors then serving on the Board of Directors, and directors may only be removed from office by the affirmative vote of the holders of a majority of the shares of all classes of stock entitled to vote for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Cumulative Voting</w:t>
      </w:r>
      <w:r>
        <w:rPr>
          <w:rFonts w:ascii="Times New Roman;Times;serif" w:hAnsi="Times New Roman;Times;serif"/>
          <w:b w:val="false"/>
          <w:i w:val="false"/>
          <w:caps w:val="false"/>
          <w:smallCaps w:val="false"/>
          <w:color w:val="000000"/>
          <w:spacing w:val="4"/>
          <w:sz w:val="20"/>
        </w:rPr>
        <w:t xml:space="preserve">.   The DGCL provides that stockholders are not entitled to the right to cumulate votes in the 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or other corporate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of Business Combinations</w:t>
      </w:r>
      <w:r>
        <w:rPr>
          <w:rFonts w:ascii="Times New Roman;Times;serif" w:hAnsi="Times New Roman;Times;serif"/>
          <w:b w:val="false"/>
          <w:i w:val="false"/>
          <w:caps w:val="false"/>
          <w:smallCaps w:val="false"/>
          <w:color w:val="000000"/>
          <w:spacing w:val="4"/>
          <w:sz w:val="20"/>
        </w:rPr>
        <w:t xml:space="preserve">.   Our Certificate of Incorporation requires that the affirmative vote of at least 80% of the shares of all classes of stock entitled to vote for the election of directors be obtained for a business combination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Our Certificate of Incorporation increases the approval threshold to 90% of the shares of all classes of stock entitled to vote for the election of directors in the case of a business combination with any “related person” ​(as defined in the Certificate of Incorporation). In addition to the provisions in our Certificate of Incorporation and By-laws, Section 203 of the DGCL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 The provisions of Delaware law and the provisions of our Certificate of Incorporation and By-laws could have the effect of discouraging others from attempting hostile takeovers or other transactions our Board of Directors does not approve in advance. These provisions might also have the effect of preventing changes in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w:t>
      </w:r>
      <w:r>
        <w:rPr>
          <w:rFonts w:ascii="Times New Roman;Times;serif" w:hAnsi="Times New Roman;Times;serif"/>
          <w:b w:val="false"/>
          <w:i w:val="false"/>
          <w:caps w:val="false"/>
          <w:smallCaps w:val="false"/>
          <w:color w:val="000000"/>
          <w:spacing w:val="4"/>
          <w:sz w:val="20"/>
        </w:rPr>
        <w:t xml:space="preserve">.   Our Certificate of Incorporation includes a number of supermajority voting provisions that could make it more difficult to change certain of the provisions described above. These provisions require the affirmative vote of 80% of the shares of all classes of stock entitled to vote for the election of directors to amend or repeal the provisions of our Certificate of Incorporation relating to the election and removal of directors, the right to act by written consent, or the approval of a business combination, and the affirmative vote of 90% of the shares of all classes of stock entitled to vote for the election of directors to amend or repeal the provisions of our Certificate of Incorporation relating to the approval of a business combination with any related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Nasdaq Global Select Market under the symbol “SWKS.”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D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general terms and provisions of our debt securities. When we offer to sell a particular series of debt securities, we will describe the specific terms of the series in a supplement to this prospectus and/or a free writing prospectus. We will also indicate in a prospectus supplement and/or a free writing prospectus whether the general terms and provisions described in this prospectus apply to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to be entered into between us and U.S. Bank Trust Company, National Association, as trustee, as it may be amended and supplemented from time to time. We have summarized select portions of the indenture below. The summary is not complete and is qualified in its entirety by reference to the indenture. The indenture will be subject to and governed by the Trust Indenture Act of 1939, as amended (the “Trust Indenture Act”). The form of indenture has been filed as an exhibit to the registration statement of which this prospectus forms a part. You should read the indenture for provisions that may be important to you. Capitalized terms used in the summary have the meanings specified in the indenture. References to “Skyworks,” “we,” “us” or “our” in this section of this prospectus are, unless the context otherwise indicates, only to Skyworks Solutions,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otherwise specified in a supplement to this prospectus and/or a free writing prospectus, the debt securities will be our senior, direct, unsecured obligations and, as such, will be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of our senior unsecured indebtedness and senior in right of payment to all of our subordinated indebtedness. The debt securities will be effectively subordinated to (1) all indebtedness or other liabilities of our subsidiaries and (2) all of our secured indebtedness to the extent of the value of the collateral securing that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and/or free writing prospectus, the indenture will not afford the holders of the debt securities the right to require us to repurchase or redeem the debt securities in the event of a highly-leveraged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obligated to issue all debt securities of one series at the same time and, unless otherwise provided in the applicable prospectus supplement and/or a free writing prospectus,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a free writing prospectus will set forth,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issue the debt securities;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is payable;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dates on which interest will commence and be payable and any regular record date for the interest payable on any interest payment date, and the basis of computation of interest if other than on the basis of a 360-day year consisting of twelve 30-day months;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premium and interest, if any, on the debt securities will be payable, and where the debt securities may be surrendered for registration of transfer or exchange;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notices and demands to or upon us in respect of the debt securities and the indenture may be served, and the method of such payment, if by wire transfer, mail or other means;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issuable, if other than minimum denominations of $2,000 and integral multiples of $1,000 in excess thereof;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debt securities in fully registered form (and whether the debt securities will be issuable as global securities);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the debt securities payable upon declaration of acceleration of the maturity date, if other than the principal amount;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the principal of, premium and interest, if any, on the debt securities will be made if other than U.S. dollars;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may be exchangeable for and/or convertible into shares of our common stock or any other security;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and any subordination in right of payment, if any, of the debt securities;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and acceleration provisions described under “— Events of Default” below and in the indenture with respect to the debt securities;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“Description of Debt Securities” or in the indenture with respect to the debt securities;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or delete any provision of the indenture insofar as it applies to such debt securities);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if other than those appointed in the indenture.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is not intended to be an exclusive list of the terms that may be applicable to any offered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and/or a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if the principal of and any premium and interest on any series of debt securities is payable in a foreign currency or currencies, we will provide you with information on the restrictions, elections, general tax considerations, specific terms and other information with respect to that issue of debt securities and such foreign currency or currencies in the applicable prospectus supplement and/or a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transferred or exchanged at the office of the registrar or co-registrar designated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impose a service charge for any transfer or exchange, but we may require holders to pay any tax or other governmental charges associated with any transfer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redemption of debt securities of any series, neither we nor the registrar will be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of that series during a period beginning at the opening of business 15 days before the day of sending of a notice of redemption and ending at the close of business on the date such notice is sent; or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of that series so selected for redemption in whole or in part, except the unredeemed portion of any series being redeemed in part.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initially appoint the trustee as the registrar. Any transfer agent, in addition to the registrar initially designated by us, will be named in the applicable prospectus supplement. We may designate additional transfer agents or change transfer agents or change the office of the transfer agent. However, we will be required to maintain a transfer agent in each place of payment for the debt securities of each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any series may be represented, in whole or in part, by one or more global securities. Each global security will: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registered in the name of a depositary that we will identify in a prospectus supplement;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deposited with the trustee as custodian for the depositary or its nominee; and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bear any required legends.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global security may be exchanged in whole or in part for debt securities registered in the name of any person other than the depositary or any nominee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notified us that it is unwilling or unable to continue as depositary for such global security or such depositary has ceased to be a “clearing agency” registered under the Exchange Act, at a time when the depositary is required to be so registered in order to act as depositary, and we have not appointed a successor depositary within 90 days of receiving such notice or of becoming aware of such cessation;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 our sole discretion, determine that such global securities shall no longer be represented by global securities as evidenced by a company order delivered to the trustee; or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debt securities represented by such global securities shall have occurred and be continuing.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the debt securities registered in their names;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physical delivery of certificated debt securities; and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to be holders of those debt securities under the indenture.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(including in its capacity as paying agent) will have any responsibility or liability for the depositary’s acts or omissions or any participant’s records with respect to beneficial interests in a global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this subsection will apply to the debt securities unless otherwise indicated in the applicable prospectus supplement and/or free writing prospectus.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or otherwise in accordance with the applicable procedures of the depositary. However, at our option, we may pay interest by mailing a check to the record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name any other paying agents in the applicable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abandoned property laws, all moneys paid by us to a paying agent for payment on any debt security that remain unclaimed at the end of two years after such payment was due will be repaid to us. Thereafter, the holder may look only to us for such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principal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Liens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create, incur, assume or permit to exist any lien on any property or asset (including the capital stock of any subsidiary), to secure any indebtedness of Skyworks, any Significant Subsidiary or any other person without securing such series of debt securities equally and ratably with such indebtedness for so long as such indebtedness shall be so secured, subject to certain exceptions. Exceptions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the indenture (or the applicable supplemental indenture, officer’s certificate or board resolution establishing such series of debt securities);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assets created at the time of, or within 18 months after, the acquisition, purchase, lease (including any Capital Lease Obligations, or any synthetic, off-balance sheet or tax retention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improvement or development of such assets to secure all or a portion of the purchase price or lease for, or the costs of improvement or development of, such assets;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any modification, extension, renewal, refinancing, replacement or refunding (or successive modifications, extensions, renewals, refinancings, replacements or refundings), in whole or in part, of any indebtedness secured by liens referred to in the above three bullets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Skyworks’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incurred in sale and leaseback transactions permitted under “— Limitation on Sale and Leaseback Transactions” below;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only Skyworks or one or more subsidiaries granted by Skyworks or a subsidiary to secure any obligations owed to Skyworks or a subsidiary of Skyworks;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assets of any subsidiary of Skyworks registered or regulated as a “broker” or a “dealer” as such terms are defined in Sections 3(a)(4) and (5) of the Exchange Act created or otherwise arising in the ordinary course of such subsidiary’s business;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liens in respect of a deposit for the benefit of a holder of a series of debt securities for a discharge or defeasance of such series of debt securities or holders of other indebtedness for a discharge or defeasance of such other indebtedness;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securities deemed to exist under repurchase agreements and reverse repurchase agreements entered into by Skyworks or any subsidiary in the ordinary course of business;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trustee granted in accordance with the indenture;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Skyworks or any subsidiary, as applicable, has maintained adequate reserves in accordance with GAAP;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attachment or judgment lien in existence less than 60 days after the entry thereof or with respect to which (i) execution has been stayed, (ii) payment is covered in full by insurance, or (iii) Skyworks or any of its subsidiaries shall in good faith be prosecuting on appeal or proceedings for review and shall have set aside on its books such reserves as may be required by GAAP with respect to such judgment or award;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swap contracts of Skyworks or any of its subsidiaries permitted to be incurred under the indenture;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out of conditional sale, title retention, consignment or similar arrangements for the sale or purchase of goods entered into by Skyworks or any subsidiary in the ordinary course of business;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the assets of, or capital stock or other equity interests in, any subsidiary or any joint venture and which secures indebtedness or other obligations of such subsidiary or joint venture (or of another subsidiary);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obligations under the Revolving Credit Agreement in an aggregate amount not to exceed $750 million; and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otherwise prohibited by this covenant, securing indebtedness which, together with the value of attributable debt incurred in sale and leaseback transactions permitted under “— Limitation on Sale and Leaseback Transactions” below, do not exceed 15.0% of Consolidated Net Tangible Assets measured at the date of incurrence of such liens.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created for the benefit of holders pursuant to the preceding paragraph may provide by its terms that any such lien shall be automatically and unconditionally released and discharged upon the release and discharge of the lien securing such other indebtedness.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Sale and Leaseback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enter into any arrangement with any person pursuant to which Skyworks or any Significant Subsidiary leases any property that has been or is to be sold or transferred by Skyworks or the Significant Subsidiary to such person (a “sale and leaseback transaction”), except that a sale and leaseback transaction is permitted if Skyworks or such Significant Subsidiary would be entitled to incur indebtedness secured by a lien on the property to be leased (without equally and ratably securing such series of outstanding debt securities)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permitted sale and leaseback transactions not subject to the limitation above and the provisions described in “— Limitation on Liens” above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including renewals at the option of the lessee, of not more than three years;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between only Skyworks and one or more subsidiaries of Skyworks or only between or among subsidiaries of Skyworks;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where the proceeds are at least equal to the fair market value (as determined by Skyworks’ board of directors) of the property and Skyworks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and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of property executed by the time of, or within 12 months after the latest of, the acquisition, the completion of construction or improvement, or the commencement of commercial operation of the property.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Consolidation, Merger or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free writing prospectus, we may not merge or consolidate with or into any other person, or sell, lease, convey, transfer or otherwise dispose of all or substantially all of the properties and assets of us and our subsidiaries, taken as a whole, to another person,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we shall be the continuing person or (b) the person (if other than us) formed by such consolidation or into which we are merged or to which all or substantially all of the properties and assets of us and our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to the indenture, executed and delivered to the trustee, in form satisfactory to the trustee, all of our obligations under the debt securities and the indenture;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and no default or other event which, after notice or lapse of time or both, would become a default or event of default, shall have occurred and be continuing; </w:t>
      </w:r>
      <w:r>
        <mc:AlternateContent>
          <mc:Choice Requires="wps">
            <w:drawing>
              <wp:anchor behindDoc="0" distT="0" distB="0" distL="254000" distR="0" simplePos="0" locked="0" layoutInCell="1" allowOverlap="1" relativeHeight="75">
                <wp:simplePos x="0" y="0"/>
                <wp:positionH relativeFrom="column">
                  <wp:align>left</wp:align>
                </wp:positionH>
                <wp:positionV relativeFrom="line">
                  <wp:posOffset>635</wp:posOffset>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result of any such consolidation, merger, sale or lease, conveyance or transfer, our properties or assets would become subject to any lien which would not be permitted by the indenture without equally and ratably securing the debt securities of such series, we or such successor person, as the case may be, will take steps as are necessary to effectively secure the debt securities of such series equally and ratably with, or prior to, all indebtedness secured by those liens as and to the extent required by the indenture; and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an opinion of counsel have been delivered to the trustee in connection with the foregoing, each stating that all conditions precedent herein provided for relating to such transaction have been complied with.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formed by such consolidation or into which we are merged or any successor person to which such sale, lease, conveyance, transfer or disposition of all or substantially all of our and our subsidiaries’ properties and assets (taken as a whole) is made shall, in each case other than a lease, succeed to, and be substituted for, and may exercise every right and power of ours under the indenture with the same effect as if such successor had been named in our place in the indenture; and thereafter we shall be discharged and released from all obligations and covenants under the indenture and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“event of default” means, with respect to any series of debt securities,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principal of or premium, if any, on the debt securities of such series when due (whether at maturity, upon optional redemption or otherwise);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on any debt security of such series, when it becomes due and payable, and continuance of such default for a period of 30 days;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covenant, warranty or agreement (other than as set forth in either bullet above) under the indenture in respect of the debt securities of such series; provided that a default as set forth in this bullet is not an event of default until the trustee or the holders of not less than 25% of the aggregate principal amount of the debt securities of such series then outstanding deliver a notice to us that specifies the default, demands it to be remedied and states that such notice is a “Notice of Default” and we do not cure such default within 60 days after receipt by us of such Notice of Default or such longer time as may be specified in such Notice of Default;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us;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failure to make any payment at maturity, including any applicable grace period, on any of our indebtedness (other than indebtedness owing to any of our subsidiaries) outstanding in an amount in excess of $400 million or its foreign currency equivalent at the time and continuance of this failure to pay or (b) a default on any indebtedness (other than indebtedness owing to any of our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the indenture will be deemed cured; and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to the trustee, within 30 days after the occurrence thereof, written notice in the form of an officer’s certificate of any event that with the giving of notice or the lapse of time or both would become an event of default, its status and what action we are taking or propose to take with respect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of us)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resulting from certain events of bankruptcy, insolvency or reorganization of us)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the principal of all outstanding debt securities of that series, and the interest accrued thereon, if any, to the date of acceleration to be immediately due and payable. In the case of an event of default resulting from certain events of bankruptcy, insolvency or reorganization of us, the principal amount of all the outstanding debt securities of the applicable series and accrued interest thereon, if any, will become and be immediately due and payable without any declaration or other act on the part of the trustee or the holders. At any time after a declaration of acceleration with respect to debt securities of any series has been made and before a judgment or decree for payment of the money due has been obtained by the trustee, the holders of a majority in aggregate principal amount of the outstanding debt securities of that series, by written notice to us and the trustee, may rescind and annul such declaration and waive such event of default and its consequences, except with respect to a default in respect of a covenant or provision of the indenture which cannot be modified or amended without the consent of the holder of each outstanding debt security affected thereby, if (1) we have paid or deposited with the trustee a sum sufficient to pay (a) all overdue installments of interest, if any, on such series of debt securities, (b) the principal of (and premium, if any, on) any such series of debt securities which have become due otherwise than by such declaration of acceleration, and interest thereon at the rate prescribed therefor by the debt securities of such series, to the extent that payment of such interest is lawful, (c) interest on overdue installments of interest at the rate prescribed therefor by the debt securities of such series, to the extent that payment of such interest is lawful, and (d) the reasonable compensation, expenses, disbursements and advances of the trustee and its agents and counsel, and all other amounts due the trustee under the indenture; and (2) all events of default, other than the non-payment of the principal, premium, if any, or interest of the debt securities of such series which have become due solely by such acceleration, have been cured or waived.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the trustee will be under no obligation to exercise any of its rights or powers under the indenture at the request of any holder of outstanding debt securities, unless the trustee receives security and/or indemnity satisfactory to it against any loss, liability or expense. Subject to certain rights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a written request to the trustee to institute proceedings in respect of such event of default in its own name as trustee under the indenture; such holder or holders have offered the trustee, and if requested, provided indemnity or security reasonably satisfactory to the trustee against the costs, expenses and liabilities to be incurred in compliance with such request; the trustee has failed to institute any such proceeding for 60 days after its receipt of such notice, request and offer of indemnity; and no inconsistent direction has been given to the trustee during such 60-day period by the holders of a majority in aggregate principal amount of the outstanding debt securities of such series.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require us to furnish to the trustee, within 120 days after the end of our fiscal year, a certificate stating whether the signers thereof have knowledge of any default by us in the performance of any of our covenants or agreements contained in the indenture. In addition, we are required to deliver to the trustee, within 90 days after the end of each fiscal year, an officer’s certificate stating that a review of our activities during the preceding fiscal year has been made with a view to determining whether we have kept, observed, performed and fulfilled our obligations under the indenture, and further stating whether we are in default in the performance or observance of any of the terms, provisions and conditions of the indenture. The indenture will provide that the trustee may withhold notice to the holders of debt securities of any series of any default or event of default (except in the payment of the principal of or interest or premium, if any, on any debt security of such series) with respect to debt securities of that series if and so long as the trustee determines in good faith that the withholding of such notice is in the interests of the holders of the outstanding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defined terms: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Tangible Assets” means, as of the time of determination, (a) the total assets of Skyworks and its subsidiaries determined on a consolidated basis in accordance with GAAP minus (b) the sum of (i) current liabilities of Skyworks and its subsidiaries, except for current maturities of long-term indebtedness and Capital Lease Obligations, and (ii) goodwill and other intangible assets of Skyworks and its subsidiaries, in each case determined on a consolidated basis in accordance with GAAP, all as reflected in the most recent consolidated balance sheet prepared by Skyworks in accordance with GAAP contained in an annual report on Form 10-K or a quarterly report on Form 10-Q (or comparable semiannual report) timely filed or any amendment thereto (and not subsequently disclaimed as not being reliable by Skyworks) prior to the time as of which “Consolidated Net Tangible Assets” is being determined.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generally accepted accounting principles in the United States of America in effect on the date of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incur” means issue, assume, guarantee or otherwise become liable for.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obligations (other than Non-recourse Obligations) of such person for borrowed money (including, without limitation, indebtedness for borrowed money evidenced by notes, bonds, debentures or similar instruments).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Non-recourse Obligation” means indebtedness or other obligations substantially related to the financing of a project involving the development or expansion of properties of Skyworks or any direct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subsidiaries of Skyworks, as to which the obligee with respect to such indebtedness or obligation has no recourse to Skyworks or any direct or indirect subsidiary of Skyworks or such subsidiary’s assets other than the assets which were acquired with the proceeds of such transaction or the project financed with the proceeds of such transaction (and the proceeds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Revolving Credit Agreement” means the Revolving Credit Agreement, dated as of May 21, 2021, among Skyworks,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Significant Subsidiary” has the meaning set forth in Rule 1-02(w) of Regulation S-X under the Securities Act.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modify the indenture without the consent of any holder of debt securities of the series affected by the modifications or amendments in order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person to us and the assumption by any such successor of our covenants under the indenture and the debt securities pursuant to the merger and consolidation provisions of the indenture;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holders of the debt securities or to surrender any right or power conferred upon us;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for the benefit of holders of the debt securities;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of the provisions of the indenture as necessary to permit or facilitate the issuance of debt securities in bearer form, registrable or not registrable as to principal, and with or without interest coupons, or to permit or facilitate the issuance of debt securities in uncertificated form, or relating to the transfer and legending of the debt securities;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 the debt securities or add guarantees of the debt securities;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or appoint a successor or separate trustee;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defect, mistake or inconsistency;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any of the provisions of the indenture as necessary to permit or facilitate the defeasance (whether legal defeasance or covenant defeasance) or discharge of any series of debt securities;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other change that would not adversely affect the contractual rights of any holders of the debt securities of the applicable series;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necessary to comply with any requirement of the SEC in connection with the qualification of the indenture or any supplemental indenture under the Trust Indenture Act;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any provision in the indenture, or in the board resolution, officer’s certificate or supplemental indenture establishing the debt securities of any series, or the terms of the debt securities of any series, to the prospectus supplement, offering memorandum, offering circular or any other document pursuant to which the debt securities of such series were offered; and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 the issuance of additional debt securities of any series of debt securities. </w:t>
      </w:r>
      <w:r>
        <mc:AlternateContent>
          <mc:Choice Requires="wps">
            <w:drawing>
              <wp:anchor behindDoc="0" distT="876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indenture or the debt securities issued may be made with the consent of the holders of not less than a majority in aggregate principal amount of the outstanding debt securities of the affected series (including, without limitation, consents obtained in connection with a purchase of, or tender offer or exchange offer for,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such modification or amendment may, without the consent of the holder of each outstanding debt security of the affected series: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debt securities the holders of which must consent to an amendment, modification, supplement or waiver;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of payment for interest on any debt security; </w:t>
      </w:r>
      <w:r>
        <mc:AlternateContent>
          <mc:Choice Requires="wps">
            <w:drawing>
              <wp:anchor behindDoc="0" distT="876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or extend the stated maturity of any debt security; </w:t>
      </w:r>
      <w:r>
        <mc:AlternateContent>
          <mc:Choice Requires="wps">
            <w:drawing>
              <wp:anchor behindDoc="0" distT="876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redemption price or repurchase price of any debt security, change the date on which any debt security is subject to redemption or repurchase (provided that this shall not apply to changes in the notice period for any redemption or repurchase) or add redemption or repurchase provisions to the debt securities; </w:t>
      </w:r>
      <w:r>
        <mc:AlternateContent>
          <mc:Choice Requires="wps">
            <w:drawing>
              <wp:anchor behindDoc="0" distT="889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money other than that stated in the indenture or the debt security; or </w:t>
      </w:r>
      <w:r>
        <mc:AlternateContent>
          <mc:Choice Requires="wps">
            <w:drawing>
              <wp:anchor behindDoc="0" distT="889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the debt securities. </w:t>
      </w:r>
      <w:r>
        <mc:AlternateContent>
          <mc:Choice Requires="wps">
            <w:drawing>
              <wp:anchor behindDoc="0" distT="889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principal amount of the outstanding debt securities of any series may waive compliance by us with certain restrictive provisions of the indenture with respect to the debt securities of such series. The holders of not less than a majority in principal amount of the outstanding debt securities of any series may waive any past default under the indenture with respect to such debt securities, except a default not theretofore cured (1) in the payment of principal, premium, if any, or interest on any debt securities of such series, or (2) in respect of a covenant or provision in the indenture which the indenture (or the applicable board resolution, officer’s certificate or supplemental indenture establishing the series of debt securities) expressly provides cannot be amended without the consent of the holder of each outstanding debt securities of the applicable series affected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shall, subject to certain obligations, cease to be of further effect with respect to debt securities of a series when (i) we deliver to the trustee all outstanding debt securities of that series (other than debt securities of that series replaced because of mutilation, loss, destruction or wrongful taking) for cancellation or (ii) all outstanding debt securities of that series have become due and payable (whether by the sending of a notice of redemption or otherwise), or will become due and payable within one year whether at maturity, or are to be called for redemption within one year under arrangements reasonably satisfactory to the trustee for the giving of notice of redemption by the trustee in our name and at our expense, and in the case of clause (ii) we irrevocably deposit with the trustee U.S. dollars or non-callable U.S. government obligations or a combination thereof in such amounts sufficient to pay and discharge the entire indebtedness on all outstanding debt securities of that series, including principal of and interest and premium, if any, thereon, and if in either case we pay all other sums payable by us with respect to the debt securities of that series under the indenture. The trustee shall acknowledge satisfaction and discharge of the indenture with respect to the debt securities of that series on our demand accompanied by an officer’s certificate and an opinion of counsel.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 any time may terminate all our obligations with respect to the debt securities of any series and the indenture as to all outstanding debt securities of such series (such termination, “legal defeasance”), except for certain obligations, including those respecting the defeasance trust and obligations to register the transfer or exchange of the debt securities of that series, to replace mutilated, destroyed, lost or stolen debt securities of that series, to maintain a registrar and paying agent in respect of the debt securities of that series and certain rights, privileges and immunities of the trustee and our obligations in connection therewith. We at any time may also terminate our obligations with respect to the debt securities of any series under the covenants described under “— Certain Covenants — Limitation on Liens,” “— Certain Covenants — Limitation on Sale and Leaseback Transactions” and “— Certain Covenants — Consolidation, Merger or Transfer,” to maintain our corporate existence and under the third and fifth bullets under “— Events of Default,” which termination is referred to as “covenant defeasance.” We may exercise our legal defeasance option notwithstanding our prior exercise of our covenant defeasance option.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our legal defeasance option with respect to the debt securities of any series, payment of the debt securities of that series may not be accelerated because of an event of default with respect thereto. If we exercise our covenant defeasance option with respect to the debt securities of any series, payment of the debt securities of that series may not be accelerated because of an event of default specified in the third and fifth bullets under “— Events of Default” above or as provided in any prospectus supplement and/or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option or the covenant defeasance option with respect to the debt securities of any series may be exercised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irrevocably deposit in trust with the trustee money or U.S. government obligations or a combination thereof, sufficient, in the opinion of, or based on a written report or certificate of, a nationally recognized firm of independent public accountants, investment bank or appraisal firm, to pay and discharge the entire indebtedness on the debt securities of such series with respect to principal, premium, if any, and accrued and unpaid interest to the date of such deposit or to the maturity date or redemption date, as the case may be;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would become an event of default, with respect to the debt securities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we have delivered to the trustee an opinion of counsel stating that (a) we have received from, or there has been published by, the U.S. Internal Revenue Service a ruling, or (b) since the date of execution of the indenture there has been a change in the applicable U.S. federal income tax law, to the effect, in either case, that the holders of the debt securities of the applicable series will not recognize income, gain or loss for U.S. federal income tax purposes as a result of such defeasance and will be subject to U.S. federal income tax on the same amounts, in the same manner and at the same times as would have been the case if such defeasance had not occurred; and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covenant defeasance, we have delivered to the trustee an opinion of counsel to the effect that the holders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O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in and outside the United States: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rights offering;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“at-the-market” offerings, within the meaning of Rule 415(a)(4) of the Securities Act, to or through a market maker or into an existing trading market on an exchange or otherwise;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or initial public offering price of the securities;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net proceeds from the sale of the securities;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we will execute an underwriting agreement with them regarding the securities. The underwriters will acquire the securities for their own account, subject to conditions in the underwriting agreement.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To the extent expressly set forth in the applicable prospectus supplement,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making at any time without notice. Accordingly, we cannot assure you of the liquidity of, or continued trading markets for, any securities that we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the securities, we will sell the securities to them as principals. They may then resell the securities to the public at varying prices determined by the dealers at the time of resale. We will include in the prospectus supplement the names of the dealers and the terms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this case, no underwriters or agents would be involved.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w:t>
      </w:r>
      <w:bookmarkStart w:id="15" w:name="t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and any related prospectus supplement and certain legal matters will be passed upon for us by Skadden, Arps, Slate, Meagher &amp; Flom LLP, Los Angeles, California. If the securities are being distributed in an underwritten offering, certain legal matters will be passed upon for the underwriters by counsel identified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Skyworks Solutions, Inc. as of October 3, 2025 and September 27, 2024, and for each of the years in the three year fiscal period ended October 3, 2025, and management’s assessment of the effectiveness of internal control over financial reporting as of October 3,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Qorvo, Inc. and subsidiaries as of March 28, 2026 and March 29, 2025 and for each of the three years in the period ended March 28, 2026, appearing in </w:t>
      </w:r>
      <w:hyperlink r:id="rId33">
        <w:r>
          <w:rPr>
            <w:rStyle w:val="InternetLink"/>
          </w:rPr>
          <w:t>Skyworks Solutions, Inc.’s Current Report on Form 8-K filed on May 20, 2026</w:t>
        </w:r>
      </w:hyperlink>
      <w:r>
        <w:rPr>
          <w:rFonts w:ascii="Times New Roman;Times;serif" w:hAnsi="Times New Roman;Times;serif"/>
          <w:b w:val="false"/>
          <w:i w:val="false"/>
          <w:caps w:val="false"/>
          <w:smallCaps w:val="false"/>
          <w:color w:val="000000"/>
          <w:spacing w:val="4"/>
          <w:sz w:val="20"/>
        </w:rPr>
        <w:t>, and the effectiveness of Qorvo, Inc. and subsidiaries’ internal control over financial reporting as of March 28, 2026, have been audited by Ernst &amp; Young LLP, independent registered public accounting firm, as set forth in their reports thereon,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expenses (other than underwriting compensation), all of which will be paid by us, to be incurred in connection with the registration, offering and sale of the securities: </w:t>
      </w:r>
    </w:p>
    <w:tbl>
      <w:tblPr>
        <w:tblW w:w="7237" w:type="dxa"/>
        <w:jc w:val="left"/>
        <w:tblInd w:w="1393" w:type="dxa"/>
        <w:tblLayout w:type="fixed"/>
        <w:tblCellMar>
          <w:top w:w="0" w:type="dxa"/>
          <w:left w:w="0" w:type="dxa"/>
          <w:bottom w:w="0" w:type="dxa"/>
          <w:right w:w="0" w:type="dxa"/>
        </w:tblCellMar>
      </w:tblPr>
      <w:tblGrid>
        <w:gridCol w:w="124"/>
        <w:gridCol w:w="5351"/>
        <w:gridCol w:w="109"/>
        <w:gridCol w:w="109"/>
        <w:gridCol w:w="109"/>
        <w:gridCol w:w="226"/>
        <w:gridCol w:w="9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Securities and Exchange Commission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      </w:t>
            </w: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Trustee’s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Printing and distribution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Miscellaneous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in reliance upon Rule 456(b) and 457(r). </w:t>
      </w:r>
      <w:r>
        <mc:AlternateContent>
          <mc:Choice Requires="wps">
            <w:drawing>
              <wp:anchor behindDoc="0" distT="1524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 of the Delaware General Corporation Law (the “DGCL”)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Skyworks has included such a provision in Article Seventh of the Certificate of Incorporation.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Article Fourteenth of the Certificate of Incorporation provides that to the fullest extent permitted by law, no officer of Skyworks shall be liable to Skyworks or its stockholders for monetary damages for breach of fiduciary duty as an officer, except for liability (a) for any breach of the officer’s duty of loyalty to Skyworks or its stockholders, (b) for acts or omissions not in good faith or which involve intentional misconduct or a knowing violation of law, (c) for any transaction from which the officer derived an improper personal benefit or (d) for any action by or in the right of Skyworks.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III, Section 14 of the By-laws provides that a director or officer of Skyworks: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indemnified by Skyworks against all expenses (including attorneys’ fees), judgments, fines and amounts paid in settlement actually and reasonably incurred in any action, suit or proceeding (other than an action by or in the right of Skyworks) brought against such person by virtue of his or her position as a director or officer of Skyworks if such person acted in good faith and in a manner such person reasonably believed to be in or not opposed to the best interests of Skyworks, and, with respect to any criminal action or proceeding, had no reasonable cause to believe his or her conduct was unlawful; and </w:t>
      </w:r>
      <w:r>
        <mc:AlternateContent>
          <mc:Choice Requires="wps">
            <w:drawing>
              <wp:anchor behindDoc="0" distT="10160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indemnified by Skyworks against all expenses (including attorneys’ fees) actually and reasonably incurred in connection with the defense or settlement of any action or suit by or in the right of Skyworks brought against such person by virtue of his or her position as a director or officer of Skyworks if such person acted in good faith and in a manner such person reasonably believed to be in or not opposed to the best interests of Skyworks, other than with respect to any claim, issue or matter as to which such person shall have been adjudged to be liable to Skyworks unless the Court of Chancery of Delaware or the court in which such action or suit was brought shall determine that, despite the adjudication of liability but in view of all the circumstances of the case, such person is fairly and reasonably entitled to indemnity for such expenses. </w:t>
      </w:r>
      <w:r>
        <mc:AlternateContent>
          <mc:Choice Requires="wps">
            <w:drawing>
              <wp:anchor behindDoc="0" distT="10160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Article III, Section 14 of the By-laws provides that to the extent a director or officer has been successful, on the merits or otherwise, in defense of any action, suit or proceeding referred to in paragraphs A and B above, such person shall be indemnified by Skyworks against expenses (including attorneys’ fees) actually and reasonably incurred. Expenses will be advanced to a director or officer at such person’s request; provided that he or she undertakes to repay the amount received if it is ultimately determined that he or she is not entitled to indemnification for such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has purchased directors’ and officers’ liability insurance which would indemnify its directors and officers against damages arising out of certain kinds of claims that might be made against them based on their negligent acts or omissions while acting in their capacity as such.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list of all the exhibits filed as part of this registration statement. </w:t>
      </w:r>
    </w:p>
    <w:tbl>
      <w:tblPr>
        <w:tblW w:w="8812" w:type="dxa"/>
        <w:jc w:val="left"/>
        <w:tblInd w:w="1393" w:type="dxa"/>
        <w:tblLayout w:type="fixed"/>
        <w:tblCellMar>
          <w:top w:w="0" w:type="dxa"/>
          <w:left w:w="0" w:type="dxa"/>
          <w:bottom w:w="0" w:type="dxa"/>
          <w:right w:w="0" w:type="dxa"/>
        </w:tblCellMar>
      </w:tblPr>
      <w:tblGrid>
        <w:gridCol w:w="124"/>
        <w:gridCol w:w="563"/>
        <w:gridCol w:w="109"/>
        <w:gridCol w:w="109"/>
        <w:gridCol w:w="7752"/>
        <w:gridCol w:w="155"/>
      </w:tblGrid>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283"/>
              <w:jc w:val="left"/>
              <w:rPr>
                <w:spacing w:val="4"/>
              </w:rPr>
            </w:pPr>
            <w:r>
              <w:rPr>
                <w:spacing w:val="4"/>
              </w:rPr>
              <w:t xml:space="preserve">Form of Underwriting Agreement.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r:id="rId34">
              <w:r>
                <w:rPr>
                  <w:rStyle w:val="InternetLink"/>
                  <w:spacing w:val="4"/>
                </w:rPr>
                <w:t>Restated Certificate of Incorporation, as amended (incorporated by reference to Exhibit 3.1 to Skyworks’s Annual Report on Form 10-K filed on November 7, 2025)</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r:id="rId35">
              <w:r>
                <w:rPr>
                  <w:rStyle w:val="InternetLink"/>
                  <w:spacing w:val="4"/>
                </w:rPr>
                <w:t>Fourth Amended and Restated By-laws (incorporated by reference to Exhibit 3.1 to Skyworks’s Current Report on Form 8-K filed on May 12, 2023)</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4-1.htm">
              <w:r>
                <w:rPr>
                  <w:rStyle w:val="InternetLink"/>
                  <w:spacing w:val="4"/>
                </w:rPr>
                <w:t>Form of Indenture.</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283"/>
              <w:jc w:val="left"/>
              <w:rPr>
                <w:spacing w:val="4"/>
              </w:rPr>
            </w:pPr>
            <w:r>
              <w:rPr>
                <w:spacing w:val="4"/>
              </w:rPr>
              <w:t xml:space="preserve">Form of Debt Security.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5-1.htm">
              <w:r>
                <w:rPr>
                  <w:rStyle w:val="InternetLink"/>
                  <w:spacing w:val="4"/>
                </w:rPr>
                <w:t>Opinion of Skadden, Arps, Slate, Meagher &amp; Flom LLP.</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spacing w:val="4"/>
              </w:rPr>
            </w:pPr>
            <w:r>
              <w:rPr>
                <w:spacing w:val="4"/>
              </w:rPr>
              <w:t xml:space="preserve">23.1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23-1.htm">
              <w:r>
                <w:rPr>
                  <w:rStyle w:val="InternetLink"/>
                  <w:spacing w:val="4"/>
                </w:rPr>
                <w:t>Consent of KPMG LLP, independent registered public accounting firm of Skyworks.</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spacing w:val="4"/>
              </w:rPr>
            </w:pPr>
            <w:r>
              <w:rPr>
                <w:spacing w:val="4"/>
              </w:rPr>
              <w:t xml:space="preserve">23.2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23-2.htm">
              <w:r>
                <w:rPr>
                  <w:rStyle w:val="InternetLink"/>
                  <w:spacing w:val="4"/>
                </w:rPr>
                <w:t>Consent of Ernst &amp; Young LLP, independent registered public accounting firm of Qorvo.</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spacing w:val="4"/>
              </w:rPr>
            </w:pPr>
            <w:r>
              <w:rPr>
                <w:spacing w:val="4"/>
              </w:rPr>
              <w:t xml:space="preserve">23.3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5-1.htm">
              <w:r>
                <w:rPr>
                  <w:rStyle w:val="InternetLink"/>
                  <w:spacing w:val="4"/>
                </w:rPr>
                <w:t>Consent of Skadden, Arps, Slate, Meagher &amp; Flom LLP (included in Exhibit 5.1).</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spacing w:val="4"/>
              </w:rPr>
            </w:pPr>
            <w:r>
              <w:rPr>
                <w:spacing w:val="4"/>
              </w:rPr>
              <w:t xml:space="preserve">24.1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SIG">
              <w:r>
                <w:rPr>
                  <w:rStyle w:val="InternetLink"/>
                  <w:spacing w:val="4"/>
                </w:rPr>
                <w:t>Power of Attorney (included on signature page hereto).</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spacing w:val="4"/>
              </w:rPr>
            </w:pPr>
            <w:r>
              <w:rPr>
                <w:spacing w:val="4"/>
              </w:rPr>
              <w:t xml:space="preserve">25.1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5_ex25-1.htm">
              <w:r>
                <w:rPr>
                  <w:rStyle w:val="InternetLink"/>
                  <w:spacing w:val="4"/>
                </w:rPr>
                <w:t>Form T-1 Statement of Eligibility under the Trust Indenture Act of 1939 of Trustee under Indenture.</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left"/>
              <w:rPr/>
            </w:pPr>
            <w:r>
              <w:rPr>
                <w:spacing w:val="4"/>
              </w:rPr>
              <w:t>107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52" w:type="dxa"/>
            <w:tcBorders/>
            <w:vAlign w:val="center"/>
          </w:tcPr>
          <w:p>
            <w:pPr>
              <w:pStyle w:val="TableContents"/>
              <w:bidi w:val="0"/>
              <w:spacing w:before="0" w:after="0"/>
              <w:jc w:val="left"/>
              <w:rPr/>
            </w:pPr>
            <w:hyperlink w:anchor="tm2620808d1_ex-filingfees.htm">
              <w:r>
                <w:rPr>
                  <w:rStyle w:val="InternetLink"/>
                  <w:spacing w:val="4"/>
                </w:rPr>
                <w:t>Filing Fee Table</w:t>
              </w:r>
            </w:hyperlink>
            <w:r>
              <w:rPr>
                <w:spacing w:val="4"/>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as an exhibit to a document to be incorporated or deemed to be incorporated by reference in the registration statement. </w:t>
      </w:r>
      <w:r>
        <mc:AlternateContent>
          <mc:Choice Requires="wps">
            <w:drawing>
              <wp:anchor behindDoc="0" distT="1524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287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2870" distB="0" distL="508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w:t>
      </w:r>
      <w:r>
        <mc:AlternateContent>
          <mc:Choice Requires="wps">
            <w:drawing>
              <wp:anchor behindDoc="0" distT="102870" distB="0" distL="508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50800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31"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160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508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w:t>
      </w:r>
      <w:r>
        <mc:AlternateContent>
          <mc:Choice Requires="wps">
            <w:drawing>
              <wp:anchor behindDoc="0" distT="101600" distB="0" distL="508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w:t>
      </w:r>
      <w:r>
        <mc:AlternateContent>
          <mc:Choice Requires="wps">
            <w:drawing>
              <wp:anchor behindDoc="0" distT="10160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142">
                <wp:simplePos x="0" y="0"/>
                <wp:positionH relativeFrom="column">
                  <wp:align>left</wp:align>
                </wp:positionH>
                <wp:positionV relativeFrom="line">
                  <wp:align>top</wp:align>
                </wp:positionV>
                <wp:extent cx="254000" cy="525780"/>
                <wp:effectExtent l="0" t="0" r="0" b="0"/>
                <wp:wrapSquare wrapText="right"/>
                <wp:docPr id="140" name="Frame1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143">
                <wp:simplePos x="0" y="0"/>
                <wp:positionH relativeFrom="column">
                  <wp:align>left</wp:align>
                </wp:positionH>
                <wp:positionV relativeFrom="line">
                  <wp:align>top</wp:align>
                </wp:positionV>
                <wp:extent cx="254000" cy="525780"/>
                <wp:effectExtent l="0" t="0" r="0" b="0"/>
                <wp:wrapSquare wrapText="right"/>
                <wp:docPr id="141" name="Frame1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IG"/>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Irvine, State of California, on August 3, 2026. </w:t>
      </w:r>
    </w:p>
    <w:p>
      <w:pPr>
        <w:pStyle w:val="TextBody"/>
        <w:bidi w:val="0"/>
        <w:spacing w:lineRule="atLeast" w:line="230" w:before="142"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(Registrant) </w:t>
      </w:r>
    </w:p>
    <w:p>
      <w:pPr>
        <w:pStyle w:val="TextBody"/>
        <w:bidi w:val="0"/>
        <w:spacing w:lineRule="atLeast" w:line="240" w:before="305"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Philip G. Brace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93675" distB="0" distL="3048000" distR="0" simplePos="0" locked="0" layoutInCell="1" allowOverlap="1" relativeHeight="144">
                <wp:simplePos x="0" y="0"/>
                <wp:positionH relativeFrom="column">
                  <wp:align>left</wp:align>
                </wp:positionH>
                <wp:positionV relativeFrom="line">
                  <wp:align>top</wp:align>
                </wp:positionV>
                <wp:extent cx="254000" cy="525780"/>
                <wp:effectExtent l="0" t="0" r="0" b="0"/>
                <wp:wrapSquare wrapText="right"/>
                <wp:docPr id="142" name="Frame1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5.25pt;mso-wrap-distance-bottom:0pt;margin-top:15.25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Philip G. Brace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Philip G. Brace and Philip Carter (with full power to each of them to act alone) his true and lawful attorney-in-fact and agent, with full power of substitution and re-substitution, for him and in his name, place and stead, in any and all capacities, to sign on his behalf individually and in each capacity stated below any and all amendments (including post-effective amendments) to this registration statement (including a related registration statement filed pursuant to Rule 462 of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either of them, or their substitutes, may lawfully do or cause to be done by virtue hereof.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385"/>
        <w:gridCol w:w="109"/>
        <w:gridCol w:w="109"/>
        <w:gridCol w:w="4077"/>
        <w:gridCol w:w="109"/>
        <w:gridCol w:w="109"/>
        <w:gridCol w:w="1634"/>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Philip G. Brace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Philip G. Brace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pPr>
            <w:r>
              <w:rPr>
                <w:spacing w:val="4"/>
              </w:rPr>
              <w:t xml:space="preserve">President and Chief Executive Officer </w:t>
            </w:r>
            <w:r>
              <w:rPr/>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Philip Carter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Philip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pPr>
            <w:r>
              <w:rPr>
                <w:spacing w:val="4"/>
              </w:rPr>
              <w:t xml:space="preserve">Senior Vice President and Chief Financial </w:t>
            </w:r>
            <w:r>
              <w:rPr/>
              <w:br/>
            </w:r>
            <w:r>
              <w:rPr>
                <w:spacing w:val="4"/>
              </w:rPr>
              <w:t xml:space="preserve">Officer (Principal Financial Officer and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Christine King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Christine King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Alan S. Batey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Alan S. Batey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Kevin L. Beebe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L. Beebe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Eric J. Guerin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Eric J. Guerin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85" w:type="dxa"/>
            <w:tcBorders/>
            <w:tcMar>
              <w:bottom w:w="0" w:type="dxa"/>
            </w:tcMar>
            <w:vAlign w:val="center"/>
          </w:tcPr>
          <w:p>
            <w:pPr>
              <w:pStyle w:val="TableContents"/>
              <w:bidi w:val="0"/>
              <w:spacing w:before="0" w:after="0"/>
              <w:jc w:val="center"/>
              <w:rPr>
                <w:spacing w:val="4"/>
              </w:rPr>
            </w:pPr>
            <w:r>
              <w:rPr>
                <w:spacing w:val="4"/>
              </w:rPr>
              <w:t xml:space="preserve">/s/ Suzanne E. McBride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Suzanne E. McBride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028" w:type="dxa"/>
        <w:jc w:val="left"/>
        <w:tblInd w:w="1393" w:type="dxa"/>
        <w:tblLayout w:type="fixed"/>
        <w:tblCellMar>
          <w:top w:w="0" w:type="dxa"/>
          <w:left w:w="0" w:type="dxa"/>
          <w:bottom w:w="28" w:type="dxa"/>
          <w:right w:w="0" w:type="dxa"/>
        </w:tblCellMar>
      </w:tblPr>
      <w:tblGrid>
        <w:gridCol w:w="124"/>
        <w:gridCol w:w="2668"/>
        <w:gridCol w:w="109"/>
        <w:gridCol w:w="109"/>
        <w:gridCol w:w="974"/>
        <w:gridCol w:w="109"/>
        <w:gridCol w:w="109"/>
        <w:gridCol w:w="16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8" w:type="dxa"/>
            <w:tcBorders/>
            <w:tcMar>
              <w:bottom w:w="0" w:type="dxa"/>
            </w:tcMar>
            <w:vAlign w:val="center"/>
          </w:tcPr>
          <w:p>
            <w:pPr>
              <w:pStyle w:val="TableContents"/>
              <w:bidi w:val="0"/>
              <w:spacing w:before="0" w:after="0"/>
              <w:jc w:val="center"/>
              <w:rPr>
                <w:spacing w:val="4"/>
              </w:rPr>
            </w:pPr>
            <w:r>
              <w:rPr>
                <w:spacing w:val="4"/>
              </w:rPr>
              <w:t xml:space="preserve">/s/ David P. McGlade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P. McGlade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8" w:type="dxa"/>
            <w:tcBorders/>
            <w:tcMar>
              <w:bottom w:w="0" w:type="dxa"/>
            </w:tcMar>
            <w:vAlign w:val="center"/>
          </w:tcPr>
          <w:p>
            <w:pPr>
              <w:pStyle w:val="TableContents"/>
              <w:bidi w:val="0"/>
              <w:spacing w:before="0" w:after="0"/>
              <w:jc w:val="center"/>
              <w:rPr>
                <w:spacing w:val="4"/>
              </w:rPr>
            </w:pPr>
            <w:r>
              <w:rPr>
                <w:spacing w:val="4"/>
              </w:rPr>
              <w:t xml:space="preserve">/s/ Robert A. Schriesheim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Robert A. Schriesheim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3,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8" w:type="dxa"/>
            <w:tcBorders/>
            <w:tcMar>
              <w:bottom w:w="0" w:type="dxa"/>
            </w:tcMar>
            <w:vAlign w:val="center"/>
          </w:tcPr>
          <w:p>
            <w:pPr>
              <w:pStyle w:val="TableContents"/>
              <w:bidi w:val="0"/>
              <w:spacing w:before="0" w:after="0"/>
              <w:jc w:val="center"/>
              <w:rPr/>
            </w:pPr>
            <w:r>
              <w:rPr>
                <w:spacing w:val="4"/>
              </w:rPr>
              <w:t>/s/ Maryann Turcke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Maryann Turcke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pPr>
            <w:r>
              <w:rPr>
                <w:spacing w:val="4"/>
              </w:rPr>
              <w:t>August 3,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7" w:name="tm2620808d5_ex4-1.htm"/>
      <w:bookmarkStart w:id="18" w:name="kstm2620808d5_ex41"/>
      <w:bookmarkEnd w:id="17"/>
      <w:bookmarkEnd w:id="18"/>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(as Issuer)</w:t>
        <w:br/>
        <w:t>and</w:t>
        <w:br/>
        <w:t>U.S. BANK TRUST COMPANY, NATIONAL ASSOCIATION</w:t>
        <w:br/>
        <w:t>(as Trustee)</w:t>
        <w:br/>
        <w:t>Indenture</w:t>
        <w:br/>
        <w:t>Dated as of [●], 20[●]</w:t>
        <w:b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RECONCILIATION AND TIE BETWEEN TRUST INDENTURE ACT OF 1939</w:t>
        <w:br/>
        <w:t>AND INDENTURE, DATED AS OF [●], 20[●]</w:t>
      </w:r>
    </w:p>
    <w:p>
      <w:pPr>
        <w:pStyle w:val="TextBody"/>
        <w:bidi w:val="0"/>
        <w:spacing w:before="0" w:after="0"/>
        <w:ind w:left="0" w:right="0" w:hanging="0"/>
        <w:jc w:val="left"/>
        <w:rPr>
          <w:caps w:val="false"/>
          <w:smallCaps w:val="false"/>
        </w:rPr>
      </w:pPr>
      <w:r>
        <w:rPr>
          <w:caps w:val="false"/>
          <w:smallCaps w:val="false"/>
        </w:rPr>
        <w:t> </w:t>
      </w:r>
    </w:p>
    <w:tbl>
      <w:tblPr>
        <w:tblW w:w="5035" w:type="dxa"/>
        <w:jc w:val="center"/>
        <w:tblInd w:w="0" w:type="dxa"/>
        <w:tblLayout w:type="fixed"/>
        <w:tblCellMar>
          <w:top w:w="0" w:type="dxa"/>
          <w:left w:w="0" w:type="dxa"/>
          <w:bottom w:w="0" w:type="dxa"/>
          <w:right w:w="0" w:type="dxa"/>
        </w:tblCellMar>
      </w:tblPr>
      <w:tblGrid>
        <w:gridCol w:w="3155"/>
        <w:gridCol w:w="1880"/>
      </w:tblGrid>
      <w:tr>
        <w:trPr/>
        <w:tc>
          <w:tcPr>
            <w:tcW w:w="31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of Trust Indenture Act of 1939</w:t>
            </w:r>
          </w:p>
        </w:tc>
        <w:tc>
          <w:tcPr>
            <w:tcW w:w="18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of Indenture</w:t>
            </w:r>
          </w:p>
        </w:tc>
      </w:tr>
      <w:tr>
        <w:trPr/>
        <w:tc>
          <w:tcPr>
            <w:tcW w:w="3155" w:type="dxa"/>
            <w:tcBorders/>
            <w:vAlign w:val="center"/>
          </w:tcPr>
          <w:p>
            <w:pPr>
              <w:pStyle w:val="TableContents"/>
              <w:bidi w:val="0"/>
              <w:spacing w:before="0" w:after="283"/>
              <w:jc w:val="left"/>
              <w:rPr/>
            </w:pPr>
            <w:r>
              <w:rPr/>
              <w:t>Section 310(a)(1)</w:t>
            </w:r>
          </w:p>
        </w:tc>
        <w:tc>
          <w:tcPr>
            <w:tcW w:w="1880" w:type="dxa"/>
            <w:tcBorders/>
            <w:vAlign w:val="center"/>
          </w:tcPr>
          <w:p>
            <w:pPr>
              <w:pStyle w:val="TableContents"/>
              <w:bidi w:val="0"/>
              <w:spacing w:before="0" w:after="283"/>
              <w:jc w:val="left"/>
              <w:rPr/>
            </w:pPr>
            <w:r>
              <w:rPr/>
              <w:t>Section 5.09</w:t>
            </w:r>
          </w:p>
        </w:tc>
      </w:tr>
      <w:tr>
        <w:trPr/>
        <w:tc>
          <w:tcPr>
            <w:tcW w:w="3155" w:type="dxa"/>
            <w:tcBorders/>
            <w:vAlign w:val="center"/>
          </w:tcPr>
          <w:p>
            <w:pPr>
              <w:pStyle w:val="TableContents"/>
              <w:bidi w:val="0"/>
              <w:spacing w:before="0" w:after="283"/>
              <w:jc w:val="left"/>
              <w:rPr/>
            </w:pPr>
            <w:r>
              <w:rPr/>
              <w:t>(a)(2)</w:t>
            </w:r>
          </w:p>
        </w:tc>
        <w:tc>
          <w:tcPr>
            <w:tcW w:w="1880" w:type="dxa"/>
            <w:tcBorders/>
            <w:vAlign w:val="center"/>
          </w:tcPr>
          <w:p>
            <w:pPr>
              <w:pStyle w:val="TableContents"/>
              <w:bidi w:val="0"/>
              <w:spacing w:before="0" w:after="283"/>
              <w:jc w:val="left"/>
              <w:rPr/>
            </w:pPr>
            <w:r>
              <w:rPr/>
              <w:t>Section 5.09</w:t>
            </w:r>
          </w:p>
        </w:tc>
      </w:tr>
      <w:tr>
        <w:trPr/>
        <w:tc>
          <w:tcPr>
            <w:tcW w:w="3155" w:type="dxa"/>
            <w:tcBorders/>
            <w:vAlign w:val="center"/>
          </w:tcPr>
          <w:p>
            <w:pPr>
              <w:pStyle w:val="TableContents"/>
              <w:bidi w:val="0"/>
              <w:spacing w:before="0" w:after="283"/>
              <w:jc w:val="left"/>
              <w:rPr/>
            </w:pPr>
            <w:r>
              <w:rPr/>
              <w:t>(a)(3)</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(a)(4)</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(a)(5)</w:t>
            </w:r>
          </w:p>
        </w:tc>
        <w:tc>
          <w:tcPr>
            <w:tcW w:w="1880" w:type="dxa"/>
            <w:tcBorders/>
            <w:vAlign w:val="center"/>
          </w:tcPr>
          <w:p>
            <w:pPr>
              <w:pStyle w:val="TableContents"/>
              <w:bidi w:val="0"/>
              <w:spacing w:before="0" w:after="283"/>
              <w:jc w:val="left"/>
              <w:rPr/>
            </w:pPr>
            <w:r>
              <w:rPr/>
              <w:t>Section 5.09</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5.08</w:t>
            </w:r>
          </w:p>
        </w:tc>
      </w:tr>
      <w:tr>
        <w:trPr/>
        <w:tc>
          <w:tcPr>
            <w:tcW w:w="3155" w:type="dxa"/>
            <w:tcBorders/>
            <w:vAlign w:val="center"/>
          </w:tcPr>
          <w:p>
            <w:pPr>
              <w:pStyle w:val="TableContents"/>
              <w:bidi w:val="0"/>
              <w:spacing w:before="0" w:after="283"/>
              <w:jc w:val="left"/>
              <w:rPr/>
            </w:pPr>
            <w:r>
              <w:rPr/>
              <w:t>Section 311(a)</w:t>
            </w:r>
          </w:p>
        </w:tc>
        <w:tc>
          <w:tcPr>
            <w:tcW w:w="1880" w:type="dxa"/>
            <w:tcBorders/>
            <w:vAlign w:val="center"/>
          </w:tcPr>
          <w:p>
            <w:pPr>
              <w:pStyle w:val="TableContents"/>
              <w:bidi w:val="0"/>
              <w:spacing w:before="0" w:after="283"/>
              <w:jc w:val="left"/>
              <w:rPr/>
            </w:pPr>
            <w:r>
              <w:rPr/>
              <w:t>Section 5.13</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5.13</w:t>
            </w:r>
          </w:p>
        </w:tc>
      </w:tr>
      <w:tr>
        <w:trPr/>
        <w:tc>
          <w:tcPr>
            <w:tcW w:w="3155" w:type="dxa"/>
            <w:tcBorders/>
            <w:vAlign w:val="center"/>
          </w:tcPr>
          <w:p>
            <w:pPr>
              <w:pStyle w:val="TableContents"/>
              <w:bidi w:val="0"/>
              <w:spacing w:before="0" w:after="283"/>
              <w:jc w:val="left"/>
              <w:rPr/>
            </w:pPr>
            <w:r>
              <w:rPr/>
              <w:t>(c)</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Section 312(a)</w:t>
            </w:r>
          </w:p>
        </w:tc>
        <w:tc>
          <w:tcPr>
            <w:tcW w:w="1880" w:type="dxa"/>
            <w:tcBorders/>
            <w:vAlign w:val="center"/>
          </w:tcPr>
          <w:p>
            <w:pPr>
              <w:pStyle w:val="TableContents"/>
              <w:bidi w:val="0"/>
              <w:spacing w:before="0" w:after="283"/>
              <w:jc w:val="left"/>
              <w:rPr/>
            </w:pPr>
            <w:r>
              <w:rPr/>
              <w:t>Section 6.01</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6.02</w:t>
            </w:r>
          </w:p>
        </w:tc>
      </w:tr>
      <w:tr>
        <w:trPr/>
        <w:tc>
          <w:tcPr>
            <w:tcW w:w="3155" w:type="dxa"/>
            <w:tcBorders/>
            <w:vAlign w:val="center"/>
          </w:tcPr>
          <w:p>
            <w:pPr>
              <w:pStyle w:val="TableContents"/>
              <w:bidi w:val="0"/>
              <w:spacing w:before="0" w:after="283"/>
              <w:jc w:val="left"/>
              <w:rPr/>
            </w:pPr>
            <w:r>
              <w:rPr/>
              <w:t>(c)</w:t>
            </w:r>
          </w:p>
        </w:tc>
        <w:tc>
          <w:tcPr>
            <w:tcW w:w="1880" w:type="dxa"/>
            <w:tcBorders/>
            <w:vAlign w:val="center"/>
          </w:tcPr>
          <w:p>
            <w:pPr>
              <w:pStyle w:val="TableContents"/>
              <w:bidi w:val="0"/>
              <w:spacing w:before="0" w:after="283"/>
              <w:jc w:val="left"/>
              <w:rPr/>
            </w:pPr>
            <w:r>
              <w:rPr/>
              <w:t>Section 6.02</w:t>
            </w:r>
          </w:p>
        </w:tc>
      </w:tr>
      <w:tr>
        <w:trPr/>
        <w:tc>
          <w:tcPr>
            <w:tcW w:w="3155" w:type="dxa"/>
            <w:tcBorders/>
            <w:vAlign w:val="center"/>
          </w:tcPr>
          <w:p>
            <w:pPr>
              <w:pStyle w:val="TableContents"/>
              <w:bidi w:val="0"/>
              <w:spacing w:before="0" w:after="283"/>
              <w:jc w:val="left"/>
              <w:rPr/>
            </w:pPr>
            <w:r>
              <w:rPr/>
              <w:t>Section 313(a)</w:t>
            </w:r>
          </w:p>
        </w:tc>
        <w:tc>
          <w:tcPr>
            <w:tcW w:w="1880" w:type="dxa"/>
            <w:tcBorders/>
            <w:vAlign w:val="center"/>
          </w:tcPr>
          <w:p>
            <w:pPr>
              <w:pStyle w:val="TableContents"/>
              <w:bidi w:val="0"/>
              <w:spacing w:before="0" w:after="283"/>
              <w:jc w:val="left"/>
              <w:rPr/>
            </w:pPr>
            <w:r>
              <w:rPr/>
              <w:t>Section 6.03</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6.03</w:t>
            </w:r>
          </w:p>
        </w:tc>
      </w:tr>
      <w:tr>
        <w:trPr/>
        <w:tc>
          <w:tcPr>
            <w:tcW w:w="3155" w:type="dxa"/>
            <w:tcBorders/>
            <w:vAlign w:val="center"/>
          </w:tcPr>
          <w:p>
            <w:pPr>
              <w:pStyle w:val="TableContents"/>
              <w:bidi w:val="0"/>
              <w:spacing w:before="0" w:after="283"/>
              <w:jc w:val="left"/>
              <w:rPr/>
            </w:pPr>
            <w:r>
              <w:rPr/>
              <w:t>(c)</w:t>
            </w:r>
          </w:p>
        </w:tc>
        <w:tc>
          <w:tcPr>
            <w:tcW w:w="1880" w:type="dxa"/>
            <w:tcBorders/>
            <w:vAlign w:val="center"/>
          </w:tcPr>
          <w:p>
            <w:pPr>
              <w:pStyle w:val="TableContents"/>
              <w:bidi w:val="0"/>
              <w:spacing w:before="0" w:after="283"/>
              <w:jc w:val="left"/>
              <w:rPr/>
            </w:pPr>
            <w:r>
              <w:rPr/>
              <w:t>Section 6.03</w:t>
            </w:r>
          </w:p>
        </w:tc>
      </w:tr>
      <w:tr>
        <w:trPr/>
        <w:tc>
          <w:tcPr>
            <w:tcW w:w="3155" w:type="dxa"/>
            <w:tcBorders/>
            <w:vAlign w:val="center"/>
          </w:tcPr>
          <w:p>
            <w:pPr>
              <w:pStyle w:val="TableContents"/>
              <w:bidi w:val="0"/>
              <w:spacing w:before="0" w:after="283"/>
              <w:jc w:val="left"/>
              <w:rPr/>
            </w:pPr>
            <w:r>
              <w:rPr/>
              <w:t>(d)</w:t>
            </w:r>
          </w:p>
        </w:tc>
        <w:tc>
          <w:tcPr>
            <w:tcW w:w="1880" w:type="dxa"/>
            <w:tcBorders/>
            <w:vAlign w:val="center"/>
          </w:tcPr>
          <w:p>
            <w:pPr>
              <w:pStyle w:val="TableContents"/>
              <w:bidi w:val="0"/>
              <w:spacing w:before="0" w:after="283"/>
              <w:jc w:val="left"/>
              <w:rPr/>
            </w:pPr>
            <w:r>
              <w:rPr/>
              <w:t>Section 6.03</w:t>
            </w:r>
          </w:p>
        </w:tc>
      </w:tr>
      <w:tr>
        <w:trPr/>
        <w:tc>
          <w:tcPr>
            <w:tcW w:w="3155" w:type="dxa"/>
            <w:tcBorders/>
            <w:vAlign w:val="center"/>
          </w:tcPr>
          <w:p>
            <w:pPr>
              <w:pStyle w:val="TableContents"/>
              <w:bidi w:val="0"/>
              <w:spacing w:before="0" w:after="283"/>
              <w:jc w:val="left"/>
              <w:rPr/>
            </w:pPr>
            <w:r>
              <w:rPr/>
              <w:t>Section 314(a)</w:t>
            </w:r>
          </w:p>
        </w:tc>
        <w:tc>
          <w:tcPr>
            <w:tcW w:w="1880" w:type="dxa"/>
            <w:tcBorders/>
            <w:vAlign w:val="center"/>
          </w:tcPr>
          <w:p>
            <w:pPr>
              <w:pStyle w:val="TableContents"/>
              <w:bidi w:val="0"/>
              <w:spacing w:before="0" w:after="283"/>
              <w:jc w:val="left"/>
              <w:rPr/>
            </w:pPr>
            <w:r>
              <w:rPr/>
              <w:t>Section 6.04</w:t>
            </w:r>
          </w:p>
        </w:tc>
      </w:tr>
      <w:tr>
        <w:trPr/>
        <w:tc>
          <w:tcPr>
            <w:tcW w:w="315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Section 6.05</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(c)(1)</w:t>
            </w:r>
          </w:p>
        </w:tc>
        <w:tc>
          <w:tcPr>
            <w:tcW w:w="1880" w:type="dxa"/>
            <w:tcBorders/>
            <w:vAlign w:val="center"/>
          </w:tcPr>
          <w:p>
            <w:pPr>
              <w:pStyle w:val="TableContents"/>
              <w:bidi w:val="0"/>
              <w:spacing w:before="0" w:after="283"/>
              <w:jc w:val="left"/>
              <w:rPr/>
            </w:pPr>
            <w:r>
              <w:rPr/>
              <w:t>Section 1.02</w:t>
            </w:r>
          </w:p>
        </w:tc>
      </w:tr>
      <w:tr>
        <w:trPr/>
        <w:tc>
          <w:tcPr>
            <w:tcW w:w="315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Section 6.04</w:t>
            </w:r>
          </w:p>
        </w:tc>
      </w:tr>
      <w:tr>
        <w:trPr/>
        <w:tc>
          <w:tcPr>
            <w:tcW w:w="3155" w:type="dxa"/>
            <w:tcBorders/>
            <w:vAlign w:val="center"/>
          </w:tcPr>
          <w:p>
            <w:pPr>
              <w:pStyle w:val="TableContents"/>
              <w:bidi w:val="0"/>
              <w:spacing w:before="0" w:after="283"/>
              <w:jc w:val="left"/>
              <w:rPr/>
            </w:pPr>
            <w:r>
              <w:rPr/>
              <w:t>(c)(2)</w:t>
            </w:r>
          </w:p>
        </w:tc>
        <w:tc>
          <w:tcPr>
            <w:tcW w:w="1880" w:type="dxa"/>
            <w:tcBorders/>
            <w:vAlign w:val="center"/>
          </w:tcPr>
          <w:p>
            <w:pPr>
              <w:pStyle w:val="TableContents"/>
              <w:bidi w:val="0"/>
              <w:spacing w:before="0" w:after="283"/>
              <w:jc w:val="left"/>
              <w:rPr/>
            </w:pPr>
            <w:r>
              <w:rPr/>
              <w:t>Section 1.02</w:t>
            </w:r>
          </w:p>
        </w:tc>
      </w:tr>
      <w:tr>
        <w:trPr/>
        <w:tc>
          <w:tcPr>
            <w:tcW w:w="315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Section 6.04</w:t>
            </w:r>
          </w:p>
        </w:tc>
      </w:tr>
      <w:tr>
        <w:trPr/>
        <w:tc>
          <w:tcPr>
            <w:tcW w:w="3155" w:type="dxa"/>
            <w:tcBorders/>
            <w:vAlign w:val="center"/>
          </w:tcPr>
          <w:p>
            <w:pPr>
              <w:pStyle w:val="TableContents"/>
              <w:bidi w:val="0"/>
              <w:spacing w:before="0" w:after="283"/>
              <w:jc w:val="left"/>
              <w:rPr/>
            </w:pPr>
            <w:r>
              <w:rPr/>
              <w:t>(c)(3)</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(d)</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(e)</w:t>
            </w:r>
          </w:p>
        </w:tc>
        <w:tc>
          <w:tcPr>
            <w:tcW w:w="1880" w:type="dxa"/>
            <w:tcBorders/>
            <w:vAlign w:val="center"/>
          </w:tcPr>
          <w:p>
            <w:pPr>
              <w:pStyle w:val="TableContents"/>
              <w:bidi w:val="0"/>
              <w:spacing w:before="0" w:after="283"/>
              <w:jc w:val="left"/>
              <w:rPr/>
            </w:pPr>
            <w:r>
              <w:rPr/>
              <w:t>Section 1.02</w:t>
            </w:r>
          </w:p>
        </w:tc>
      </w:tr>
      <w:tr>
        <w:trPr/>
        <w:tc>
          <w:tcPr>
            <w:tcW w:w="3155" w:type="dxa"/>
            <w:tcBorders/>
            <w:vAlign w:val="center"/>
          </w:tcPr>
          <w:p>
            <w:pPr>
              <w:pStyle w:val="TableContents"/>
              <w:bidi w:val="0"/>
              <w:spacing w:before="0" w:after="283"/>
              <w:jc w:val="left"/>
              <w:rPr/>
            </w:pPr>
            <w:r>
              <w:rPr/>
              <w:t>Section 315(a)</w:t>
            </w:r>
          </w:p>
        </w:tc>
        <w:tc>
          <w:tcPr>
            <w:tcW w:w="1880" w:type="dxa"/>
            <w:tcBorders/>
            <w:vAlign w:val="center"/>
          </w:tcPr>
          <w:p>
            <w:pPr>
              <w:pStyle w:val="TableContents"/>
              <w:bidi w:val="0"/>
              <w:spacing w:before="0" w:after="283"/>
              <w:jc w:val="left"/>
              <w:rPr/>
            </w:pPr>
            <w:r>
              <w:rPr/>
              <w:t>Section 5.01</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5.02</w:t>
            </w:r>
          </w:p>
        </w:tc>
      </w:tr>
      <w:tr>
        <w:trPr/>
        <w:tc>
          <w:tcPr>
            <w:tcW w:w="3155" w:type="dxa"/>
            <w:tcBorders/>
            <w:vAlign w:val="center"/>
          </w:tcPr>
          <w:p>
            <w:pPr>
              <w:pStyle w:val="TableContents"/>
              <w:bidi w:val="0"/>
              <w:spacing w:before="0" w:after="283"/>
              <w:jc w:val="left"/>
              <w:rPr/>
            </w:pPr>
            <w:r>
              <w:rPr/>
              <w:t>(c)</w:t>
            </w:r>
          </w:p>
        </w:tc>
        <w:tc>
          <w:tcPr>
            <w:tcW w:w="1880" w:type="dxa"/>
            <w:tcBorders/>
            <w:vAlign w:val="center"/>
          </w:tcPr>
          <w:p>
            <w:pPr>
              <w:pStyle w:val="TableContents"/>
              <w:bidi w:val="0"/>
              <w:spacing w:before="0" w:after="283"/>
              <w:jc w:val="left"/>
              <w:rPr/>
            </w:pPr>
            <w:r>
              <w:rPr/>
              <w:t>Section 5.01</w:t>
            </w:r>
          </w:p>
        </w:tc>
      </w:tr>
      <w:tr>
        <w:trPr/>
        <w:tc>
          <w:tcPr>
            <w:tcW w:w="3155" w:type="dxa"/>
            <w:tcBorders/>
            <w:vAlign w:val="center"/>
          </w:tcPr>
          <w:p>
            <w:pPr>
              <w:pStyle w:val="TableContents"/>
              <w:bidi w:val="0"/>
              <w:spacing w:before="0" w:after="283"/>
              <w:jc w:val="left"/>
              <w:rPr/>
            </w:pPr>
            <w:r>
              <w:rPr/>
              <w:t>(d)</w:t>
            </w:r>
          </w:p>
        </w:tc>
        <w:tc>
          <w:tcPr>
            <w:tcW w:w="1880" w:type="dxa"/>
            <w:tcBorders/>
            <w:vAlign w:val="center"/>
          </w:tcPr>
          <w:p>
            <w:pPr>
              <w:pStyle w:val="TableContents"/>
              <w:bidi w:val="0"/>
              <w:spacing w:before="0" w:after="283"/>
              <w:jc w:val="left"/>
              <w:rPr/>
            </w:pPr>
            <w:r>
              <w:rPr/>
              <w:t>Section 5.01</w:t>
            </w:r>
          </w:p>
        </w:tc>
      </w:tr>
      <w:tr>
        <w:trPr/>
        <w:tc>
          <w:tcPr>
            <w:tcW w:w="3155" w:type="dxa"/>
            <w:tcBorders/>
            <w:vAlign w:val="center"/>
          </w:tcPr>
          <w:p>
            <w:pPr>
              <w:pStyle w:val="TableContents"/>
              <w:bidi w:val="0"/>
              <w:spacing w:before="0" w:after="283"/>
              <w:jc w:val="left"/>
              <w:rPr/>
            </w:pPr>
            <w:r>
              <w:rPr/>
              <w:t>(e)</w:t>
            </w:r>
          </w:p>
        </w:tc>
        <w:tc>
          <w:tcPr>
            <w:tcW w:w="1880" w:type="dxa"/>
            <w:tcBorders/>
            <w:vAlign w:val="center"/>
          </w:tcPr>
          <w:p>
            <w:pPr>
              <w:pStyle w:val="TableContents"/>
              <w:bidi w:val="0"/>
              <w:spacing w:before="0" w:after="283"/>
              <w:jc w:val="left"/>
              <w:rPr/>
            </w:pPr>
            <w:r>
              <w:rPr/>
              <w:t>Section 4.14</w:t>
            </w:r>
          </w:p>
        </w:tc>
      </w:tr>
      <w:tr>
        <w:trPr/>
        <w:tc>
          <w:tcPr>
            <w:tcW w:w="3155" w:type="dxa"/>
            <w:tcBorders/>
            <w:vAlign w:val="center"/>
          </w:tcPr>
          <w:p>
            <w:pPr>
              <w:pStyle w:val="TableContents"/>
              <w:bidi w:val="0"/>
              <w:spacing w:before="0" w:after="283"/>
              <w:jc w:val="left"/>
              <w:rPr/>
            </w:pPr>
            <w:r>
              <w:rPr/>
              <w:t>Section 316(a)(1)(A)</w:t>
            </w:r>
          </w:p>
        </w:tc>
        <w:tc>
          <w:tcPr>
            <w:tcW w:w="1880" w:type="dxa"/>
            <w:tcBorders/>
            <w:vAlign w:val="center"/>
          </w:tcPr>
          <w:p>
            <w:pPr>
              <w:pStyle w:val="TableContents"/>
              <w:bidi w:val="0"/>
              <w:spacing w:before="0" w:after="283"/>
              <w:jc w:val="left"/>
              <w:rPr/>
            </w:pPr>
            <w:r>
              <w:rPr/>
              <w:t>Section 4.12</w:t>
            </w:r>
          </w:p>
        </w:tc>
      </w:tr>
      <w:tr>
        <w:trPr/>
        <w:tc>
          <w:tcPr>
            <w:tcW w:w="3155" w:type="dxa"/>
            <w:tcBorders/>
            <w:vAlign w:val="center"/>
          </w:tcPr>
          <w:p>
            <w:pPr>
              <w:pStyle w:val="TableContents"/>
              <w:bidi w:val="0"/>
              <w:spacing w:before="0" w:after="283"/>
              <w:jc w:val="left"/>
              <w:rPr/>
            </w:pPr>
            <w:r>
              <w:rPr/>
              <w:t>(a)(1)(B)</w:t>
            </w:r>
          </w:p>
        </w:tc>
        <w:tc>
          <w:tcPr>
            <w:tcW w:w="1880" w:type="dxa"/>
            <w:tcBorders/>
            <w:vAlign w:val="center"/>
          </w:tcPr>
          <w:p>
            <w:pPr>
              <w:pStyle w:val="TableContents"/>
              <w:bidi w:val="0"/>
              <w:spacing w:before="0" w:after="283"/>
              <w:jc w:val="left"/>
              <w:rPr/>
            </w:pPr>
            <w:r>
              <w:rPr/>
              <w:t>Section 4.13</w:t>
            </w:r>
          </w:p>
        </w:tc>
      </w:tr>
      <w:tr>
        <w:trPr/>
        <w:tc>
          <w:tcPr>
            <w:tcW w:w="3155" w:type="dxa"/>
            <w:tcBorders/>
            <w:vAlign w:val="center"/>
          </w:tcPr>
          <w:p>
            <w:pPr>
              <w:pStyle w:val="TableContents"/>
              <w:bidi w:val="0"/>
              <w:spacing w:before="0" w:after="283"/>
              <w:jc w:val="left"/>
              <w:rPr/>
            </w:pPr>
            <w:r>
              <w:rPr/>
              <w:t>(a)(2)</w:t>
            </w:r>
          </w:p>
        </w:tc>
        <w:tc>
          <w:tcPr>
            <w:tcW w:w="1880" w:type="dxa"/>
            <w:tcBorders/>
            <w:vAlign w:val="center"/>
          </w:tcPr>
          <w:p>
            <w:pPr>
              <w:pStyle w:val="TableContents"/>
              <w:bidi w:val="0"/>
              <w:spacing w:before="0" w:after="283"/>
              <w:jc w:val="left"/>
              <w:rPr/>
            </w:pPr>
            <w:r>
              <w:rPr/>
              <w:t>Not Applicable</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4.08</w:t>
            </w:r>
          </w:p>
        </w:tc>
      </w:tr>
      <w:tr>
        <w:trPr/>
        <w:tc>
          <w:tcPr>
            <w:tcW w:w="3155" w:type="dxa"/>
            <w:tcBorders/>
            <w:vAlign w:val="center"/>
          </w:tcPr>
          <w:p>
            <w:pPr>
              <w:pStyle w:val="TableContents"/>
              <w:bidi w:val="0"/>
              <w:spacing w:before="0" w:after="283"/>
              <w:jc w:val="left"/>
              <w:rPr/>
            </w:pPr>
            <w:r>
              <w:rPr/>
              <w:t>Section 317(a)(1)</w:t>
            </w:r>
          </w:p>
        </w:tc>
        <w:tc>
          <w:tcPr>
            <w:tcW w:w="1880" w:type="dxa"/>
            <w:tcBorders/>
            <w:vAlign w:val="center"/>
          </w:tcPr>
          <w:p>
            <w:pPr>
              <w:pStyle w:val="TableContents"/>
              <w:bidi w:val="0"/>
              <w:spacing w:before="0" w:after="283"/>
              <w:jc w:val="left"/>
              <w:rPr/>
            </w:pPr>
            <w:r>
              <w:rPr/>
              <w:t>Section 4.03</w:t>
            </w:r>
          </w:p>
        </w:tc>
      </w:tr>
      <w:tr>
        <w:trPr/>
        <w:tc>
          <w:tcPr>
            <w:tcW w:w="3155" w:type="dxa"/>
            <w:tcBorders/>
            <w:vAlign w:val="center"/>
          </w:tcPr>
          <w:p>
            <w:pPr>
              <w:pStyle w:val="TableContents"/>
              <w:bidi w:val="0"/>
              <w:spacing w:before="0" w:after="283"/>
              <w:jc w:val="left"/>
              <w:rPr/>
            </w:pPr>
            <w:r>
              <w:rPr/>
              <w:t>(a)(2)</w:t>
            </w:r>
          </w:p>
        </w:tc>
        <w:tc>
          <w:tcPr>
            <w:tcW w:w="1880" w:type="dxa"/>
            <w:tcBorders/>
            <w:vAlign w:val="center"/>
          </w:tcPr>
          <w:p>
            <w:pPr>
              <w:pStyle w:val="TableContents"/>
              <w:bidi w:val="0"/>
              <w:spacing w:before="0" w:after="283"/>
              <w:jc w:val="left"/>
              <w:rPr/>
            </w:pPr>
            <w:r>
              <w:rPr/>
              <w:t>Section 4.04</w:t>
            </w:r>
          </w:p>
        </w:tc>
      </w:tr>
      <w:tr>
        <w:trPr/>
        <w:tc>
          <w:tcPr>
            <w:tcW w:w="315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left"/>
              <w:rPr/>
            </w:pPr>
            <w:r>
              <w:rPr/>
              <w:t>Section 9.03</w:t>
            </w:r>
          </w:p>
        </w:tc>
      </w:tr>
      <w:tr>
        <w:trPr/>
        <w:tc>
          <w:tcPr>
            <w:tcW w:w="3155" w:type="dxa"/>
            <w:tcBorders/>
            <w:vAlign w:val="center"/>
          </w:tcPr>
          <w:p>
            <w:pPr>
              <w:pStyle w:val="TableContents"/>
              <w:bidi w:val="0"/>
              <w:spacing w:before="0" w:after="283"/>
              <w:jc w:val="left"/>
              <w:rPr/>
            </w:pPr>
            <w:r>
              <w:rPr/>
              <w:t>Section 318(a)</w:t>
            </w:r>
          </w:p>
        </w:tc>
        <w:tc>
          <w:tcPr>
            <w:tcW w:w="1880" w:type="dxa"/>
            <w:tcBorders/>
            <w:vAlign w:val="center"/>
          </w:tcPr>
          <w:p>
            <w:pPr>
              <w:pStyle w:val="TableContents"/>
              <w:bidi w:val="0"/>
              <w:spacing w:before="0" w:after="283"/>
              <w:jc w:val="left"/>
              <w:rPr/>
            </w:pPr>
            <w:r>
              <w:rPr/>
              <w:t>Section 1.07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1295"/>
        <w:gridCol w:w="5315"/>
        <w:gridCol w:w="455"/>
      </w:tblGrid>
      <w:tr>
        <w:trPr/>
        <w:tc>
          <w:tcPr>
            <w:tcW w:w="1295" w:type="dxa"/>
            <w:tcBorders/>
            <w:vAlign w:val="center"/>
          </w:tcPr>
          <w:p>
            <w:pPr>
              <w:pStyle w:val="TableContents"/>
              <w:bidi w:val="0"/>
              <w:spacing w:before="0" w:after="283"/>
              <w:jc w:val="center"/>
              <w:rPr/>
            </w:pPr>
            <w:r>
              <w:rPr/>
              <w:t> </w:t>
            </w:r>
          </w:p>
        </w:tc>
        <w:tc>
          <w:tcPr>
            <w:tcW w:w="5315" w:type="dxa"/>
            <w:tcBorders/>
            <w:vAlign w:val="center"/>
          </w:tcPr>
          <w:p>
            <w:pPr>
              <w:pStyle w:val="TableContents"/>
              <w:bidi w:val="0"/>
              <w:spacing w:before="0" w:after="283"/>
              <w:jc w:val="center"/>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Page</w:t>
            </w:r>
          </w:p>
        </w:tc>
      </w:tr>
      <w:tr>
        <w:trPr/>
        <w:tc>
          <w:tcPr>
            <w:tcW w:w="1295" w:type="dxa"/>
            <w:tcBorders/>
            <w:vAlign w:val="center"/>
          </w:tcPr>
          <w:p>
            <w:pPr>
              <w:pStyle w:val="TableContents"/>
              <w:bidi w:val="0"/>
              <w:spacing w:before="0" w:after="283"/>
              <w:jc w:val="center"/>
              <w:rPr/>
            </w:pPr>
            <w:r>
              <w:rPr/>
              <w:t> </w:t>
            </w:r>
          </w:p>
        </w:tc>
        <w:tc>
          <w:tcPr>
            <w:tcW w:w="5315" w:type="dxa"/>
            <w:tcBorders/>
            <w:vAlign w:val="center"/>
          </w:tcPr>
          <w:p>
            <w:pPr>
              <w:pStyle w:val="TableContents"/>
              <w:bidi w:val="0"/>
              <w:spacing w:before="0" w:after="283"/>
              <w:jc w:val="center"/>
              <w:rPr/>
            </w:pPr>
            <w:r>
              <w:rPr/>
              <w:t> </w:t>
            </w:r>
          </w:p>
        </w:tc>
        <w:tc>
          <w:tcPr>
            <w:tcW w:w="455" w:type="dxa"/>
            <w:tcBorders/>
            <w:vAlign w:val="center"/>
          </w:tcPr>
          <w:p>
            <w:pPr>
              <w:pStyle w:val="TableContents"/>
              <w:bidi w:val="0"/>
              <w:spacing w:before="0" w:after="283"/>
              <w:jc w:val="right"/>
              <w:rPr/>
            </w:pPr>
            <w:r>
              <w:rPr/>
              <w:t> </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DEFINITIONS AND OTHER PROVISIONS OF GENERAL APPLICATION</w:t>
            </w:r>
          </w:p>
        </w:tc>
      </w:tr>
      <w:tr>
        <w:trPr/>
        <w:tc>
          <w:tcPr>
            <w:tcW w:w="7065"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1.02.</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Certificates and Opinions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1.03.</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Documents Delivered to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1.04.</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Acts of 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1.05.</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Etc., to Trustee and Issuer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1.06.</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Holders; Waiver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1.07.</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with Trust Indenture Act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1.08.</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 and Table of Contents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1.09.</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 Clause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1.11.</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1.12.</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1.13.</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1.14.</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1.15.</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1.16.</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1.17.</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Trust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9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NOTES</w:t>
            </w:r>
          </w:p>
        </w:tc>
      </w:tr>
      <w:tr>
        <w:trPr/>
        <w:tc>
          <w:tcPr>
            <w:tcW w:w="7065"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2.01.</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2.02.</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2.03.</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2.04.</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Transfer and Exchange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2.05.</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Notes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2.06.</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Interest; Interest Rights Preserved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2.07.</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Deemed Owners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2.08.</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2.09.</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Computation of Interest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2.10.</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III</w:t>
            </w:r>
          </w:p>
        </w:tc>
      </w:tr>
      <w:tr>
        <w:trPr/>
        <w:tc>
          <w:tcPr>
            <w:tcW w:w="706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DISCHARGE OF INDENTURE</w:t>
            </w:r>
          </w:p>
        </w:tc>
      </w:tr>
      <w:tr>
        <w:trPr/>
        <w:tc>
          <w:tcPr>
            <w:tcW w:w="7065"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3.01.</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Indenture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3.02.</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Defeasance and Discharge of Covenants upon Deposit of Moneys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3.03.</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455" w:type="dxa"/>
            <w:tcBorders/>
            <w:vAlign w:val="center"/>
          </w:tcPr>
          <w:p>
            <w:pPr>
              <w:pStyle w:val="TableContents"/>
              <w:bidi w:val="0"/>
              <w:spacing w:before="0" w:after="283"/>
              <w:jc w:val="right"/>
              <w:rPr/>
            </w:pPr>
            <w:r>
              <w:rPr/>
              <w:t>30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3.04.</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Repay Moneys Held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3.05.</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of Unclaimed Amounts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3.06.</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70" w:type="dxa"/>
        <w:jc w:val="left"/>
        <w:tblInd w:w="0" w:type="dxa"/>
        <w:tblLayout w:type="fixed"/>
        <w:tblCellMar>
          <w:top w:w="0" w:type="dxa"/>
          <w:left w:w="0" w:type="dxa"/>
          <w:bottom w:w="0" w:type="dxa"/>
          <w:right w:w="0" w:type="dxa"/>
        </w:tblCellMar>
      </w:tblPr>
      <w:tblGrid>
        <w:gridCol w:w="1295"/>
        <w:gridCol w:w="5030"/>
        <w:gridCol w:w="245"/>
      </w:tblGrid>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IV</w:t>
            </w:r>
          </w:p>
        </w:tc>
      </w:tr>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REMEDIES</w:t>
            </w:r>
          </w:p>
        </w:tc>
      </w:tr>
      <w:tr>
        <w:trPr/>
        <w:tc>
          <w:tcPr>
            <w:tcW w:w="6570"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4.01.</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4.02.</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4.03.</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4.04.</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4.05.</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4.06.</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4.07.</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4.08.</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Right of Holders to Receive Payment of Principal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4.09.</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4.10.</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4.11.</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4.12.</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4.13.</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4.14.</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4.15.</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Stay or Extension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9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w:t>
            </w:r>
          </w:p>
        </w:tc>
      </w:tr>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TRUSTEE</w:t>
            </w:r>
          </w:p>
        </w:tc>
      </w:tr>
      <w:tr>
        <w:trPr/>
        <w:tc>
          <w:tcPr>
            <w:tcW w:w="6570"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5.01.</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5.02.</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5.03.</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5.04.</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Responsible for Recitals or Issuance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5.05.</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5.06.</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5.07.</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5.08.</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5.09.</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5.10.</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5.11.</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5.12.</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5.13.</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5.14.</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9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w:t>
            </w:r>
          </w:p>
        </w:tc>
      </w:tr>
      <w:tr>
        <w:trPr/>
        <w:tc>
          <w:tcPr>
            <w:tcW w:w="657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HOLDERS’ LISTS AND REPORTS BY TRUSTEE AND ISSUER</w:t>
            </w:r>
          </w:p>
        </w:tc>
      </w:tr>
      <w:tr>
        <w:trPr/>
        <w:tc>
          <w:tcPr>
            <w:tcW w:w="6570" w:type="dxa"/>
            <w:gridSpan w:val="3"/>
            <w:tcBorders/>
            <w:vAlign w:val="center"/>
          </w:tcPr>
          <w:p>
            <w:pPr>
              <w:pStyle w:val="TableContents"/>
              <w:bidi w:val="0"/>
              <w:spacing w:before="0" w:after="283"/>
              <w:jc w:val="center"/>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6.01.</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to Furnish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6.02.</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6.03.</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6.04.</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6.05.</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30" w:type="dxa"/>
        <w:jc w:val="left"/>
        <w:tblInd w:w="0" w:type="dxa"/>
        <w:tblLayout w:type="fixed"/>
        <w:tblCellMar>
          <w:top w:w="0" w:type="dxa"/>
          <w:left w:w="0" w:type="dxa"/>
          <w:bottom w:w="0" w:type="dxa"/>
          <w:right w:w="0" w:type="dxa"/>
        </w:tblCellMar>
      </w:tblPr>
      <w:tblGrid>
        <w:gridCol w:w="1400"/>
        <w:gridCol w:w="4685"/>
        <w:gridCol w:w="245"/>
      </w:tblGrid>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VII</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CONSOLIDATION, MERGER OR TRANSFER</w:t>
            </w:r>
          </w:p>
        </w:tc>
      </w:tr>
      <w:tr>
        <w:trPr/>
        <w:tc>
          <w:tcPr>
            <w:tcW w:w="6330" w:type="dxa"/>
            <w:gridSpan w:val="3"/>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Issuer May Merge or Transfer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0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VIII</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SUPPLEMENTAL INDENTURES</w:t>
            </w:r>
          </w:p>
        </w:tc>
      </w:tr>
      <w:tr>
        <w:trPr/>
        <w:tc>
          <w:tcPr>
            <w:tcW w:w="6330" w:type="dxa"/>
            <w:gridSpan w:val="3"/>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 to Be Given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IX</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COVENANTS</w:t>
            </w:r>
          </w:p>
        </w:tc>
      </w:tr>
      <w:tr>
        <w:trPr/>
        <w:tc>
          <w:tcPr>
            <w:tcW w:w="6330" w:type="dxa"/>
            <w:gridSpan w:val="3"/>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9.03.</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for Note Payments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9.04.</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9.05.</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9.06.</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9.07.</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Sale-Leaseback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0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X</w:t>
            </w:r>
          </w:p>
        </w:tc>
      </w:tr>
      <w:tr>
        <w:trPr/>
        <w:tc>
          <w:tcPr>
            <w:tcW w:w="63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REDEMPTION OF NOTES</w:t>
            </w:r>
          </w:p>
        </w:tc>
      </w:tr>
      <w:tr>
        <w:trPr/>
        <w:tc>
          <w:tcPr>
            <w:tcW w:w="6330" w:type="dxa"/>
            <w:gridSpan w:val="3"/>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10.01.</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 day of [●],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issuance from time to time of its debt securities in one or more series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Issuer,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Notes by the Holders (as hereinafter defined) thereof, the Issuer and the Trustee mutually covenant and agree for the equal and proportionate benefit of the respective Holders from time to time of the Notes or any series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this Indenture, and of any indenture supplemental hereto,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have the meanings assigned to them in this Article,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other terms used herein which are defined in the Trust Indenture Act (as hereinafter defined), either directly or by reference therein,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GAAP;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when used with respect to any Holder,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xml:space="preserve">” means any Person authorized by the Trustee to authenticate Notes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U.S. Code, as amended, or any similar state or federal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(i) the Board of Directors of the Issuer, (ii) any committee of such Board of Directors, (iii) any committee of officers of the Issuer or (iv) any officer of the Issuer, in the cases of clauses (ii)-(iv), authorized with respect to any matter to exercise the powers of the Board of Directors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Issuer to have been duly adopted by the Board of Directors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in New York City or the place of payment are authorized or required by law, regulation or executive order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Request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means, respectively, a written request or order, as the case may be, signed in the name of the Issuer by any Officer thereof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Tangible Assets</w:t>
      </w:r>
      <w:r>
        <w:rPr>
          <w:rFonts w:ascii="Times New Roman;Times;Serif" w:hAnsi="Times New Roman;Times;Serif"/>
          <w:b w:val="false"/>
          <w:i w:val="false"/>
          <w:caps w:val="false"/>
          <w:smallCaps w:val="false"/>
          <w:sz w:val="20"/>
        </w:rPr>
        <w:t>” means, as of the time of determination, (a) the total assets of the Issuer and its subsidiaries determined on a consolidated basis in accordance with GAAP minus (b) the sum of (i) current liabilities of the Issuer and its subsidiaries, except for current maturities of long-term Indebtedness and Capital Lease Obligations, and (ii) goodwill and other intangible assets of the Issuer and its subsidiaries, in each case determined on a consolidated basis in accordance with GAAP, all as reflected in the most recent consolidated balance sheet prepared by the Issuer in accordance with GAAP contained in an annual report on Form 10-K or a quarterly report on Form 10-Q (or comparable semiannual report) timely filed or any amendment thereto (and not subsequently disclaimed as not being reliable by the Issuer) prior to the time as of which “Consolidated Net Tangible Assets” is being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the Person appointed by the Issuer to act as custodian for the Depositary, which Person shall be the Trustee unless and until a successor Person is appointed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 means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means a certificated Note registered in the name of the Holder thereof and issued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means with respect to the Notes of any series issuable or issued in whole or in part in global form, (i) DTC or (ii) the Person otherwise designated as Depositary for such series by the Issuer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unless and until a successor Depositary for such series shall have become such pursuant to the applicable provisions of this Indenture, and thereafter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with respect to the Notes of a series shall mean or include each Person who is then a Depositary hereunder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or any successor thereto, in each case as amended from time to time,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in effect on the date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means each note in global form issued in accordance with this Indenture and bearing the Global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which is required to be placed on all Global Notes issued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 of Notes</w:t>
      </w:r>
      <w:r>
        <w:rPr>
          <w:rFonts w:ascii="Times New Roman;Times;Serif" w:hAnsi="Times New Roman;Times;Serif"/>
          <w:b w:val="false"/>
          <w:i w:val="false"/>
          <w:caps w:val="false"/>
          <w:smallCaps w:val="false"/>
          <w:sz w:val="20"/>
        </w:rPr>
        <w:t>” means a Person in whose name a Note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means issue, assume, guarantee or otherwise become liable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obligations (other than Non-recourse Obligations) of such Person for borrowed money (including, without limitation, indebtedness for borrowed money evidenced by notes, bonds, debentures 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this 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when used with respect to any Note, means the date specified in such Note on which an installment of interest on such Note is scheduled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any Note (or portion thereof) means the earlier of (a) the date of such Note or (b) the date of any Note (or portion thereof) for which such Note was issued (directly or indirectly) on registration of transfer, exchange or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Note, means the date on which all or a portion of the principal amount outstanding under such Note becomes due and payable, whether on the Maturity Date or by declaration of acceleration, call for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when used with respect to any Note or any installment of principal thereof, means the date specified in such Note as the fixed date on which the principal of such Note or such installment of principal becomes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Obligation</w:t>
      </w:r>
      <w:r>
        <w:rPr>
          <w:rFonts w:ascii="Times New Roman;Times;Serif" w:hAnsi="Times New Roman;Times;Serif"/>
          <w:b w:val="false"/>
          <w:i w:val="false"/>
          <w:caps w:val="false"/>
          <w:smallCaps w:val="false"/>
          <w:sz w:val="20"/>
        </w:rPr>
        <w:t>” means Indebtedness or other obligations substantially related to the financing of a project involving the development or expansion of properties of the Issuer or any direct or indirect subsidiaries of the Issuer, as to which the obligee with respect to such indebtedness or obligation has no recourse to the Issuer or any direct or indirect subsidiary of the Issuer or such subsidiary’s assets other than the assets which were acquired with the proceeds of such transaction or the project financed with the proceeds of such transaction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has the meaning specified in the Recitals of the Issuer on the first page of this Indenture, including any replacement Notes issued therefor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means Skyworks Solutions, Inc., a Delaware corporation, unless and until a successor entity or assign shall have assumed the obligations of the Issuer under this Indenture and the Notes and thereafter “Issuer” shall mean such successor entity or assign.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the Chairman of the Board, the Chief Executive Officer, the President, the Chief Operating Officer, the Chief Financial Officer, the Treasurer, any Assistant Treasurer, the Controller, the Secretary, the Assistant Secretary or any Vice-President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any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with respect to the Issuer or the Trustee, a written opinion of counsel to the Issuer or the Trustee, as the case may be, which counsel may be an employee of the Issuer or the Trustee who is reasonably satisfactory to the Trustee, as the case may be. Such opinion may include customary qualifications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the Notes or any series of Notes, means, as of the date of determination, all Notes or all Notes of such series, as the case may be,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Notes or such Notes of such series, as the case may be, theretofore cancelled by the Trustee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Notes or such Notes of such series, as the case may be, or portions thereof, for whose payment, redemption, discharge or defeasance (including Discharge or Defeasance pursuant to Section 3.01 or Section 3.02 of this Indenture) money in the necessary amount has been theretofore deposited in trust with the Trustee or with any Paying Agent other than the Issuer, or, if the Issuer shall act as its own Paying Agent, has been set aside and segregated in trust by the Issuer; provided. in any case, that if such Notes or such Notes of such series, as the case may be, are to be redeemed prior to their Maturity Date, notice of such redemption has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Notes or such Notes of such series, as the case may be, in exchange for or in lieu of which other Notes or other Notes of such series, as the case may be, have been authenticated and delivered pursuant to this Indenture, or which shall have been paid, in each case, pursuant to the terms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(except with respect to any such Note or any such Note of such series, as the case may be, as to which proof satisfactory to the Trustee is presented that such Note or such Note of such series, as the case may be, is held by a person in whose hands such Notes or such Notes of such series, as the case may be, is a legal, valid, and binding obligation of the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solely to the extent provided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Notes or Notes of such series, as the case may be, which are subject to Legal Defeasance or Covenant Defeasance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such Notes or Notes of such series, as the case may be, Outstanding have given a direction concerning the time, method and place of conducting any proceeding for any remedy available to the Trustee, or concerning the exercise of any trust or power conferred upon the Trustee under this Indenture, or concerning a consent on behalf of the Holders of the Notes or the Holders of the Notes of such series, as the case may be, to the waiver of any past default and its consequences, Notes or the Notes of such series, as the case may be, owned by the Issuer, any other obligor upon the Notes or Notes of such series, as the case may be, or any Affiliate of the Issuer or such other obligor shall be disregarded and deemed not to be Outstanding. In determining whether the Trustee shall be protected in relying upon any request, demand, authorization, direction, notice, consent, or waiver hereunder, only Notes or Notes of such series, as the case may be, which a Responsible Officer assigned to the corporate trust department of the Trustee knows to be owned by the Issuer or any other obligor upon the Notes or the Notes of such series, as the case may be, or any Affiliate of the Issuer or such other obligor shall be so disregarded. Notes or Notes of such series, as the case may be, so owned which have been pledged in good faith may be regarded as Outstanding if the pledgee establishes to the satisfaction of the Trustee the pledgee’s right to act as owner with respect to such Notes or Notes of such series, as the case may be, and that the pledgee is not the Issuer or any other obligor upon the Notes or the Notes of such series, as the case may be, or any Affiliate of the Issuer or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Person appointed by the Issuer to distribute amounts payable by the Issuer on the Notes. The Issuer may act as its own Paying Agent. As of the date of this Indenture, the Issuer has appointed the Trustee as Paying Agent with respect to all Notes issuable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xml:space="preserve">” means the place specified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Notes</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 lost, destroyed, mutilated, or stolen Note shall be deemed to evidence the same debt as the lost, destroyed, mutilated, or stolen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Note of any series will be determined for any purpose described herein, such determination to be made as of the close of business on such date by reference to the Security Register, and in relation to a determination of a payment of an installment of interest on the Notes of any series, shall have the meaning specified in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xml:space="preserve">” when used with respect to any Notes to be redeemed, means the date fixed for such redemption in any notice of redemption issued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xml:space="preserve">” when used with respect to any Notes to be redeemed, means the price specified in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means the Person who maintains the Security Register, which Person shall be the Trustee unless and until a successor Registrar is appointed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when used with respect to the Trustee, means any officer of the Trustee having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Agreement</w:t>
      </w:r>
      <w:r>
        <w:rPr>
          <w:rFonts w:ascii="Times New Roman;Times;Serif" w:hAnsi="Times New Roman;Times;Serif"/>
          <w:b w:val="false"/>
          <w:i w:val="false"/>
          <w:caps w:val="false"/>
          <w:smallCaps w:val="false"/>
          <w:sz w:val="20"/>
        </w:rPr>
        <w:t>” means the Revolving Credit Agreement, dated as of May 21, 2021, among the Issuer,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or any successor thereto, in each case as amended from time to time,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as amended, as in force as of the date hereof; provided that, with respect to every supplemental indenture executed pursuant to this Indenture,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shall mean the Trust Indenture Act of 1939,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in the first paragraph of this instrument until a successor Trustee shall have become such pursuant to the applicable provisions of this Indenture, and thereafter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used with respect to the Notes of any series shall mean the Trustee with respect to the Notes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(a) securities that are direct obligations of the United States of America, the payment of which is unconditionally guaranteed by the full faith and credit of the United States of America and (b) securities that are obligations of a Person controlled or supervised by and acting as an agency or instrumentality of the United States of America, the payment of which is unconditionally guaranteed by the full faith and credit of the United States of America, and also includes depository receipts issued by a bank or trust company as custodian with respect to any of the securities described in the preceding clauses (a) and (b), and any payment of interest or principal payable under any of the securities described in the preceding clauses (a) and (b) that is held by such custodian for the account of the holder of a depository receipt, provided that (except as required by law) such custodian is not authorized to make any deduction from the amount payable to the holder of such depository receipt, or from any amount received by the custodian in respect of such securities, or from any specific payment of interest or principal payable under the securities evidenced by such depository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            </w:t>
      </w:r>
      <w:r>
        <w:rPr>
          <w:rFonts w:ascii="Times New Roman;Times;Serif" w:hAnsi="Times New Roman;Times;Serif"/>
          <w:b w:val="false"/>
          <w:i w:val="false"/>
          <w:caps w:val="false"/>
          <w:smallCaps w:val="false"/>
          <w:sz w:val="20"/>
          <w:u w:val="single"/>
        </w:rPr>
        <w:t>Officer’s Certificates and Opinions</w:t>
      </w:r>
      <w:r>
        <w:rPr>
          <w:rFonts w:ascii="Times New Roman;Times;Serif" w:hAnsi="Times New Roman;Times;Serif"/>
          <w:b w:val="false"/>
          <w:i w:val="false"/>
          <w:caps w:val="false"/>
          <w:smallCaps w:val="false"/>
          <w:sz w:val="20"/>
        </w:rPr>
        <w:t>. Every Officer’s Certificate, Opinion of Counsel and other certificate or opinion to be delivered to the Trustee under this Indenture with respect to any action to be taken by the Trustee shall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each individual signing such certificate or opinion has read all covenants and conditions of this Indenture relating to such proposed action, including the definitions of all applicable capitalized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in the opinion of each such individual,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            </w:t>
      </w:r>
      <w:r>
        <w:rPr>
          <w:rFonts w:ascii="Times New Roman;Times;Serif" w:hAnsi="Times New Roman;Times;Serif"/>
          <w:b w:val="false"/>
          <w:i w:val="false"/>
          <w:caps w:val="false"/>
          <w:smallCaps w:val="false"/>
          <w:sz w:val="20"/>
          <w:u w:val="single"/>
        </w:rPr>
        <w:t>Form of Documents Delivered to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the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certificate or opinion of an officer of the Issuer may be based, insofar as it relates to legal matters, upon a certificate or opinion of, or representations by, legal counsel, unless such officer knows that any such certificate, opinion, or representation is erroneous. Any opinion of counsel for the Issuer may be based, insofar as it relates to factual matters, upon a certificate or opinion of, or representations by, an officer or officers of the Issuer, unless such counsel knows that any such certificate, opinion, or representation is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Where any Person is required to make, give, or execute two or more applications, requests, consents, certificates, statements, opinions, or other instruments under this Indenture, such instruments may, but need not, be consolidated and form a single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(if expressly required by the applicable terms of this Indenture)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conclusive in favor of the Trustee and the Issuer, if made in the manner provided in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ownership of Notes shall for all purposes be determined by reference to the Security Register, as such register shall exist as of the applicable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Issuer shall solicit from the Holders any request, demand, authorization, direction, notice, consent, waiver or other action, the Issuer may, at its option, by Board Resolution, fix in advance a Record Date for the determination of Holders entitled to give such request, demand, authorization, direction, notice, consent, waiver or other action, but the Issuer shall have no obligation to do so. If such Record Date is fixed, such request, demand, authorization, direction, notice, consent, waiver or other action may be given before or after such Record Date, but only the Holders of record at the close of business on such Record Date shall be deemed to be Holders for the purpose of determining whether Holders of the requisite proportion of Notes Outstanding have authorized or agreed or consented to such request, demand, authorization, direction, notice, consent, waiver or other action, and for that purpose the Notes Outstanding shall be computed as of such Record Date, provided that no such authorization, agreement or consent by the Holders on such Record Date shall be deemed effective unless it shall become effective pursuant to the provisions of this Indenture not later than six months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request, demand, authorization, direction, notice, consent, waiver or other action by the Holder of any Note shall bind each subsequent Holder of such Note, and each Holder of any Note issued upon the registration of transfer thereof or in exchange therefor or in lieu thereof, with respect to anything done or suffered to be done by the Trustee or the Issuer in reliance upon such action, whether or not notation of such action is made upon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            </w:t>
      </w:r>
      <w:r>
        <w:rPr>
          <w:rFonts w:ascii="Times New Roman;Times;Serif" w:hAnsi="Times New Roman;Times;Serif"/>
          <w:b w:val="false"/>
          <w:i w:val="false"/>
          <w:caps w:val="false"/>
          <w:smallCaps w:val="false"/>
          <w:sz w:val="20"/>
          <w:u w:val="single"/>
        </w:rPr>
        <w:t>Notices, Etc., to Trustee and Issuer</w:t>
      </w:r>
      <w:r>
        <w:rPr>
          <w:rFonts w:ascii="Times New Roman;Times;Serif" w:hAnsi="Times New Roman;Times;Serif"/>
          <w:b w:val="false"/>
          <w:i w:val="false"/>
          <w:caps w:val="false"/>
          <w:smallCaps w:val="false"/>
          <w:sz w:val="20"/>
        </w:rPr>
        <w:t>. Any request, order, authorization, direction, consent, waiver or other action to be taken by the Trustee, the Issuer or the Holders hereunder (including any Authentication Order), and any notice to be given to the Trustee or the Issuer with respect to any action taken or to be taken by the Trustee, the Issuer or the Holders hereunder, shall be sufficient if made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to be furnished or delivered to or filed with the Trustee by the Issuer or any Holder, delivered to the Trustee at its Corporate Trust Office, including without limitation, by means of electronic delivery, including, without limitation, email and electronic facsimile or other electronic delivery,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to be furnished or delivered to the Issuer by the Trustee or any Holder, and except as otherwise provided in </w:t>
      </w:r>
      <w:r>
        <w:rPr>
          <w:rFonts w:ascii="Times New Roman;Times;Serif" w:hAnsi="Times New Roman;Times;Serif"/>
          <w:b w:val="false"/>
          <w:i w:val="false"/>
          <w:caps w:val="false"/>
          <w:smallCaps w:val="false"/>
          <w:sz w:val="20"/>
          <w:u w:val="single"/>
        </w:rPr>
        <w:t>Section 4.01(3)</w:t>
      </w:r>
      <w:r>
        <w:rPr>
          <w:rFonts w:ascii="Times New Roman;Times;Serif" w:hAnsi="Times New Roman;Times;Serif"/>
          <w:b w:val="false"/>
          <w:i w:val="false"/>
          <w:caps w:val="false"/>
          <w:smallCaps w:val="false"/>
          <w:sz w:val="20"/>
        </w:rPr>
        <w:t>, mailed to the Issuer, first-class postage prepaid, at the following address: c/o Skyworks Solutions, Inc., 5260 California Avenue, Irvine, California 92617 Attention: Contracts and General Counsel, Facsimile No.: (949) 725-1772, Telephone No.: (949) 231-3000 or at any other address hereafter furnished in writing by the Issuer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            </w:t>
      </w:r>
      <w:r>
        <w:rPr>
          <w:rFonts w:ascii="Times New Roman;Times;Serif" w:hAnsi="Times New Roman;Times;Serif"/>
          <w:b w:val="false"/>
          <w:i w:val="false"/>
          <w:caps w:val="false"/>
          <w:smallCaps w:val="false"/>
          <w:sz w:val="20"/>
          <w:u w:val="single"/>
        </w:rPr>
        <w:t>Notice to Holders; Waiver</w:t>
      </w:r>
      <w:r>
        <w:rPr>
          <w:rFonts w:ascii="Times New Roman;Times;Serif" w:hAnsi="Times New Roman;Times;Serif"/>
          <w:b w:val="false"/>
          <w:i w:val="false"/>
          <w:caps w:val="false"/>
          <w:smallCaps w:val="false"/>
          <w:sz w:val="20"/>
        </w:rPr>
        <w:t>. Where this Indenture or any Note provides for notice to Holders of any event, such notice shall be sufficiently given (unless otherwise expressly provided herein or in such Note) if (1) in writing and mailed, first-class postage prepaid, to each Holder affected by such event, at his or her address as it appears in the Security Register as of the applicable Record Date, if any, or (2) given by electronic delivery, not later than the latest date or earlier than the earliest date prescribed by this Indenture or such Note for the giving of such notice; provided that if the Holder to which any such notice or communication is to be mailed, delivered, given or otherwise transmitted is a Depositary or its nominee, such notice or communication may instead be given by such other means as may be required or permitted by the procedures of the Depositary. In any case where notice to Holders is given, neither the failure to give such notice, nor any defect in any notice so given, to any particular Holder shall affect the sufficiency of such notice with respect to other Holders. Where this Indenture or any Note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If a notice or communication is sent in the manner provided in this Section 1.06 within the time prescribed,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any provision hereof limits, qualifies or conflicts with another provision hereof which is required to be included in this Indenture by any of the provisions of the TIA, such required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1.08.            </w:t>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herein and the Table of Contents hereof are for convenience only and shall not affect the construction of any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by the Issuer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1.11.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any Notes, express or implied, shall give to any Person, other than the parties hereto, their successors hereunder, the Authenticating Agent, the Registrar, any Paying Agent, and the Holders of Notes (or such of them as may be affected thereby),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when so executed shall be deemed to be an original, but all of which shall together constitute but one and the same instrument. This Indenture shall be valid, binding and enforceable against a party only when executed and delivered by an authorized individual on behalf of the party by means of (i) any electronic signature permitted by the federal Electronic Signatures in Global National Commerce Act, state enactments of the Uniform Electronic Transactions Act and/or any other relevant electronic signatures law, including relevant provisions of the Uniform Commercial Code (collectively, “</w:t>
      </w:r>
      <w:r>
        <w:rPr>
          <w:rFonts w:ascii="Times New Roman;Times;Serif" w:hAnsi="Times New Roman;Times;Serif"/>
          <w:b w:val="false"/>
          <w:i w:val="false"/>
          <w:caps w:val="false"/>
          <w:smallCaps w:val="false"/>
          <w:sz w:val="20"/>
          <w:u w:val="single"/>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 All notices, approvals, consents, requests and any communications hereunder must be in writing (provided that any such communication sent to the Trustee hereunder must be in the form of a document that is signed manually or by way of a digital signature provided by DocuSign or other electronic signature provider that the Issuer plans to use (or such other digital signature provider as specified in writing to the Trustee by the authorized representative),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1.14.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Interest Payment Date, Redemption Date, Maturity Date or other payment date shall not be a Business Day, then (notwithstanding any other provisions of this Indenture or of the Notes) payment of interest or principal (and premium, if any) need not be made on such date, but may be made on the next succeeding Business Day with the same force and effect as if made on the Interest Payment Date, Redemption Date, Maturity Date or other payment date. provided that no interest shall accrue for the period from and after such Interest Payment Date, Redemption Date, Maturity Date or other payment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1.16.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1.17.            </w:t>
      </w:r>
      <w:r>
        <w:rPr>
          <w:rFonts w:ascii="Times New Roman;Times;Serif" w:hAnsi="Times New Roman;Times;Serif"/>
          <w:b w:val="false"/>
          <w:i w:val="false"/>
          <w:caps w:val="false"/>
          <w:smallCaps w:val="false"/>
          <w:sz w:val="20"/>
          <w:u w:val="single"/>
        </w:rPr>
        <w:t>Acceptance of Trust</w:t>
      </w:r>
      <w:r>
        <w:rPr>
          <w:rFonts w:ascii="Times New Roman;Times;Serif" w:hAnsi="Times New Roman;Times;Serif"/>
          <w:b w:val="false"/>
          <w:i w:val="false"/>
          <w:caps w:val="false"/>
          <w:smallCaps w:val="false"/>
          <w:sz w:val="20"/>
        </w:rPr>
        <w:t>. U.S. Bank Trust Company, National Association, the initial Trustee named herein, accepts the trusts in this Indenture declared and provided, upon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of each series shall be substantially in such form (not inconsistent with this Indenture) as shall be established by or pursuant to a Board Resolution, Officer’s Certificate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stock exchange rule or DTC rule or usage or with any rules or regulations pursuant thereto, all as may, consistently herewith, be determined by the Officer executing such Notes, as evidenced by their execution of the Notes. Any portion of the text of any Note may be set forth on the reverse thereof, with an appropriate reference thereto on the face of the Note. Each Note shall be dated the date of its authentication. The Issuer shall furnish any such legends to the Trustee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Definitive Notes, if any, shall be printed, lithographed or engraved or produced by any combination of those methods on steel engraved borders or may be produced in any other manner permitted by any applicable rule of any securities exchange, all as determined by the Officers executing such Notes, as evidenced by their execution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terms and provisions contained in the Notes shall constitute, and are hereby expressly made, a part of this Indenture and the Issuer and the Trustee, by their execution and delivery of this Indenture expressly agree to such terms and provisions and to be bound thereby. Nothing in the preceding sentence shall, however, limit the effect of the second paragraph of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 However, to the extent any provision of any Note conflicts with the express provisions of this Indenture, the provisions of this Indenture shall govern and be controlling. All Notes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Note shall be entitled to any benefit under this Indenture or be valid or obligatory for any purpose unless there appears on such Note a certificate of authentication substantially in the form provided for herein executed by the Trustee by manual signature of an authorized officer, and such certificate upon any Note shall be conclusive evidence, and the only evidence, that such Note has been duly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aggregate principal amount of Notes which may be authenticated and delivered under this Indenture is unlimited. The Notes may be issued in one or more series. There shall be established in or pursuant to (x) a Board Resolution, (y) an Officer’s Certificate or (z) one or more indentures supplemental hereto, prior to the issuance of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Notes of the series (which shall distinguish the Notes of the series from all other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 upon the aggregate principal amount of the Notes of the series that may be authenticated and delivered under this Indenture (except for Notes authenticated and delivered upon registration of transfer of, or in exchange for, or in lieu of, other Notes of the series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8.07</w:t>
      </w:r>
      <w:r>
        <w:rPr>
          <w:rFonts w:ascii="Times New Roman;Times;Serif" w:hAnsi="Times New Roman;Times;Serif"/>
          <w:b w:val="false"/>
          <w:i w:val="false"/>
          <w:caps w:val="false"/>
          <w:smallCaps w:val="false"/>
          <w:sz w:val="20"/>
        </w:rPr>
        <w:t xml:space="preserve"> or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Notes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Notes of the series shall bear interest, if any, or the method by which such rate shall be determined, the date or dates from which such interest shall accrue, the Interest Payment Dates on which such interest shall be payable and the Record Dates, if any, for the determination of Holders to whom interest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premium and interest on the Notes of the series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optional redemption, mandatory redemption, sinking fund and any change of control put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other than the principal amount thereof, the portion of the principal amount of Notes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designation of the currency, currencies or currency units in which payment of the principal of, premium and interest, if any, on the Notes of the series will be made if other than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provisions, if any, relating to any security provided for the Notes of the series, and any subordination in right of payment, if any, of the Notes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issue price (expressed as a percentage of the aggregate principal amount of the Notes) at which the Notes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Notes of the series are issuable in whole or in part in the form of Definitive Notes or as one or more Global Notes, and if so, the identity of the Depositary for such Global Notes if other than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terms of the series (which may supplement, modify or delete any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Notes of such series will be convertible into or exchangeable for shares of common stock, preferred stock or other securities of the Issuer or any other Person, the terms and conditions upon which such Notes will be so convertible or exchangeable;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additions to, deletions of or changes in the Events of Default which apply to the Notes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additions to, deletions of or changes in any covenants of the Issuer with respect to the Notes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2.01(1)(v)(b)</w:t>
      </w:r>
      <w:r>
        <w:rPr>
          <w:rFonts w:ascii="Times New Roman;Times;Serif" w:hAnsi="Times New Roman;Times;Serif"/>
          <w:b w:val="false"/>
          <w:i w:val="false"/>
          <w:caps w:val="false"/>
          <w:smallCaps w:val="false"/>
          <w:sz w:val="20"/>
        </w:rPr>
        <w:t> and unless otherwise expressly provided with respect to a series of Notes, the aggregate principal amount of a series of Notes may be increased and additional Notes of such series may be issued up to the maximum aggregate principal amount authorized with respect to such series as increased; provided that, any such additional Notes shall have identical terms as the outstanding Notes of such series, other than with respect to the date of issuance, issue price, first Interest Payment Date, interest accrual date and amount of interest payable on the first Interest Payment Date applicable thereto; provided further, that any such additional Notes shall be treated as a single class with the outstanding Notes of such series for all purposes under this Indenture, subject to any applicable United States Federal income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Issuer shall establish pursuant to </w:t>
      </w:r>
      <w:r>
        <w:rPr>
          <w:rFonts w:ascii="Times New Roman;Times;Serif" w:hAnsi="Times New Roman;Times;Serif"/>
          <w:b w:val="false"/>
          <w:i w:val="false"/>
          <w:caps w:val="false"/>
          <w:smallCaps w:val="false"/>
          <w:sz w:val="20"/>
          <w:u w:val="single"/>
        </w:rPr>
        <w:t>Section 2.01(1)</w:t>
      </w:r>
      <w:r>
        <w:rPr>
          <w:rFonts w:ascii="Times New Roman;Times;Serif" w:hAnsi="Times New Roman;Times;Serif"/>
          <w:b w:val="false"/>
          <w:i w:val="false"/>
          <w:caps w:val="false"/>
          <w:smallCaps w:val="false"/>
          <w:sz w:val="20"/>
        </w:rPr>
        <w:t xml:space="preserve"> above that the Notes of a series or a portion thereof are to be issued in the form of one or more Global Notes, then the Issuer shall execute and the Trustee shall authenticate and make available for delivery one or more Global Notes that (a) shall represent and shall be denominated in an amount equal to the aggregate principal amount of all of the Notes of such series issued in such form and not yet cancelled, (b) shall be registered, in the name of the Depositary designated for such Global Note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or in the name of a nominee of such Depositary, (c) shall be deposited with the Trustee, as Custodian for the Depositary, and (d) shall bear a legend substantially as follows (“</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Depositary designated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for a Global Note must, at the time of its designation and at all times while it serves as Depositary, be a clearing agency registered under the Exchange Act and any other applicable statute or regulation, provided that the Depositary is required to be so registered in order to act as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Global Note may be represented by more than one certificate. The aggregate principal amount of each Global Note may from time to time be increased or decreased by adjustments made on the records of the Registrar,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Trustee’s Certificate of Authentication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shall be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1148"/>
        <w:gridCol w:w="6386"/>
      </w:tblGrid>
      <w:tr>
        <w:trPr/>
        <w:tc>
          <w:tcPr>
            <w:tcW w:w="75" w:type="dxa"/>
            <w:tcBorders/>
            <w:vAlign w:val="center"/>
          </w:tcPr>
          <w:p>
            <w:pPr>
              <w:pStyle w:val="TableContents"/>
              <w:bidi w:val="0"/>
              <w:spacing w:before="0" w:after="283"/>
              <w:jc w:val="left"/>
              <w:rPr>
                <w:sz w:val="4"/>
                <w:szCs w:val="4"/>
              </w:rPr>
            </w:pPr>
            <w:r>
              <w:rPr>
                <w:sz w:val="4"/>
                <w:szCs w:val="4"/>
              </w:rPr>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63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By:</w:t>
            </w:r>
          </w:p>
        </w:tc>
        <w:tc>
          <w:tcPr>
            <w:tcW w:w="638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6386" w:type="dxa"/>
            <w:tcBorders/>
            <w:vAlign w:val="center"/>
          </w:tcPr>
          <w:p>
            <w:pPr>
              <w:pStyle w:val="TableContents"/>
              <w:bidi w:val="0"/>
              <w:spacing w:before="0" w:after="283"/>
              <w:jc w:val="both"/>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any time and from time to time after the execution and delivery of this Indenture, the Issuer may deliver Notes of any series executed on behalf of the Issuer by any Officer to the Trustee for authentication, and the Trustee, upon receipt of a written order of the Issuer specifying the principal amount and registered Holder of each Note and whether such Note shall be a Definitive Note or a Global Note, and signed by an Officer (the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shall thereupon in accordance with the procedures acceptable to the Trustee set forth in the Authentication Order, and subject to the provisions hereof, authenticate and deliver such Notes to or upon the written order of the Issuer, without any further action by the Issuer except as set forth in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signature of any Officer on the Notes may be manual, facsimile or by other electronic means. Typographical and other minor errors or defects in any such signature shall not affect the validity or enforceability of any Note that has been duly authenticated and delivered by the Trustee. In authenticating such Notes and accepting the additional responsibilities under this Indenture in relation to such Notes, the Trustee shall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shall be fully protected in relying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Board Resolution relating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executed supplemental indenture, if any, and the documentation required to be delivered pursuant to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Officer’s Certificate setting forth the form or forms and terms of the Notes of such series pursuant to </w:t>
      </w:r>
      <w:r>
        <w:rPr>
          <w:rFonts w:ascii="Times New Roman;Times;Serif" w:hAnsi="Times New Roman;Times;Serif"/>
          <w:b w:val="false"/>
          <w:i w:val="false"/>
          <w:caps w:val="false"/>
          <w:smallCaps w:val="false"/>
          <w:sz w:val="20"/>
          <w:u w:val="single"/>
        </w:rPr>
        <w:t>Section 2.01(1)(v)</w:t>
      </w:r>
      <w:r>
        <w:rPr>
          <w:rFonts w:ascii="Times New Roman;Times;Serif" w:hAnsi="Times New Roman;Times;Serif"/>
          <w:b w:val="false"/>
          <w:i w:val="false"/>
          <w:caps w:val="false"/>
          <w:smallCaps w:val="false"/>
          <w:sz w:val="20"/>
        </w:rPr>
        <w:t xml:space="preserve">, and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 Opinion of Counsel,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Notes bearing the manual or electronic signatures of individuals who were at any time on or after the date hereof the proper officers of the Issuer shall bind the Issuer, notwithstanding that such individuals or any of them have ceased to hold such offices prior to the authentication and delivery of such Notes or did not hold such offices at the date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Notes shall be in fully registered form, without coupons, in minimum denominations of $2,000 and integral multiples of $1,000 in excess thereof, unless otherwise specified in the Board Resolution, Officer’s Certificate or supplemental indenture relating to a particular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certificates representing Notes of a series are ready for delivery, the Issuer may prepare and the Trustee, upon receipt of an Authentication Order, shall authenticate and deliver temporary Notes of such series.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a series in exchange for temporary Notes of such series. 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            </w:t>
      </w:r>
      <w:r>
        <w:rPr>
          <w:rFonts w:ascii="Times New Roman;Times;Serif" w:hAnsi="Times New Roman;Times;Serif"/>
          <w:b w:val="false"/>
          <w:i w:val="false"/>
          <w:caps w:val="false"/>
          <w:smallCaps w:val="false"/>
          <w:sz w:val="20"/>
          <w:u w:val="single"/>
        </w:rPr>
        <w:t>Registration,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Securities Register</w:t>
      </w:r>
      <w:r>
        <w:rPr>
          <w:rFonts w:ascii="Times New Roman;Times;Serif" w:hAnsi="Times New Roman;Times;Serif"/>
          <w:b w:val="false"/>
          <w:i w:val="false"/>
          <w:caps w:val="false"/>
          <w:smallCaps w:val="false"/>
          <w:sz w:val="20"/>
        </w:rPr>
        <w:t>. The Trustee shall keep a register of the Notes (the “</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which shall provide for the registration of such Notes, and for transfers of such Notes in accordance with information, if any, to be provided to the Trustee by the Issuer, subject to such reasonable regulations as the Trustee may prescribe. Such register shall be in written form or in any other form capable of being converted into written form within a reasonable time. At all reasonable times the information contained in such register or registers shall be available for inspection at the Corporate Trust Office of the Trustee or at such other office or agency to be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due presentation for registration of transfer of any Note at the Corporate Trust Office of the Trustee or at any other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Issuer shall execute, and the Trustee shall authenticate and deliver, in the name of the designated transferee or transferees, one or more new Notes of authorized denominations, of a like aggregate principal amount, series and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 of Global Notes</w:t>
      </w:r>
      <w:r>
        <w:rPr>
          <w:rFonts w:ascii="Times New Roman;Times;Serif" w:hAnsi="Times New Roman;Times;Serif"/>
          <w:b w:val="false"/>
          <w:i w:val="false"/>
          <w:caps w:val="false"/>
          <w:smallCaps w:val="false"/>
          <w:sz w:val="20"/>
        </w:rPr>
        <w:t xml:space="preserve">. Any other provision of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notwithstanding, unless and until it is exchanged in whole or in part for Definitive Notes, a Global Note representing all or a portion of the Notes of a series may not be transferred except as a whole by the Depositary to a nominee of such Depositary, or by a nominee of such Depositary to such Depositary or another nominee of such Depositary, or by such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act as Depositary with respect to the Global Notes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Global Note shall bear the legend specified in clause (i) of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on the face thereof, and any additional legend or legends as may be specified in a Board Resolution, Officer’s Certificate or supplemental indenture relating to a particular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provisions of this Indenture or the Notes, a Global Note may be exchanged for Notes of the same series registered in the names of any Person designated by the Depositary in the event that (a) the Depositary has notified the Issuer that it is unwilling or unable to continue as Depositary for such Global Note or such Depositary has ceased to be a “clearing agency” registered under the Exchange Act, at a time when the Depositary is required to be so registered in order to act as depositary, and the Issuer has not appointed a successor Depositary within 90 days of receiving such notice or of becoming aware of such cessation, (b) an Event of Default has occurred and is continuing with respect to the applicable Notes, or (c) the Issuer, in its sole discretion, determines that the applicable Notes issued in the form of Global Notes shall no longer be represented by such Global Notes as evidenced by a Company Order delivered to the Trustee. Any Global Note exchanged pursuant to clause (a) or (c) above shall be so exchanged in whole and not in part and any Global Note exchanged pursuant to clause (b) above may be exchanged in whole or from time to time in part as directed by the Depositary. Any Note issued in exchange for a Global Note of the same series or any portion thereof shall be a Global Note provided that any such Note so issued that is registered in the name of a Person other than the Depositary or a nominee thereof shall not be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at any time the Depositary for the Notes of any series notifies the Issuer that it is unwilling or unable to continue as Depositary for such Notes or if the Depositary has ceased to be a “clearing agency” registered under the Exchange Act at a time when the Depositary is required to be so registered in order to act as depositary, the Issuer may within 90 days of receiving such notice or of becoming aware of such cessation appoint a successor Depositary with respect to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in accordance with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Notes of any series in global form will no longer be represented by Global Notes, the Issuer will execute, and the Trustee, upon receipt of an Authentication Order, will authenticate and make available for delivery, Definitive Notes of such series in an aggregate principal amount equal to the principal amount of the Global Notes of such series, in exchange for such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Definitive Note is issued in exchange for any portion of a Global Note after the close of business at the office or agency where such exchange occurs on any Record Date for the payment of interest and before the opening of business at such office or agency on the next succeeding Interest Payment Date, interest shall not be payable on such Interest Payment Date in respect of such Definitive Notes, but shall be payable on such Interest Payment Date only to the Person to whom interest in respect of such portion of such Global Note is payable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Definitive Notes issued in exchange for a Global Note pursuant to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shall be registered in such names and in such authorized denominations as the Depositary, pursuant to instructions from its direct or indirect participants or otherwise, shall instruct the Trustee. Upon execution and authentication, the Trustee shall deliver such Definitive Notes to the Persons in whose names such Notes are so registered. To permit registrations of transfers and exchanges, the Issuer shall execute and the Trustee (or an Authenticating Agent appointed pursuant to this Indenture) shall authenticate and make available for delivery Definitive Notes at the Registrar’s request, and upon direction of the Issuer. No service charge shall be made for any registration of transfer or exchange, but the Issuer or the Trustee may require payment of a sum sufficient to cover any transfer tax or other governmental charge payable in connection with any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When Definitive Notes are presented to the Trustee with a request to register the transfer of such Definitive Notes or to exchange such Definitive Notes for an equal principal amount of Definitive Notes of other authorized denominations of the same series, the Trustee shall register the transfer or make the exchange as requested if its requirements for such transaction are met provided, however, that the Definitive Notes surrendered for transfer or exchange shall be duly endorsed or accompanied by a written instrument of transfer in form reasonably satisfactory to the Issuer and the Trustee, duly executed by the Holder thereof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such time as all interests in Global Notes of any series have either been exchanged for Definitive Notes of such series or cancelled, such Global Notes shall be cancelled by the Trustee in accordance with the standing procedures and instructions existing between the Depositary and the Custodian. At any time prior to such cancellation, if any interest in a Global Note of any series is exchanged for Definitive Notes of such series or cancelled, the principal amount of such Global Note shall, in accordance with the standing procedures and instructions existing between the Depositary and the Custodian, be reduced and an endorsement shall be made on such Global Note, by the Trustee or the Custodian, at the direction of the Trustee, to reflect such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anything in this Indenture to the contrary, (i) all Notes issued upon any registration of transfer or exchange of Notes shall be the valid obligations of the Issuer, evidencing the same debt, and entitled to the same benefits under this Indenture, as the Notes surrendered upon such registration of transfer or exchange, (ii) all transfers and exchanges of the Notes may be made only in accordance with the procedures set forth in this Indenture, and (iii) the transfer and exchange of a beneficial interest in a Global Note may only be effected through the Depositary in accordance with the procedures promulgated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not be required to (i) issue, register the transfer of, or exchange any Note during a period beginning at the opening of business 15 days before the day of the mailing of a notice of redemption of Notes under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and ending at the close of business on the date of such mailing or (ii) register the transfer of or exchange any Note so selected for redemption in whole or in part, except, in the case of any Note to be redeemed in part, the portion thereof not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            </w:t>
      </w:r>
      <w:r>
        <w:rPr>
          <w:rFonts w:ascii="Times New Roman;Times;Serif" w:hAnsi="Times New Roman;Times;Serif"/>
          <w:b w:val="false"/>
          <w:i w:val="false"/>
          <w:caps w:val="false"/>
          <w:smallCaps w:val="false"/>
          <w:sz w:val="20"/>
          <w:u w:val="single"/>
        </w:rPr>
        <w:t>Mutilated, Destroyed, Lost and Stolen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(i) any mutilated Note is surrendered to the Trustee, or the Issuer and the Trustee receive evidence to their satisfaction of the destruction, loss or theft of any Note and (ii) there is delivered to the Issuer and the Trustee such security or indemnity as may be required by them to save each of them harmless from any loss, liability or expense that they may suffer if such Note is replaced and subsequently presented or otherwise claimed for payment, then, in the absence of notice to the Issuer or the Trustee that such Note has been acquired by a protected purchaser, the Issuer may in its discretion execute and, upon request of the Issuer, the Trustee shall authenticate and deliver, in exchange for or in lieu of any such mutilated, destroyed, lost or stolen Note, a new Note of like tenor, series, Maturity Date, and principal amount,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case any such mutilated, destroyed, lost or stolen Note has become or is about to become due and payable, the Issuer in its discretion may, instead of issuing a new Note, pay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Upon the issuance of any new Note under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the Issuer may require the payment by the Holder thereof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Every new Note issued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any mutilated, destroyed, lost or stolen Note shall constitute an original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mutilated, destroyed, lost or stolen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            </w:t>
      </w:r>
      <w:r>
        <w:rPr>
          <w:rFonts w:ascii="Times New Roman;Times;Serif" w:hAnsi="Times New Roman;Times;Serif"/>
          <w:b w:val="false"/>
          <w:i w:val="false"/>
          <w:caps w:val="false"/>
          <w:smallCaps w:val="false"/>
          <w:sz w:val="20"/>
          <w:u w:val="single"/>
        </w:rPr>
        <w:t>Payment of Interest;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on any Note which is payable and is punctually paid or duly provided for on any Interest Payment Date shall, if so provided in such Note, be paid to the Person in whose name that Note (or one or more Predecessor Notes) is registered at the close of business on the applicable Record Date, notwithstanding any transfer or exchange of such Note subsequent to such Record Date and prior to such Interest Payment Date (unless, if so provided in such Note, such Interest Payment Date is also the Maturity Date, in which case such interest shall be payable to the Person to whom principal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interest on any Note which is payable, but is not punctually paid or duly provided for, on any Interest Payment Date (herein called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shall forthwith cease to be payable to the registered Holder on the applicable Record Date by virtue of his having been such Holder; and, except as hereinafter provided, such Defaulted Interest may be paid by the Issuer,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may elect to make payment of any Defaulted Interest to the Persons in whose names any such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such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Issuer shall fix a Special Record Date for the payment of such Defaulted Interest which shall be not more than 15 nor less than 10 days prior to the date of the proposed payment and not less than 10 days after the receipt by the Trustee of the notice of the proposed payment. The Issuer shall promptly notify the Trustee and, upon request (given at least three (3) Business Days before such notice is to be sent (or such shorter period as shall be acceptable to the Trustee)), the Trustee shall, in the name and at the expense of the Issuer, shall cause notice of the proposed payment of such Defaulted Interest and the Special Record Date therefor to be mailed, first-class postage prepaid, to the Holder of each such Note at his address as it appears in the Security Register (or given by electronic delivery or pursuant to the applicable procedures of the Depositary), not less than 10 days prior to such Special Record Date. Notice of the proposed payment of such Defaulted Interest and the Special Record Date therefor having been mailed or given as aforesaid, such Defaulted Interest shall be paid to the Persons in whose names such Notes (or their respective Predecessor Notes) are registered on such Special Record Date and shall no longer be payable pursuant to the following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may make payment of any Defaulted Interest in any other lawful manner if, after notice given by the Issuer to the Trustee of the proposed payment pursuant to this clause (ii),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installment of interest on any Note called for redemption pursuant to any optional redemption provision under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xml:space="preserve"> is due and payable on or prior to the Redemption Date and is not paid or duly provided for on or prior to the Redemption Date in accordance with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such interest shall be payable as part of the Redemption Price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Interest on Notes may be paid at the office or agency maintained by the Issuer in the United States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at the Issuer’s option, through DTC, Clearstream Banking, société anonyme, or Euroclear System to the Person entitled thereto or by such other means as may be specified in the form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Subject to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Prior to due presentment of a Note for registration of transfer, the Issuer, the Trustee, and any agent of the Issuer or the Trustee may treat the Person in whose name any Note is registered on the Security Register as the owner of such Note for the purpose of receiving payment of principal, premium, if any, and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interest, and for all other purposes whatsoever, whether or not such Note is overdue and neither the Issuer, the Trustee, nor any agent of the Issuer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None of the Issuer, the Trustee, any Authenticating Agent, any Paying Agent, the Registrar or any Co-Registrar will have any responsibility or liability for any aspect of the records relating to or payments made on account of beneficial ownership interests of a Global Note or for maintaining, supervising or reviewing any records relating to such beneficial ownership interests and each of them may act or refrain from acting without liability on any information relating to such records provided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All Notes surrendered for payment, redemption, registration of transfer or exchange shall, if surrendered to any Person other than the Trustee, be delivered to the Trustee and, if not already cancelled, shall be promptly cancelled by it. The Issuer may at any time deliver to the Trustee for cancellation any Notes previously authenticated and delivered hereunder which the Issuer may have acquired in any manner whatsoever, and all Notes so delivered shall be promptly cancelled by the Trustee. Acquisition of such Notes by the Issuer shall not operate as a redemption or satisfaction of the indebtedness represented by such Notes unless and until the same are delivered to the Trustee for cancellation. No Note shall be authenticated in lieu of or in exchange for any Notes cancelled as provided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except as expressly permitted by this Indenture. The Trustee shall dispose of all cancelled Notes in accordance with its customary procedures and, upon written request, deliver a certificate of such disposition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Interest on the Notes shall be calculated on the basis of a 360-day year of twelve 30-day months, unless otherwise specified in the Officer’s Certificate or supplemental indenture relating to a particular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The Issuer in issuing the Notes may use “CUSIP” and “ISIN” numbers (if then generally in use), and, if so, the Trustee shall use the CUSIP or ISIN numbers, as the case may be, in notices of redemption as a convenience to Holders. provided that any such notice may state that no representation is made as to the correctness or accuracy of the CUSIP or ISIN number, as the case may be, either as printed on the Notes or as contained in any notice of a redemption and that reliance may be placed only on the other identification numbers printed on the Notes. The Issuer will promptly notify the Trustee in writing of any change in the CUSIP or ISIN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            </w:t>
      </w:r>
      <w:r>
        <w:rPr>
          <w:rFonts w:ascii="Times New Roman;Times;Serif" w:hAnsi="Times New Roman;Times;Serif"/>
          <w:b w:val="false"/>
          <w:i w:val="false"/>
          <w:caps w:val="false"/>
          <w:smallCaps w:val="false"/>
          <w:sz w:val="20"/>
          <w:u w:val="single"/>
        </w:rPr>
        <w:t>Discharge of Indenture</w:t>
      </w:r>
      <w:r>
        <w:rPr>
          <w:rFonts w:ascii="Times New Roman;Times;Serif" w:hAnsi="Times New Roman;Times;Serif"/>
          <w:b w:val="false"/>
          <w:i w:val="false"/>
          <w:caps w:val="false"/>
          <w:smallCaps w:val="false"/>
          <w:sz w:val="20"/>
        </w:rPr>
        <w:t>. This Indenture will be Discharged with respect to the Notes of one or more series and will cease to be of further effect as to all such Notes (except as to any surviving rights of transfer or exchange of such Notes expressly provided for herein), and the Trustee, on demand of and at the expense of the Issuer, shall execute such instruments reasonably requested by the Issuer acknowledging the Discharge of this Indenture with respect to the Notes of such series,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Notes of such series theretofore authenticated and delivered (except (a) mutilated, lost, stolen or destroyed Notes which have been replaced or paid,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(b) Notes of such series for whose payment money has theretofore been deposited in trust or segregated and held in trust by the Issuer and thereafter repaid to the Issuer or discharged from such trust, as provided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have been delivered by the Issuer to the Trustee for cancellation or have been cancelled;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Notes of such series not theretofore delivered to the Trustee cancelled or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(whether by the sending of a notice of redemption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in accordance with their Maturity Date, become due and payable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to be called for redemption within one year under arrangements reasonably satisfactory to the Trustee for the giving of notice of redemption by the Trustee in the name, and at the expense, of the Issuer, and, in any of the cases described in (a) or (b) above or in this clause (c), the Issuer has irrevocably deposited or caused to be deposited with the Trustee, as trust funds in trust for the benefit of the Holders of such Notes of such series for that purpose, U.S. dollars or non-callable U.S. Government Obligations or a combination thereof in such amounts sufficient to pay and discharge the entire indebtedness on the Notes of such series not theretofore delivered to the Trustee cancelled or for cancellation, for principal of and interest and premium, if any, on the Notes of such series to the date of such deposit (in the case of Notes of such series that have become due and payable), or to the Maturity Date or the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by it with respect to the Notes of such series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for </w:t>
      </w:r>
      <w:r>
        <w:rPr>
          <w:rFonts w:ascii="Times New Roman;Times;Serif" w:hAnsi="Times New Roman;Times;Serif"/>
          <w:b w:val="false"/>
          <w:i w:val="false"/>
          <w:caps w:val="false"/>
          <w:smallCaps w:val="false"/>
          <w:sz w:val="20"/>
          <w:u w:val="single"/>
        </w:rPr>
        <w:t>Section 3.01(1)(i)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3.01(1)(ii)</w:t>
      </w:r>
      <w:r>
        <w:rPr>
          <w:rFonts w:ascii="Times New Roman;Times;Serif" w:hAnsi="Times New Roman;Times;Serif"/>
          <w:b w:val="false"/>
          <w:i w:val="false"/>
          <w:caps w:val="false"/>
          <w:smallCaps w:val="false"/>
          <w:sz w:val="20"/>
        </w:rPr>
        <w:t> in which the Notes of a series have become due and payable at their Maturity Date, the Issuer has delivered to the Trustee an Officer’s Certificate and an Opinion of Counsel each stating that all conditions precedent to the Discharge of this Indenture with respect to the Notes of such series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Discharge of this Indenture with respect to the Notes of such series, the obligations of the Issuer under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and the obligations of the Issuer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and to any Authenticating Agent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shall survive, and the obligations of the Trustee under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            </w:t>
      </w:r>
      <w:r>
        <w:rPr>
          <w:rFonts w:ascii="Times New Roman;Times;Serif" w:hAnsi="Times New Roman;Times;Serif"/>
          <w:b w:val="false"/>
          <w:i w:val="false"/>
          <w:caps w:val="false"/>
          <w:smallCaps w:val="false"/>
          <w:sz w:val="20"/>
          <w:u w:val="single"/>
        </w:rPr>
        <w:t>Defeasance and Discharge of Covenants upon Deposit of Moneys</w:t>
      </w:r>
      <w:r>
        <w:rPr>
          <w:rFonts w:ascii="Times New Roman;Times;Serif" w:hAnsi="Times New Roman;Times;Serif"/>
          <w:b w:val="false"/>
          <w:i w:val="false"/>
          <w:caps w:val="false"/>
          <w:smallCaps w:val="false"/>
          <w:sz w:val="20"/>
        </w:rPr>
        <w:t>. At the Issuer’s option, either (a) the Issuer shall be deemed to have been Discharged (as defined below) from its obligations with respect to the Notes of any series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and/or (b) the Issuer shall cease to be under any obligation to comply with any term, provision or condition set forth in </w:t>
      </w:r>
      <w:r>
        <w:rPr>
          <w:rFonts w:ascii="Times New Roman;Times;Serif" w:hAnsi="Times New Roman;Times;Serif"/>
          <w:b w:val="false"/>
          <w:i w:val="false"/>
          <w:caps w:val="false"/>
          <w:smallCaps w:val="false"/>
          <w:sz w:val="20"/>
          <w:u w:val="single"/>
        </w:rPr>
        <w:t>Sections 4.01(3)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9.07</w:t>
      </w:r>
      <w:r>
        <w:rPr>
          <w:rFonts w:ascii="Times New Roman;Times;Serif" w:hAnsi="Times New Roman;Times;Serif"/>
          <w:b w:val="false"/>
          <w:i w:val="false"/>
          <w:caps w:val="false"/>
          <w:smallCaps w:val="false"/>
          <w:sz w:val="20"/>
        </w:rPr>
        <w:t xml:space="preserve"> (and any other Sections, covenants or Events of Default applicable to such Notes that are determined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to be subject to this provision) with respect to the Notes of such series at any time after the applicable conditions set forth below have been satisfied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have deposited or caused to be deposited irrevocably with the Trustee, as trust funds, in trust, specifically pledged as security for, and dedicated solely to, the benefit of the Holders of the Notes of such series, an amount of money, in cash in U.S. dollars sufficient, or in non-callable U.S. Government Obligations, the principal of and interest on which, when due, will be sufficient, or a combination thereof, sufficient, in the opinion of, or based on a written report or certificate of, a nationally recognized firm of independent public accountants, investment bank or appraisal firm, to pay and discharge the entire indebtedness on the Notes of such series with respect to principal, premium, if any, and accrued and unpaid interest to the date of such deposit (in the case of Notes of any series that have become due and payable), or to the Maturity Date or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Event of Default, or event which with notice or lapse of time would become an Event of Default, with respect to the Notes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Issuer shall have delivered to the Trustee an Officer’s Certificate and an Opinion of Counsel each stating that all conditions precedent to the Legal Defeasance or Covenant Defeasance, as applicable,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Opinion of Counsel relating to a Legal Defeasance, stating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received from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hereof there has been a change in the applicable Federal income tax law, to the effect, in either case, that and based thereon such Opinion of Counsel shall confirm that the holders of the Notes will not recognize income, gain or loss for Federal income tax purposes as a result of such defeasance and will be subject to Federal income tax on the same amounts, in the same manner and at the same time as would have been the case if such defeasance has not occurred, which Opinion of Counsel (in the case of a Legal Defeasance) must be based upon a ruling of the Internal Revenue Service to the same effect or a change in applicable Federal income tax law or related treasury regulations after the date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 Opinion of Counsel relating to a Covenant Defeasance, stating that the deposit and defeasance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will not cause the Holders of the Notes of such series to recognize income, gain or loss for Federal income tax purposes as a result of the Issuer’s exercise of its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such Holders will be subject to Federal income tax on the same amount and in the same manner and at the same times as would have been the case if such option had not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 connection with the exercise by the Issuer of any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any series of Notes is to be redeemed, either notice of such redemption shall have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exercises its option under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payment of the Notes may not be accelerated because of an Event of Default with respect thereto. If the Issuer exercises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payment of the Notes may not be accelerated because of an Event of Default specified in any of </w:t>
      </w:r>
      <w:r>
        <w:rPr>
          <w:rFonts w:ascii="Times New Roman;Times;Serif" w:hAnsi="Times New Roman;Times;Serif"/>
          <w:b w:val="false"/>
          <w:i w:val="false"/>
          <w:caps w:val="false"/>
          <w:smallCaps w:val="false"/>
          <w:sz w:val="20"/>
          <w:u w:val="single"/>
        </w:rPr>
        <w:t>Section 4.01(3)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or with respect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exercise by the Issuer of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the obligation of any successor entity to assume the obligations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shall not be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means, as to any series of Notes, that the Issuer shall be deemed to have paid and discharged the entire indebtedness represented by, and obligations under, the Notes of such series and to have satisfied all the obligations under this Indenture relating to such series of Notes (and the Trustee, at the expense of the Issuer, shall execute such instruments reasonably requested by the Issuer acknowledging the same), except (A) the rights of Holders of Notes of such series to receive, from the trust fund described in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or 3.02</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as applicable, above, payment of the principal of, premium, if any, and the interest, if any, on such series of Notes when such payments are due; (B) in the case of a Discharge pursuant to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the Issuer’s obligations with respect to such Notes under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w:t>
      </w:r>
      <w:r>
        <w:rPr>
          <w:rFonts w:ascii="Times New Roman;Times;Serif" w:hAnsi="Times New Roman;Times;Serif"/>
          <w:b w:val="false"/>
          <w:i w:val="false"/>
          <w:caps w:val="false"/>
          <w:smallCaps w:val="false"/>
          <w:sz w:val="20"/>
        </w:rPr>
        <w:t xml:space="preserve"> and its obligations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(C) the rights, powers, trusts, duties and immunities of the Trustee hereunder; and (D) as otherwise set forth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All money and U.S. Government Obligations deposited with the Trustee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all proceeds of such U.S. Government Obligations and the interest thereon shall be held in trust and applied by it, in accordance with the provisions of this Indenture, to the payment, either directly or through any Paying Agent (including the Issuer acting as its own Paying Agent), as the Trustee may determine, to the Persons entitled thereto, of the principal, premium, if any, and interest, for whose payment such money and U.S. Government Obligations have been deposited with the Trustee; but such money and U.S. Government Obligations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            </w:t>
      </w:r>
      <w:r>
        <w:rPr>
          <w:rFonts w:ascii="Times New Roman;Times;Serif" w:hAnsi="Times New Roman;Times;Serif"/>
          <w:b w:val="false"/>
          <w:i w:val="false"/>
          <w:caps w:val="false"/>
          <w:smallCaps w:val="false"/>
          <w:sz w:val="20"/>
          <w:u w:val="single"/>
        </w:rPr>
        <w:t>Paying Agent to Repay Moneys Held</w:t>
      </w:r>
      <w:r>
        <w:rPr>
          <w:rFonts w:ascii="Times New Roman;Times;Serif" w:hAnsi="Times New Roman;Times;Serif"/>
          <w:b w:val="false"/>
          <w:i w:val="false"/>
          <w:caps w:val="false"/>
          <w:smallCaps w:val="false"/>
          <w:sz w:val="20"/>
        </w:rPr>
        <w:t>. Upon the Discharge of this Indenture or a Defeasance, in each case, with respect to the Notes of a series, all moneys then held by any Paying Agent under the provisions of this Indenture with respect to such Notes (other than the Trustee) shall, upon demand of the Issuer,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            </w:t>
      </w:r>
      <w:r>
        <w:rPr>
          <w:rFonts w:ascii="Times New Roman;Times;Serif" w:hAnsi="Times New Roman;Times;Serif"/>
          <w:b w:val="false"/>
          <w:i w:val="false"/>
          <w:caps w:val="false"/>
          <w:smallCaps w:val="false"/>
          <w:sz w:val="20"/>
          <w:u w:val="single"/>
        </w:rPr>
        <w:t>Return of Unclaimed Amounts</w:t>
      </w:r>
      <w:r>
        <w:rPr>
          <w:rFonts w:ascii="Times New Roman;Times;Serif" w:hAnsi="Times New Roman;Times;Serif"/>
          <w:b w:val="false"/>
          <w:i w:val="false"/>
          <w:caps w:val="false"/>
          <w:smallCaps w:val="false"/>
          <w:sz w:val="20"/>
        </w:rPr>
        <w:t>. Subject to applicable abandoned property law, any amounts deposited with or paid to the Trustee or any Paying Agent for payment of the principal of, premium, if any, or interest on any series of Notes or then held by the Issuer, in trust for the payment of the principal of, premium, if any, or interest on any series of Notes and not applied but remaining unclaimed by the Holders of such series of Notes for two years after the date upon which the principal of, premium, if any, or interest on such series of Notes, as the case may be, shall have become due and payable, shall be repaid to the Issuer by the Trustee on demand or (if then held by the Issuer) shall be discharged from such Trust; and the Holder of any Notes of such series shall thereafter, as an unsecured general creditor, look only to the Issuer for any payment which such Holder may be entitled to collect (until such time as such unclaimed amounts shall escheat, if at all, to any applicable jurisdiction) and all liability of the Trustee or such Paying Agent with respect to such trust money, and all liability of the Issuer as trustee thereof, shall thereupon cease. Notwithstanding the foregoing, the Trustee or Paying Agent, before being required to make any such repayment, may at the expense of the Issuer cause to be published once a week for two successive weeks (in each case on any day of the week) in a newspaper printed in the English language and customarily published at least once a day at least five days in each calendar week and of general circulation in the Borough of Manhattan, in the City and State of New York, a notice that said amounts have not been so applied and that after a date named therein any unclaimed balance of said amounts then remaining will be promptly returned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any Paying Agent is unable to apply any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by reason of any legal proceeding or by reason of any order or judgment of any court or governmental authority enjoining, restraining or otherwise prohibiting such application, then the Issuer’s obligations under this Indenture and the Holders of Notes shall be revived and reinstated as though no deposit had occurred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until such time as the Trustee or such Paying Agent is permitted to apply all such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“Event of Default,” wherever used herein, means with respect to Notes of any series,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any principal of or premium, if any, on the Notes of such series when due (whether at maturity, upon optional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failure to pay any interest on any Note of such series, when it becomes due and payable, and continuance of such default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default in the performance, or breach, of any covenant, warranty or agreement (other than as set forth in clause (1) or (2) above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of the Issuer under this Indenture in respect of the Notes of such series; provided that a default under this clause (3) is not an Event of Default until the Trustee or the holders of not less than 25% of the aggregate principal amount of the Notes of such series then outstanding deliver a notice to the Issuer that specifies the default, demands it to be remedied and states that such notice is a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and the Issuer does not cure such default within 60 days after receipt by the Issuer of such Notice of Default or such longer time as may be specified in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entry of an order for relief against the Issuer under the Bankruptcy Code by a court having jurisdiction in the premises or a decree or order by a court having jurisdiction in the premises adjudging the Issuer as bankrupt or insolvent under any other applicable Federal or state law, or the entry of a decree or order approving as properly filed a petition seeking reorganization, arrangement, adjustment or composition of or in respect of the Issuer under the Bankruptcy Code or any other applicable Federal or state law, or appointing a receiver, liquidator, assignee, trustee, sequestrator (or other similar official) of the Issuer or of any substantial part of their respective properties, or ordering the winding up or liquidation of their respective affairs, and the continuance of any such decree or order unstayed and in effect for a period of 90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consent by the Issuer to the institution of bankruptcy or insolvency proceedings against any of them, or the filing by the Issuer of a petition or answer or consent seeking reorganization or relief under the Bankruptcy Code or any other applicable Federal or state law, or the consent by the Issuer to the filing of any such petition or to the appointment of a receiver, liquidator, assignee, trustee, sequestrator (or other similar official) of the Issuer or of any substantial part of their respective properties, or the making by the Issuer of an assignment for the benefit of creditors, or the admission by the Issuer in writing of the Issuer’s inability to pay debts generally as they become due, or the taking of corporate action by the Issuer in furtherance of any such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a failure to make any payment at maturity, including any applicable grace period, on any Indebtedness of the Issuer (other than Indebtedness of the Issuer owing to any of its Subsidiaries) outstanding in an amount in excess of $400 million or its foreign currency equivalent at the time and continuance of this failure to pay or (b) a default on any indebtedness of the Issuer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this Indenture will be deemed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deliver to the Trustee, within 30 days after the occurrence thereof, written notice in the form of an Officer’s Certificate of any event that with the giving of notice or the lapse of time or both would become an Event of Default, its status and what action the Issuer is taking or proposes to take with respect thereto. Upon becoming aware of any default or Event of Default, the Issuer is required to deliver to the Trustee a statement specifying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single series of Notes issued hereunder (and under or pursuant to any supplemental indenture or Board Resolution) necessarily constitutes an Event of Default with respect to any other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any Event of Default (other than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with respect to the Notes of any series occurs and is continuing, then either the Trustee or the Holders of not less than 25% in aggregate principal amount of the Outstanding Notes of such series may declare the principal of all Outstanding Notes of such series, and the interest to the date of acceleration, if any, accrued thereon, to be immediately due and payable by notice in writing to the Issuer (and to the Trustee if given by Holders) specifying the event of default. If an Event of Default described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occurs, then the principal amount of all the Notes then outstanding and interest accrued thereon, if any, will become and be immediately due and payable without any declaration or other act on the part of the Trustee or the Holders of the Notes,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At any time after such a declaration of acceleration has been made with respect to the Notes of any series and before a judgment or decree for payment of the money due has been obtained by the Trustee as hereinafter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provided, the Holders of a majority in aggregate principal amount of the Outstanding Notes of such series by written notice to the Issuer and the Trustee, may rescind and annul such declaration and waive such event of default and its consequences, except with respect to a default in respect of a covenant or provision of this Indenture which cannot be modified or amended without the consent of the Holder of each Outstanding Note affected thereby,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paid or deposited with the Trustee a sum sufficient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overdue installments of interest, if any, on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of (and premium, if any, on) any such series of Notes which have become due otherwise than by such declaration of acceleration, and interest thereon at the rate prescribed therefor by the Notes of such series, to the extent that payment of such interest is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overdue installments of interest at the rate prescribed therefor by the Notes of such series to the extent that payment of such interest is lawful,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reasonable compensation, expenses, disbursements and advances of the Trustee and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Events of Default, other than the non-payment of the principal, premium, if any, or interest of the Notes of such series which have become due solely by such acceleration, have been cured or waived as provided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4.03.            </w:t>
      </w:r>
      <w:r>
        <w:rPr>
          <w:rFonts w:ascii="Times New Roman;Times;Serif" w:hAnsi="Times New Roman;Times;Serif"/>
          <w:b w:val="false"/>
          <w:i w:val="false"/>
          <w:caps w:val="false"/>
          <w:smallCaps w:val="false"/>
          <w:sz w:val="20"/>
          <w:u w:val="single"/>
        </w:rPr>
        <w:t>Collection of Indebtedness and Suits for 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covenants that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is made in the payment of any installment of interest on any Note of any series when such interest becomes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is made in the payment of (or premium, if any, on) the principal of any Note of any series at the Maturity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such default continues for any period of grace provided in relation to such default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then, with respect to such series of Notes, the Issuer shall, upon demand of the Trustee, pay to it, for the benefit of the Holders of the Notes of such series, the whole amount then due and payable on all Notes of such series for principal (and premium, if any) and interest, together with interest (to the extent that payment of such interest shall be legally enforceable) upon the overdue principal (and premium, if any) and upon overdue installments of interest at the rate of interest prescribed therefor by the Notes of such series; and, in addition thereto, such further amount as shall be sufficient to cover the costs and expenses of collection, including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Issuer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Issuer or any other obligor upon such Notes and collect the money adjudged or decreed to be payable in the manner provided by law out of the property of the Issuer or any other obligor upon such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 Event of Default occurs and is continuing with respect to any series of Notes, the Trustee may in its discretion proceed to protect and enforce its rights and the rights of the Holders of such series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case of the pendency of any receivership, insolvency, liquidation, bankruptcy, reorganization, arrangement, adjustment, composition, or other judicial proceeding relative to the Issuer or any obligor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or interest) shall be entitled and empowered, by intervention in such proceedings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principal, premium, if any, and interest owing and unpaid in respect of the Notes,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 of the Holders allowed in such judicial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collect and receive any moneys or other property payable or deliverable on any such claims and to distribute the same; and any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 and counsel, and any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4.05.            </w:t>
      </w:r>
      <w:r>
        <w:rPr>
          <w:rFonts w:ascii="Times New Roman;Times;Serif" w:hAnsi="Times New Roman;Times;Serif"/>
          <w:b w:val="false"/>
          <w:i w:val="false"/>
          <w:caps w:val="false"/>
          <w:smallCaps w:val="false"/>
          <w:sz w:val="20"/>
          <w:u w:val="single"/>
        </w:rPr>
        <w:t>Trustee May Enforce Claims Without Possession of Notes</w:t>
      </w:r>
      <w:r>
        <w:rPr>
          <w:rFonts w:ascii="Times New Roman;Times;Serif" w:hAnsi="Times New Roman;Times;Serif"/>
          <w:b w:val="false"/>
          <w:i w:val="false"/>
          <w:caps w:val="false"/>
          <w:smallCaps w:val="false"/>
          <w:sz w:val="20"/>
        </w:rPr>
        <w:t>. All rights of action and claims under this Indenture or the Notes of any series may be prosecuted and enforced by the Trustee without the possession of any of the Notes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and its agents and counsel, be for the ratable benefit of the Holders of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 xml:space="preserve">. Any money or property collected by the Trustee from the Issuer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applied in the following order, at the date or dates fixed by the Trustee and, in case of the distribution of such money on account of principal, premium, if any, or interest, if any, upon presentation of the Notes of any series and the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payment of all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such series of Notes for principal, premium, if any, and interest, in respect of which or for the benefit of which such money has been collected, ratably, without preference or priority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Note of any series may institute any action under this Indenture, unless and until: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given the Trustee written notice of a continuing Event of Default with respect to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at least 25% in aggregate principal amount of the Outstanding Notes of such series have made a written request to the Trustee to institute proceedings in respect of such Event of Default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has or have offered the Trustee, and if requested, provided indemnity or security reasonably satisfactory to the Trustee against the costs, expenses and liabilities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failed to institute any such proceeding for 60 days after its receipt of such notice, request and offer of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inconsistent direction has been given to the Trustee during such 60-day period by the Holders of a majority in aggregate principal amount of the Outstanding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Holders of Notes of any series shall have any right in any manner whatever by virtue of, or by availing of, any provision of this Indenture to affect, disturb or prejudice the rights of any other Holders of Notes of such series, or to obtain or to seek to obtain priority or preference over any other such Holders or to enforce any right under this Indenture, except in the manner herein provided and for the equal and proportionate benefit of all the Holders of all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4.08.            </w:t>
      </w:r>
      <w:r>
        <w:rPr>
          <w:rFonts w:ascii="Times New Roman;Times;Serif" w:hAnsi="Times New Roman;Times;Serif"/>
          <w:b w:val="false"/>
          <w:i w:val="false"/>
          <w:caps w:val="false"/>
          <w:smallCaps w:val="false"/>
          <w:sz w:val="20"/>
          <w:u w:val="single"/>
        </w:rPr>
        <w:t>Unconditional Right of Holders to Receive Payment of Principal, Premium (if any) and Interest</w:t>
      </w:r>
      <w:r>
        <w:rPr>
          <w:rFonts w:ascii="Times New Roman;Times;Serif" w:hAnsi="Times New Roman;Times;Serif"/>
          <w:b w:val="false"/>
          <w:i w:val="false"/>
          <w:caps w:val="false"/>
          <w:smallCaps w:val="false"/>
          <w:sz w:val="20"/>
        </w:rPr>
        <w:t>. Notwithstanding any other provision in this Indenture, the Holder of any Note shall have the right, which is absolute and unconditional, to receive payment of the principal, premium, if any, and (subject to Section 2.06) interest on such Note on or after the Maturity Date (or, in the case of redemption, on or after the Redemption Date) and to institute suit for the enforcement of any such payment on or after such respective date, and such right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then and in every such case the Issuer,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2.05(5)</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or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The Holders of not less than a majority in aggregate principal amount of the Outstanding Notes of any series shall have the right to direct the time, method, and place of conducting any proceeding for any remedy available to the Trustee or of exercising any trust or power conferred on the Trustee with respect to the Notes of such series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is offered, and, if requested, provided indemnity or security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take any other action deemed proper by the Trustee which is not inconsistent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taking any such action hereunder, the Trustee shall be entitled to indemnity or security satisfactory to the Trustee against all fees, losses, liabilities and expenses (including attorneys’ fees and expenses) incurred or to be incurred by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Holders of not less than a majority in aggregate principal amount of the Outstanding Notes of any series may, on behalf of the Holders of all Notes of such series, waive any past default hereunder with respect to the Notes of such series, except a default not theretofore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principal, premium, if any, or interest on any Notes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respect of a covenant or provision in this Indenture which,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cannot be modified without the consent of the Holder of each Outstanding Note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shall not apply to any suit instituted by the Trustee, to any suit instituted by any Holder or group of Holders holding in the aggregate more than 10% in principal amount of the Outstanding Notes of any series to which the suit relates, or to any suit instituted by any Holder pursuant to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4.15.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The Issuer covenants (to the extent that it may lawfully do so) that it will not at any time insist upon, or plead, or in any manner whatsoever claim or take the benefit or advantage of, any stay or extension law (other than any bankruptcy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            </w:t>
      </w:r>
      <w:r>
        <w:rPr>
          <w:rFonts w:ascii="Times New Roman;Times;Serif" w:hAnsi="Times New Roman;Times;Serif"/>
          <w:b w:val="false"/>
          <w:i w:val="false"/>
          <w:caps w:val="false"/>
          <w:smallCaps w:val="false"/>
          <w:sz w:val="20"/>
          <w:u w:val="single"/>
        </w:rPr>
        <w:t>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during the continuance of an Event of Default with respect to a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undertakes to perform such duties and only such duties with respect to such series of Notes as are specifically set forth in this Indenture, and no implied covenants or obligations with respect to such series of Notes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negligence and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 Event of Default with respect to a series of Notes has occurred and is continuing, the Trustee shall exercise such of the rights and powers vested in it by this Indenture with respect to such series of Notes and any indenture supplemental hereto relating to such series of Notes, and use the same degree of care and skill in their exercise, as a prudent person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Subsection shall not be construed to limit the effect of </w:t>
      </w:r>
      <w:r>
        <w:rPr>
          <w:rFonts w:ascii="Times New Roman;Times;Serif" w:hAnsi="Times New Roman;Times;Serif"/>
          <w:b w:val="false"/>
          <w:i w:val="false"/>
          <w:caps w:val="false"/>
          <w:smallCaps w:val="false"/>
          <w:sz w:val="20"/>
          <w:u w:val="single"/>
        </w:rPr>
        <w:t>Section 5.01(1)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or omitted to be taken by it in good faith in accordance with the direction of the Holders of not less than a majority in aggregate principal amount of the Outstanding Notes of any series relating to the time, method, and place of conducting any proceeding for any remedy available to the Trustee with respect to such series of Notes, or exercising any trust or power conferred upon the Trustee, under this Indenture with respect to such series of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provision of this Indenture shall require the Trustee to expend or risk its own funds or otherwise incur any financial loss, expense or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Whether or not therein expressly so provided, every provision of this Indenture relating to the conduct or affecting the liability of or affording protection to the Trustee shall be subject to the provisions of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Within 90 days after the occurrence of any default hereunder with respect to any series of Notes for which a Responsible Officer has actual knowledge, the Trustee shall transmit by mail to all Holders of Notes of such series, as their names and addresses appear in the Security Register (or give electronically or pursuant to the procedures of the Depositary), notice of such default hereunder known to the Trustee, unless such default shall have been cured or waived; provided however, that, except in the case of a default in the payment of the principal of or interest or premium, if any, on any Note of such series, the Trustee shall be protected in withholding such notice if and so long as the Trustee determines in good faith that the withholding of such notice is in the interests of the Holders of the Outstanding Notes of such series, and provided further that, in the case of any default of the type specified in clause (3)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no such notice to Holders of Notes of such series shall be given until at least 60 days after the occurrence thereof. For the purpose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term “default” means any event which is, or after notice or lapse of time or both would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rely and shall be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request or direction of the Issuer described herein shall be sufficiently evidenced by a Company Request or Company Order and any resolution of the Board of Directors may be sufficiently evidenced by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and willful misconduct on its part,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may consult with counsel of its selection and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losses,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permissive rights of the Trustee enumerated herein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shall not be responsible or liable for special, indirect or consequential loss or damage of any kind whatsoever (including, but not limited to, loss or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Trustee shall not be required to give any note, bond, or surety in respect of the execution of the trusts and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Trustee shall not be responsible or liable for any failure or delay in the performance of its obligations under this Indenture arising out of or caused, directly or indirectly, by circumstances beyond its control, including, without limitation, strikes, work stoppages, accidents, or acts of God; earthquakes; fire; flood; terrorism; wars and other military disturbances, sabotage; epidemics; pandemics; riots; interruptions; loss or malfunction of utilities; computer (hardware or software) or communication services; accidents; labor disputes; acts of civil or military authorities and governmental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            </w:t>
      </w:r>
      <w:r>
        <w:rPr>
          <w:rFonts w:ascii="Times New Roman;Times;Serif" w:hAnsi="Times New Roman;Times;Serif"/>
          <w:b w:val="false"/>
          <w:i w:val="false"/>
          <w:caps w:val="false"/>
          <w:smallCaps w:val="false"/>
          <w:sz w:val="20"/>
          <w:u w:val="single"/>
        </w:rPr>
        <w:t>Not Responsible for Recitals or Issuance of Notes</w:t>
      </w:r>
      <w:r>
        <w:rPr>
          <w:rFonts w:ascii="Times New Roman;Times;Serif" w:hAnsi="Times New Roman;Times;Serif"/>
          <w:b w:val="false"/>
          <w:i w:val="false"/>
          <w:caps w:val="false"/>
          <w:smallCaps w:val="false"/>
          <w:sz w:val="20"/>
        </w:rPr>
        <w:t xml:space="preserve">. The recitals contained herein and in the Notes, except the certificates of authentication, shall be taken as the statements of the Issuer, and the Trustee assumes no responsibility for their correctness. The Trustee makes no representations as to the validity or sufficiency of this Indenture or of the Notes. The Trustee shall not be accountable for the use or application by the Issuer of the Notes or the proceeds thereof. The Trustee shall not be charged with notice or knowledge of any Event of Default under clause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of the identity of a Significant Subsidiary of the Issuer unless either (i) a Responsible Officer of the Trustee assigned to and working in its Corporate Trust Office shall have actual knowledge thereof or (ii) notice thereof shall have been given to the Trustee in accordance with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from the Issuer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            </w:t>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xml:space="preserve">. The Trustee or any Paying Agent, Registrar, or other agent of the Issuer, in its individual or any other capacity, may become the owner or pledgee of Notes and, subject to </w:t>
      </w:r>
      <w:r>
        <w:rPr>
          <w:rFonts w:ascii="Times New Roman;Times;Serif" w:hAnsi="Times New Roman;Times;Serif"/>
          <w:b w:val="false"/>
          <w:i w:val="false"/>
          <w:caps w:val="false"/>
          <w:smallCaps w:val="false"/>
          <w:sz w:val="20"/>
          <w:u w:val="single"/>
        </w:rPr>
        <w:t>Sections 5.08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may otherwise deal with the Issuer with the same rights it would have if it were not Trustee, Paying Agent,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            </w:t>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Money held by the Trustee in trust hereunder need not be segregated from other funds except to the extent required by law. Neither the Trustee nor any Paying Agent shall be under any liability for interest on any money received by it hereunder except as otherwise agreed with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Issuer covenants and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the Trustee from time to time, and the Trustee shall be entitled to, compensation as may be agreed in writing for all services rendered by it hereunder (which compensation shall not be limited by any provision of law in regard to the compensation of a trustee of an express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and willful misconduct, as determined by a final, non-appealable order of a court of competent jurisdiction;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for, and to hold it harmless against, any loss, liability or expense incurred without negligence and willful misconduct on its part, arising out of or in connection with the acceptance or administration of this trust, including the reasonable costs and expenses of defending itself against any claim or liability in connection with the exercise or performance of any of its powers or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have a lien prior to the Notes upon all property and funds held by it hereunder for any amount owing it or any retiring Trustee pursuant to this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except with respect to funds held in trust for the benefit of the Holders of particular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incurs expenses or renders services in connection with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such expenses (including the reasonable charges and expenses of its counsel) and compensation for such services are intended to constitute expenses of administration under any applicable Federal or State bankruptcy, insolvency, reorganization, or other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survive the termination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            </w:t>
      </w:r>
      <w:r>
        <w:rPr>
          <w:rFonts w:ascii="Times New Roman;Times;Serif" w:hAnsi="Times New Roman;Times;Serif"/>
          <w:b w:val="false"/>
          <w:i w:val="false"/>
          <w:caps w:val="false"/>
          <w:smallCaps w:val="false"/>
          <w:sz w:val="20"/>
          <w:u w:val="single"/>
        </w:rPr>
        <w:t>Disqualification; Conflicting Interests</w:t>
      </w:r>
      <w:r>
        <w:rPr>
          <w:rFonts w:ascii="Times New Roman;Times;Serif" w:hAnsi="Times New Roman;Times;Serif"/>
          <w:b w:val="false"/>
          <w:i w:val="false"/>
          <w:caps w:val="false"/>
          <w:smallCaps w:val="false"/>
          <w:sz w:val="20"/>
        </w:rPr>
        <w:t>. If the Trustee has or shall acquire any conflicting interest within the meaning of the Trust Indenture Act, it shall either eliminate such interest or resign as Trustee, to the extent and in the manner provided by, and subject to the provisions of, the Trust Indenture Act and this Indenture. The Trustee is subject to and shall comply with the provisions of Section 310(b) of the TIA during the period of time required by this Indenture. Nothing in this Indenture shall prevent the Trustee from filing with the SEC the application referred to in the penultimate paragraph of Section 310(b) of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xml:space="preserve">. There shall at all times be a Trustee hereunder that shall be a corporation organized and doing business under the laws of the United States of America or of any State or Territory thereof or of the District of Columbia, authorized under such laws to exercise corporate trust powers, having a combined capital and surplus of at least $100,000,000, and subject to supervision or examination by Federal or State authority. If such corporation publishes reports of condition at least annually, pursuant to law or to the requirements of the aforesaid supervising or examining authority, then for the purposes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the combined capital and surplus of such corporation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it shall resign immediately in the manner and with the effect hereinafter specified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5.10.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resignation or removal of the Trustee and no appointment of a successor Trustee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become effective until the acceptance of appointment by the successor Trustee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may resign at any time with respect to the Notes of one or more series by giving written notice thereof to the Issuer. If the instrument of acceptance by a successor Trustee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any court of competent jurisdiction for the appointment of a successor Trustee with respect to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be removed at any time with respect to the Notes of any series by Act of the Holders of 66 2/3% in aggregate principal amount of the Outstanding Notes of such series, delivered to the Trustee and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fail to comply with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after written request therefor by the Issuer or by any Holder who has been a bona fide Holder of a Note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cease to be eligible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and shall fail to resign after written request therefor by the Issuer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Issuer by a Board Resolution may remove the Trustee with respect to all Notes, or (B) subject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any Holder who has been a bona fide Holder of a Note for at least six months may, on behalf of himself and all others similarly situated, petition any court of competent jurisdiction for the removal of the Trustee with respect to all Notes and the appointment of a successor Trustee or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the Trustee shall resign, be removed or become incapable of acting, or if a vacancy shall occur in the office of Trustee for any cause, with respect to the Notes of one or more series, the Issuer, by a Board Resolution, shall promptly appoint a successor Trustee or Trustees with respect to the Notes of that or those series (it being understood that any such successor Trustee may be appointed with respect to the Notes of one or more or all of such series and that at any time there shall be only one Trustee with respect to the Notes of any particular series) and shall comply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with respect to the Notes of any series shall be appointed by Act of the Holders of 66 2/3% in aggregate principal amount of the Outstanding Notes of such series delivered to the Issuer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become the successor Trustee with respect to the Notes of such series and to that extent supersede the successor Trustee appointed by the Issuer. If no successor Trustee with respect to the Notes of any series shall have been so appointed by the Issuer or the Holders and accepted appointment in the manner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any Holder who has been a bona fide Holder of a Note of such series for at least six months may, on behalf of himself and all others similarly situated, petition any court of competent jurisdiction for the appointment of a successor Trustee with respect to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give notice of each resignation and each removal of the Trustee with respect to the Notes of any series and each appointment of a successor Trustee with respect to the Notes of any series to all Holders of Notes of such series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Each notice shall include the name of the successor Trustee with respect to the Notes of such series and the address of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5.11.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In case of the appointment hereunder of a successor Trustee with respect to all Notes,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reasonable charges and subject to its lien, if any, provided by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Notes of one or more (but not all) series, the Issuer, the retiring Trustee and each successor Trustee with respect to the Notes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Notes of that or those series to which the appointment of such successor Trustee relates, (2) if the retiring Trustee is not retiring with respect to all Notes, shall contain such provisions as shall be deemed necessary or desirable to confirm that all the rights, powers, trusts and duties of the retiring Trustee with respect to the Notes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Notes of that or those series to which the appointment of such successor Trustee relates; but, on request of the Issuer or any successor Trustee, such retiring Trustee shall duly assign, transfer and deliver to such successor Trustee all property and money held by such retiring Trustee hereunder with respect to the Notes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its appointment unless at the time of such acceptance such successor Trustee shall be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5.12.            </w:t>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entity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entity shall be otherwise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without the execution or filing of any paper or any further act on the part of any of the parties hereto. In case any Notes shall have been authenticated, but not delivered, by the Trustee then in office, any successor Trustee by merger, conversion or consolidation to such authenticating Trustee may adopt such authentication and deliver the Notes so authenticated with the same effect as if such successor Trustee had itself authenticated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5.13.            </w:t>
      </w:r>
      <w:r>
        <w:rPr>
          <w:rFonts w:ascii="Times New Roman;Times;Serif" w:hAnsi="Times New Roman;Times;Serif"/>
          <w:b w:val="false"/>
          <w:i w:val="false"/>
          <w:caps w:val="false"/>
          <w:smallCaps w:val="false"/>
          <w:sz w:val="20"/>
          <w:u w:val="single"/>
        </w:rPr>
        <w:t>Preferential Collection of Claims Against Issuer</w:t>
      </w:r>
      <w:r>
        <w:rPr>
          <w:rFonts w:ascii="Times New Roman;Times;Serif" w:hAnsi="Times New Roman;Times;Serif"/>
          <w:b w:val="false"/>
          <w:i w:val="false"/>
          <w:caps w:val="false"/>
          <w:smallCaps w:val="false"/>
          <w:sz w:val="20"/>
        </w:rPr>
        <w:t>. If and when the Trustee shall be or shall become a creditor of the Issuer (or of any other obligor upon the Notes), the Trustee shall be subject to the provisions of the Trust Indenture Act regarding the collection of claims against the Issuer (or against any such other obligor,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5.14.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At any time when any of the Notes remain Outstanding the Trustee, with the approval of the Issuer, may appoint an Authenticating Agent or Agents with respect to one or more series of Notes which shall be authorized to act on behalf of the Trustee to authenticate Notes of such series issued upon exchange, registration of transfer or partial redemption thereof or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Notes so authenticated shall be entitled to the benefits of this Indenture and shall be valid and obligatory for all purposes as if authenticated by the Trustee hereunder.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an Authenticating Agent, having a combined capital and surplus of not less than $100,000,000 and, if other than the Issuer itself, subject to supervision or examination by Federal or State authority. If such Authenticating Agent publishes reports of condition at least annually, pursuant to law or to the requirements of said supervising or examining authority, then for the purposes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such Authenticating Agent shall resign immediately in the manner and with the effect specified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entity into which an Authenticating Agent may be merged or converted or with which it may be consolidated, or any entity resulting from any merger, conversion or consolidation to which such Authenticating Agent shall be a party, or any entity succeeding to the corporate agency or corporate trust business of an Authenticating Agent, shall continue to be an Authenticating Agent, provided such entity shall be otherwise eligible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without the execution or filing of any paper or any further act on the part of the Trustee or the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 Authenticating Agent may resign at any time by giving written notice thereof to the Trustee and, if other than the Issuer, to the Issuer. The Trustee may at any time terminate the agency of an Authenticating Agent by giving written notice thereof to such Authenticating Agent and, if other than the Issuer, to the Issuer. Upon receiving such a notice of resignation or upon such a termination, or in case at any time such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Trustee, with the approval of the Issuer, may appoint a successor Authenticating Agent which shall be acceptable to the Issuer and shall mail written notice of such appointment by first-class mail, postage prepaid, to all Holders of Notes of the series with respect to which such Authenticating Agent will serve, as their names and addresses appear in the Security Register (or shall give such notice electronically or pursuant to the procedures of the Depositary).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Issuer agrees to pay to each Authenticating Agent from time to time reasonable compensation for its services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an appointment is made pursuant to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Notes may have endorsed thereon, in addition to the Trustee’s certificate of authentication, an alternate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992"/>
        <w:gridCol w:w="6542"/>
      </w:tblGrid>
      <w:tr>
        <w:trPr/>
        <w:tc>
          <w:tcPr>
            <w:tcW w:w="75" w:type="dxa"/>
            <w:tcBorders/>
            <w:vAlign w:val="center"/>
          </w:tcPr>
          <w:p>
            <w:pPr>
              <w:pStyle w:val="TableContents"/>
              <w:bidi w:val="0"/>
              <w:spacing w:before="0" w:after="283"/>
              <w:jc w:val="left"/>
              <w:rPr>
                <w:sz w:val="4"/>
                <w:szCs w:val="4"/>
              </w:rPr>
            </w:pPr>
            <w:r>
              <w:rPr>
                <w:sz w:val="4"/>
                <w:szCs w:val="4"/>
              </w:rPr>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65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By:</w:t>
            </w:r>
          </w:p>
        </w:tc>
        <w:tc>
          <w:tcPr>
            <w:tcW w:w="654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542" w:type="dxa"/>
            <w:tcBorders>
              <w:bottom w:val="single" w:sz="8" w:space="0" w:color="000000"/>
            </w:tcBorders>
            <w:tcMar>
              <w:bottom w:w="28" w:type="dxa"/>
            </w:tcMar>
            <w:vAlign w:val="center"/>
          </w:tcPr>
          <w:p>
            <w:pPr>
              <w:pStyle w:val="TableContents"/>
              <w:bidi w:val="0"/>
              <w:spacing w:before="0" w:after="283"/>
              <w:jc w:val="both"/>
              <w:rPr/>
            </w:pPr>
            <w:r>
              <w:rPr/>
              <w:t>As Authenticating Agent</w:t>
            </w:r>
          </w:p>
        </w:tc>
      </w:tr>
      <w:tr>
        <w:trPr/>
        <w:tc>
          <w:tcPr>
            <w:tcW w:w="7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6542" w:type="dxa"/>
            <w:tcBorders/>
            <w:vAlign w:val="center"/>
          </w:tcPr>
          <w:p>
            <w:pPr>
              <w:pStyle w:val="TableContents"/>
              <w:bidi w:val="0"/>
              <w:spacing w:before="0" w:after="283"/>
              <w:jc w:val="both"/>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HOLDERS’ LISTS AND REPORTS BY TRUSTEE AND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            </w:t>
      </w:r>
      <w:r>
        <w:rPr>
          <w:rFonts w:ascii="Times New Roman;Times;Serif" w:hAnsi="Times New Roman;Times;Serif"/>
          <w:b w:val="false"/>
          <w:i w:val="false"/>
          <w:caps w:val="false"/>
          <w:smallCaps w:val="false"/>
          <w:sz w:val="20"/>
          <w:u w:val="single"/>
        </w:rPr>
        <w:t>Issuer to Furnish Trustee Names and Addresses of Holders</w:t>
      </w:r>
      <w:r>
        <w:rPr>
          <w:rFonts w:ascii="Times New Roman;Times;Serif" w:hAnsi="Times New Roman;Times;Serif"/>
          <w:b w:val="false"/>
          <w:i w:val="false"/>
          <w:caps w:val="false"/>
          <w:smallCaps w:val="false"/>
          <w:sz w:val="20"/>
        </w:rPr>
        <w:t>. The Issuer will furnish or cause to be furnished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semi-annually, not more than 15 days after the Record Date for the payment of interest in respect of each series of Notes, in such form as the Trustee may reasonably require, a list of the names and addresses of the Holders of such Notes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such other times as the Trustee may request in writing, within 30 days after the receipt by the Issuer of any such request, a list of similar form and content as of a date not more than 15 days prior to the time such list is furnished, provided that, in the case of (1) and (2), if the Trustee shall be the Registrar, such list shall not be required to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            </w:t>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shall preserve, in as current a form as is reasonably practicable, the names and addresses of Holders of Notes of each series contained in the most recent list furnished to the Trustee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the names and addresses of Holders of Notes received by the Trustee. The Trustee may destroy any list furnished to it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Notes may communicate as provided in Section 312(b) of the Trust Indenture Act with other Holders of Notes with respect to their rights under this Indenture or under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Every Holder of Notes, by receiving and holding the same, agrees with the Issuer that the Issuer shall not be held accountable by reason of the disclosure of any such information as to the names and addresses of the Holders of Notes in accordance with </w:t>
      </w:r>
      <w:r>
        <w:rPr>
          <w:rFonts w:ascii="Times New Roman;Times;Serif" w:hAnsi="Times New Roman;Times;Serif"/>
          <w:b w:val="false"/>
          <w:i w:val="false"/>
          <w:caps w:val="false"/>
          <w:smallCaps w:val="false"/>
          <w:sz w:val="20"/>
          <w:u w:val="single"/>
        </w:rPr>
        <w:t>Section 6.02(2)</w:t>
      </w:r>
      <w:r>
        <w:rPr>
          <w:rFonts w:ascii="Times New Roman;Times;Serif" w:hAnsi="Times New Roman;Times;Serif"/>
          <w:b w:val="false"/>
          <w:i w:val="false"/>
          <w:caps w:val="false"/>
          <w:smallCaps w:val="false"/>
          <w:sz w:val="20"/>
        </w:rPr>
        <w:t>, regardless of the source from which such information was derived.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6.03.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60 days after May 15 of each year commencing with the first May 15 following the date of the initial issuance of Notes under this Indenture, the Trustee shall transmit by mail to the Holders of Notes as their names and addresses appear in the Security Register, a brief report dated as of such May 15, to the extent required under Section 313(a)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comply with Sections 313(b) and 313(c)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copy of each such report shall, at the time for such transmission to Holders of Notes, be filed by the Trustee with the Issuer, with each stock exchange upon which any Notes are listed (if so listed) and also with the Commission. The Issuer agrees to promptly notify the Trustee when any Notes become listed on any stock exchange and of any delisting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6.04.            </w:t>
      </w:r>
      <w:r>
        <w:rPr>
          <w:rFonts w:ascii="Times New Roman;Times;Serif" w:hAnsi="Times New Roman;Times;Serif"/>
          <w:b w:val="false"/>
          <w:i w:val="false"/>
          <w:caps w:val="false"/>
          <w:smallCaps w:val="false"/>
          <w:sz w:val="20"/>
          <w:u w:val="single"/>
        </w:rPr>
        <w:t>Reports by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comply with the provisions of Section 314(a) and 314(c) of the TIA. Delivery of such reports, information and documents to the Trustee pursuant to TIA Section 314(a)(1), (2) and/or (3) shall be for informational purposes only and the Trustee’s receipt of such shall not constitute constructive notice of any information contained therein or matters determinable from information contained therein, including the Issuer’s compliance with any of its covenants hereunder (as to which the Trustee is entitled to rely exclusively on Officer’s Certificates provided pursuant to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below). The Trustee is under no duty to examine such reports, information or documents to ensure compliance with the provisions of this Indenture or to ascertain the correctness or otherwise of the information or the statements contained herein, or whether any such reports, information or documents have or have not been provided as required by the TIA. The Trustee is entitled to assume such compliance with the TIA unless a Responsible Officer of the Trustee is informed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6.05.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deliver to the Trustee, within 90 days after the end of each fiscal year, an Officer’s Certificate stating that a review of the activities of the Issuer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such default or Event of Default of which he or she may have knowledge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 long as any of the Notes are outstanding, the Issuer will deliver to the Trustee, forthwith upon any Officer becoming aware of any default or Event of Default,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with respect to receipt of Note payments when due and any default or Event of Default information contained in the Officer’s Certificates delivered to it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the Trustee shall have no duty to review, ascertain or confirm the Issuer’s compliance with, or the breach of any representation, warranty or covenant made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CONSOLIDATION, MERGER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7.01.            </w:t>
      </w:r>
      <w:r>
        <w:rPr>
          <w:rFonts w:ascii="Times New Roman;Times;Serif" w:hAnsi="Times New Roman;Times;Serif"/>
          <w:b w:val="false"/>
          <w:i w:val="false"/>
          <w:caps w:val="false"/>
          <w:smallCaps w:val="false"/>
          <w:sz w:val="20"/>
          <w:u w:val="single"/>
        </w:rPr>
        <w:t>When Issuer May Merge or Transfer Assets</w:t>
      </w:r>
      <w:r>
        <w:rPr>
          <w:rFonts w:ascii="Times New Roman;Times;Serif" w:hAnsi="Times New Roman;Times;Serif"/>
          <w:b w:val="false"/>
          <w:i w:val="false"/>
          <w:caps w:val="false"/>
          <w:smallCaps w:val="false"/>
          <w:sz w:val="20"/>
        </w:rPr>
        <w:t>. The Issuer may not consolidate or merge with or into another entity, or sell, lease, convey, transfer or otherwise dispose of all or substantially all of the Issuer’s and its Subsidiaries’ property and assets (taken as a whole) to another entity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 (a) the Issuer shall be the continuing Person or (b) the Person (if other than the Issuer) formed by such consolidation or into which the Issuer is merged or to which all or substantially all of the properties and assets of the Issuer and its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hereto, executed and delivered to the Trustee, in form satisfactory to the Trustee, all of the obligations of the Issuer under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transaction, no Event of Default, and no default or other event which, after notice or lapse of time or both, would become a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as a result of any consolidation, merger, sale or lease, conveyance or transfer described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properties or assets of the Issuer would become subject to any lien which would not be permitted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without equally and ratably securing the Notes of such series, the Issuer or such successor Person, as the case may be, will take steps as are necessary to effectively secure the Notes of such series equally and ratably with, or prior to, all Indebtedness secured by those liens as and to the extent required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shall have delivered to the Trustee an Officer’s Certificate and an Opinion of Counsel, each stating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7.02.            </w:t>
      </w:r>
      <w:r>
        <w:rPr>
          <w:rFonts w:ascii="Times New Roman;Times;Serif" w:hAnsi="Times New Roman;Times;Serif"/>
          <w:b w:val="false"/>
          <w:i w:val="false"/>
          <w:caps w:val="false"/>
          <w:smallCaps w:val="false"/>
          <w:sz w:val="20"/>
          <w:u w:val="single"/>
        </w:rPr>
        <w:t>Successor Entity Substituted</w:t>
      </w:r>
      <w:r>
        <w:rPr>
          <w:rFonts w:ascii="Times New Roman;Times;Serif" w:hAnsi="Times New Roman;Times;Serif"/>
          <w:b w:val="false"/>
          <w:i w:val="false"/>
          <w:caps w:val="false"/>
          <w:smallCaps w:val="false"/>
          <w:sz w:val="20"/>
        </w:rPr>
        <w:t>. The successor Person formed by such consolidation or into which the Issuer is merged or any successor Person to which such sale, lease, conveyance, transfer or disposition of all or substantially all of its and its Subsidiaries’ assets (taken as a whole) is made, in each case other than a lease, shall succeed to, and be substituted for, and may exercise every right and power of the Issuer under this Indenture with the same effect as if such successor had been named as the Issuer herein; and thereafter the Issuer shall be discharged and released from all obligations and covenants under this Indenture and the Notes. The Trustee shall enter into a supplemental indenture to evidence the succession and substitution of such successor Person and such discharge and release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Without the consent of the Holders of any Notes, the Issuer and the Trustee, at any time and from time to time, may enter into one or more indentures supplemental hereto, in form satisfactory to the Trustee,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evidence the succession of another Person to the Issuer and the assumption by any such successor of the covenants of the Issuer under this Indenture and the Notes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add to the covenants of the Issuer for the benefit of Holders of the Notes or to surrender any right or power conferred upon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add any additional events of default for the benefit of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add to or change any of the provisions of this Indenture as necessary to permit or facilitate the issuance of Notes in bearer form, registrable or not registrable as to principal, and with or without interest coupons, or to permit or facilitate the issuance of Notes in uncertificated form, or relating to the transfer and legending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secure the Notes or to add guarantees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or appoint a successor or separate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cure any ambiguity, defect, mistake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to supplement any of the provisions of this Indenture as necessary to permit or facilitate the Defeasance (whether Legal Defeasance or Covenant Defeasance) or Discharge of any series of Notes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make any other change that would not adversely affect the contractual rights of any Holders of the Notes of the applicable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make any change necessary to comply with any requirement of the Commission in connection with the qualification of this Indenture or any supplemental Indenture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conform any provision in this Indenture, or in the Board Resolution, Officer’s Certificate or supplemental indenture establishing the Notes of any series, or the terms of the Notes of any series, to the prospectus supplement, offering memorandum, offering circular or any other document pursuant to which the Notes of such series were offered;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reflect the issuance of additional Notes of any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val="false"/>
          <w:caps w:val="false"/>
          <w:smallCaps w:val="false"/>
          <w:sz w:val="20"/>
        </w:rPr>
        <w:t>. With the consent of the Holders of not less than a majority in aggregate principal amount of the Outstanding Notes of any series affected by such supplemental indenture (including, without limitation, consents obtained in connection with a purchase of, or tender offer or exchange offer for, such securities), the Issuer and the Trustee, at any time and from time to time, may enter into one or more indentures supplemental hereto for the purpose of adding any provisions to or changing in any manner or eliminating any of the provisions of this Indenture or of any supplemental indenture or of modifying in any manner the rights of the Holders of the Notes of such series under this Indenture; provided however, that no such supplemental indenture shall, without the consent of the Holder of each Outstanding Note of such series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make any change to the percentage of principal amount of Notes the Holders of which must consent to an amendment, modification,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of payment for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amount or extend the stated Maturity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reduce the Redemption Price or repurchase price of any Note, change the date on which any Note is subject to redemption or repurchase (provided that this shall not apply to changes in the notice period for any redemption or repurchase) or add redemption or repurchase provisions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money other than that stated in this Indenture or the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impair the right to institute suit for the enforcement of any payment on or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Notes of any series may waive compliance by the Issuer with certain restrictive provisions of this Indenture with respect to the Notes of such series. The Holders of at least a majority in principal amount of the Outstanding Notes of any series may waive any past default under this Indenture, except a default not theretofore cured in the payment of principal or interest and any covenants and provisions of this Indenture which this Indenture (or the applicable Board Resolution, Officer’s Certificate or supplemental indenture establishing the series of Notes) expressly provides cannot be amended without the consent of the Holder of each Outstanding Note of the applicable series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xml:space="preserve">. In executing, or accepting the additional trusts created by, any supplemental indenture permitted by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the modifications thereby of the trusts created by this Indenture, the Trustee shall be entitled to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be fully protected in relying upon, in addition to the documents required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 Opinion of Counsel stating that the execution of such supplemental indenture is authorized or permitted by this Indenture. Upon request of the Issuer and, in the case of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upon filing with the Trustee of evidence of an Act of Holders as aforementioned, the Trustee shall join with the Issuer in the execution of such supplemental indenture unless such supplemental indenture affects the Trustee’s own rights, powers, trusts,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xml:space="preserve">. Upon the execution of any supplemental indenture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this Indenture shall be and be deemed to be modified and amended in accordance therewith, and such supplemental indenture shall form a part of this Indenture for all purposes; and the respective rights, limitation of rights, duties, powers, trusts and immunities under this Indenture of the Trustee, the Issuer and every Holder of Notes theretofore or thereafter authenticated and delivered hereunder shall be determined, exercised and enforced thereunder to the extent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            </w:t>
      </w:r>
      <w:r>
        <w:rPr>
          <w:rFonts w:ascii="Times New Roman;Times;Serif" w:hAnsi="Times New Roman;Times;Serif"/>
          <w:b w:val="false"/>
          <w:i w:val="false"/>
          <w:caps w:val="false"/>
          <w:smallCaps w:val="false"/>
          <w:sz w:val="20"/>
          <w:u w:val="single"/>
        </w:rPr>
        <w:t>Conformity with Trust Indenture Act</w:t>
      </w:r>
      <w:r>
        <w:rPr>
          <w:rFonts w:ascii="Times New Roman;Times;Serif" w:hAnsi="Times New Roman;Times;Serif"/>
          <w:b w:val="false"/>
          <w:i w:val="false"/>
          <w:caps w:val="false"/>
          <w:smallCaps w:val="false"/>
          <w:sz w:val="20"/>
        </w:rPr>
        <w:t xml:space="preserve">. Every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conform to the requirements of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            </w:t>
      </w:r>
      <w:r>
        <w:rPr>
          <w:rFonts w:ascii="Times New Roman;Times;Serif" w:hAnsi="Times New Roman;Times;Serif"/>
          <w:b w:val="false"/>
          <w:i w:val="false"/>
          <w:caps w:val="false"/>
          <w:smallCaps w:val="false"/>
          <w:sz w:val="20"/>
          <w:u w:val="single"/>
        </w:rPr>
        <w:t>Documents to Be Given to Trustee</w:t>
      </w:r>
      <w:r>
        <w:rPr>
          <w:rFonts w:ascii="Times New Roman;Times;Serif" w:hAnsi="Times New Roman;Times;Serif"/>
          <w:b w:val="false"/>
          <w:i w:val="false"/>
          <w:caps w:val="false"/>
          <w:smallCaps w:val="false"/>
          <w:sz w:val="20"/>
        </w:rPr>
        <w:t xml:space="preserve">. The Trustee, subject to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may receive an Officer’s Certificate and an Opinion of Counsel as conclusive evidence that any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complies with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            </w:t>
      </w:r>
      <w:r>
        <w:rPr>
          <w:rFonts w:ascii="Times New Roman;Times;Serif" w:hAnsi="Times New Roman;Times;Serif"/>
          <w:b w:val="false"/>
          <w:i w:val="false"/>
          <w:caps w:val="false"/>
          <w:smallCaps w:val="false"/>
          <w:sz w:val="20"/>
          <w:u w:val="single"/>
        </w:rPr>
        <w:t>Notation on Notes in Respect of Supplemental Indentures</w:t>
      </w:r>
      <w:r>
        <w:rPr>
          <w:rFonts w:ascii="Times New Roman;Times;Serif" w:hAnsi="Times New Roman;Times;Serif"/>
          <w:b w:val="false"/>
          <w:i w:val="false"/>
          <w:caps w:val="false"/>
          <w:smallCaps w:val="false"/>
          <w:sz w:val="20"/>
        </w:rPr>
        <w:t>. Notes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Notes of any series so modified as to conform to any modification of this Indenture contained in any such supplemental indenture may be prepared by the Issuer, authenticated by the Trustee and delivered in exchange for the Notes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Issuer covenants and agrees for the benefit of each series of Notes that it shall pay or cause to be paid the principal, premium, if any, and interest on such series of Notes on the dates and in the manner provided in such series of Notes, and shall duly comply with all the other terms, agreements and conditions contained in this Indenture for the benefit of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of, and premium, if any, and interest on a Global Note registered in the name of or held by the DTC or its nominee shall be made in immediately available funds to DTC or its nominee, as the case may be, as the Holder of such Global Note. If any of the Notes are no longer represented by a Global Note, payment of interest on certificated Notes in definitive form may, at the option of the Issuer, be made by (i) check mailed directly to Holders at their registered addresses or (ii) upon request of any Holder of at least $1,000,000 principal amount of Notes, wire transfer to an account located in the United States by the payee.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any interest (including any post-petition interest in any proceeding under any Federal or state bankruptcy, insolvency, reorganization, or other similar law) on overdue principal and premium, if any, from time to time on demand at the applicable rate of interest determined from time to time in the manner provided for in each series of Notes; it shall pay interest (including post-petition interest in any proceeding under any Federal or State bankruptcy, insolvency, reorganization, or other similar law) on overdue installments of interest and (without regard to any applicable grace periods) from time to time on demand at the same rates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So long as any of the Notes remain outstanding, the Issuer shall maintain an office or agency in the United States (which initially will be the Corporate Trust Office) where Notes may be presented or surrendered for payment, where Notes may be surrendered for transfer or exchange, and where notices and demands to or upon the Issuer in respect of the Notes and this Indenture may be served. The Issuer shall give prompt written notice to the Trustee of the location, and of any change in the location, of such office or agency. If at any time the Issuer shall fail to maintain such office or agency or shall fail to furnish the Trustee with the address thereof, such presentations, surrenders, notices and demands may be made or served at the Corporate Trust Office of the Trustee, and the Issuer hereby appoints the Trustee its agent to receive all such presentations, surrenders, notices and demands; provided, that the Corporate Trust Office of the Trustee shall not be the office of service of legal process on the Issuer. Upon any insolvency, bankruptcy or reorganization proceedings relating to the Issuer (including, without limitation, its bankruptcy, voluntary or judicial liquidation, composition with creditors, reprieve from payment, controlled management, fraudulent conveyance, general settlement with creditors, reorganization or similar laws affecting the rights of creditors generally), the Trustee shall automatically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also from time to time designate one or more other offices or agencies where one or more series of Notes may be presented or surrendered for any or all such purposes and may from time to time rescind such designations; provided however.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9.03.            </w:t>
      </w:r>
      <w:r>
        <w:rPr>
          <w:rFonts w:ascii="Times New Roman;Times;Serif" w:hAnsi="Times New Roman;Times;Serif"/>
          <w:b w:val="false"/>
          <w:i w:val="false"/>
          <w:caps w:val="false"/>
          <w:smallCaps w:val="false"/>
          <w:sz w:val="20"/>
          <w:u w:val="single"/>
        </w:rPr>
        <w:t>Money for Note Payments to be Held in Trust</w:t>
      </w:r>
      <w:r>
        <w:rPr>
          <w:rFonts w:ascii="Times New Roman;Times;Serif" w:hAnsi="Times New Roman;Times;Serif"/>
          <w:b w:val="false"/>
          <w:i w:val="false"/>
          <w:caps w:val="false"/>
          <w:smallCaps w:val="false"/>
          <w:sz w:val="20"/>
        </w:rPr>
        <w:t>. If the Issuer shall at any time act as its own Paying Agent, it shall, on or before each due date of the principal, premium, if any, or interest on any series of Notes, segregate and hold in trust for the benefit of the Holders of such series of Notes a sum sufficient to pay such principal, premium, if any, or interest so becoming due until such sums shall be paid to such Holders of the Notes of such series or otherwise disposed of as herein provided, and will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it shall, on or prior to (and if on, then before 10:00 a.m. (New York City time)) each due date of the principal, premium, if any, or interest, on any series of Notes, deposit with a Paying Agent a sum sufficient to pay such principal, premium, if any, or interest so becoming due, such sum to be held in trust for the benefit of the Holders of the Notes of such series entitled to the same and (unless such Paying Agent is the Trustee) the Issuer shall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cause each Paying Agent other than the Trustee to execute and deliver to the Trustee an instrument in which such Paying Agent shall agree with the Trustee, subject to the provisions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that such Paying Agent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hold all sums held by it for the payment of principal, premium, if any, or interest, on Notes of any series in trust for the benefit of the Holders of the Notes of such series entitled thereto until such sums shall be paid to such Holders or otherwise disposed 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give the Trustee prompt notice of any default by the Issuer (or any other obligor upon the Notes of such series) in the making of any such payment of principal, premium, if any, or interest, on such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any time during the continuance of any such default, upon the written request of the Trustee, forthwith pay to the Trustee all sums so held in trust by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for the purpose of obtaining the discharge of this Indenture, or a Discharge or Defeasance of a series of Notes, or for any other purpose, pay, or by Company Order direct any Paying Agent to pay, to the Trustee all sums held in trust by the Issuer or such Paying Agent or, if for any other purpose, all sums so held in trust by the Issuer in respect of all series of Notes or Notes of such series, as applicable,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9.04.            </w:t>
      </w:r>
      <w:r>
        <w:rPr>
          <w:rFonts w:ascii="Times New Roman;Times;Serif" w:hAnsi="Times New Roman;Times;Serif"/>
          <w:b w:val="false"/>
          <w:i w:val="false"/>
          <w:caps w:val="false"/>
          <w:smallCaps w:val="false"/>
          <w:sz w:val="20"/>
          <w:u w:val="single"/>
        </w:rPr>
        <w:t>Certificate to Trustee</w:t>
      </w:r>
      <w:r>
        <w:rPr>
          <w:rFonts w:ascii="Times New Roman;Times;Serif" w:hAnsi="Times New Roman;Times;Serif"/>
          <w:b w:val="false"/>
          <w:i w:val="false"/>
          <w:caps w:val="false"/>
          <w:smallCaps w:val="false"/>
          <w:sz w:val="20"/>
        </w:rPr>
        <w:t>. The Issuer shall deliver to the Trustee, within 120 days after the end of each fiscal year of the Issuer ending after the initial issuance of Notes under this Indenture, an Officer’s Certificate that complies with TIA Section 314(a)(4) stating that in the course of the performance by the signers of their duties as officers of the Issuer, they would normally have knowledge of any default by the Issuer in the performance of any of its covenants or agreements contained herein, stating whether or not they have knowledge of any such default and, if so, specifying each such default of which the signers have knowledge and the nature thereof and the actions the Issuer intends to take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Issuer shall do or cause to be done all things necessary to preserve and keep in full force and effect its corporate (or, if not a corporation, other type of entity)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9.06.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The Issuer shall not, and shall not permit any Significant Subsidiary to, create, incur, assume or permit to exist any lien on any property or asset (including the capital stock of any Subsidiary), to secure any Indebtedness of the Issuer, any Significant Subsidiary or any other Person, without securing the Notes equally and ratably with such Indebtedness for so long as such Indebtedness shall be so secured. The foregoing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existing on the date of this Indenture (or the applicable Board Resolution, Officer’s Certificate or supplemental indenture establishing the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to secure any modification, extension, renewal, refinancing, replacement or refunding (or successive modifications, extensions, renewals, refinancings, replacements or refundings), in whole or in part, of any Indebtedness secured by liens referred to in clauses (1) through (3) above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the Issuer’s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liens on property incurred in Sale and Leaseback Transactions permitted by the second paragraph of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liens in favor of only the Issuer or one or more Subsidiaries granted by the Issuer or a Subsidiary to secure any obligations owed to the Issuer or a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on assets of any subsidiary of the Issuer registered or regulated as a “broker” or “dealer” as such terms are defined in Sections 3(a) (4) and (5) of the Exchange Act, as amended, created or otherwise arising in the ordinary course of such Subsidiary’s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customary liens in respect of a deposit for the benefit of a Holder of a series of Notes for a Discharge or Defeasance of such Notes or holders of other Indebtedness for a discharge or defeasance of such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on securities deemed to exist under repurchase agreements and reverse repurchase agreements entered into by the Issuer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in favor of the Trustee granted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the Issuer or any Subsidiary, as applicable, has maintained adequate reserves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attachment or judgment lien in existence less than 60 days after the entry thereof or with respect to which (i) execution has been stayed, (ii) payment is covered in full by insurance, or (iii) the Issuer or any of its Subsidiaries shall in good faith be prosecuting on appeal or proceedings for review and shall have set aside on its books such reserves as may be required by GAAP with respect to such judgment or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liens securing Swap Contracts of the Issuer or any of its Subsidiaries permitted to be incurred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arising out of conditional sale, title retention, consignment or similar arrangements for the sale or purchase of goods entered into by the Issuer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liens on the assets of, or capital stock or other equity interests in, any Subsidiary or any joint venture and which secures Indebtedness or other obligations of such Subsidiary or joint venture (or of another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securing obligations under the Revolving Credit Agreement in an aggregate amount not to exceed $750,000,000;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liens otherwise prohibited by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securing Indebtedness which, together with the value of Attributable Debt incurred in Sale and Leaseback Transactions permitted under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 xml:space="preserve"> below, do not exceed 15.0% of Consolidated Net Tangible Assets measured at the date of incurrence of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9.07.            </w:t>
      </w:r>
      <w:r>
        <w:rPr>
          <w:rFonts w:ascii="Times New Roman;Times;Serif" w:hAnsi="Times New Roman;Times;Serif"/>
          <w:b w:val="false"/>
          <w:i w:val="false"/>
          <w:caps w:val="false"/>
          <w:smallCaps w:val="false"/>
          <w:sz w:val="20"/>
          <w:u w:val="single"/>
        </w:rPr>
        <w:t>Limitation on Sale-Leaseback Transactions</w:t>
      </w:r>
      <w:r>
        <w:rPr>
          <w:rFonts w:ascii="Times New Roman;Times;Serif" w:hAnsi="Times New Roman;Times;Serif"/>
          <w:b w:val="false"/>
          <w:i w:val="false"/>
          <w:caps w:val="false"/>
          <w:smallCaps w:val="false"/>
          <w:sz w:val="20"/>
        </w:rPr>
        <w:t>. The Issuer shall not, and shall not permit any Significant Subsidiary to, enter into any arrangement with any Person pursuant to which the Issuer or any Significant Subsidiary leases any property that has been or is to be sold or transferred by the Issuer or the Significant Subsidiary to such Person (a “</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except that a Sale and Leaseback Transaction is permitted if the Issuer or such Significant Subsidiary would be entitled to incur Indebtedness secured by a lien on the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temporary leases for a term, including renewals at the option of the lessee, of not more than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leases between only the Issuer and one or more Subsidiaries of the Issuer or only between or among Subsidiaries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leases where the proceeds are at least equal to the fair market value (as determined by the Board of Directors) of the property and the Issuer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leases of property executed by the time of, or within 12 months after the latest of, the acquisition, the completion of construction or improvement, or the commencement of commercial operation of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REDEMPTION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10.01.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permitted to optionally redeem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may, with respect to any series of Notes, reserve the right to redeem and pay the Notes of such series, or any part thereof, prior to the Maturity Date thereof at such time and on such terms as provided for with respect to such series of Notes. If a series of Notes is redeemable and the Issuer wants to redeem prior to the Maturity Date thereof all or part of the Notes of such series pursuant to the terms of such Notes, it shall notify the Trustee of the paragraph of the Notes and/or Section of this Indenture (or Board Resolution, supplemental indenture or Officers’ Certificate) pursuant to which the redemption shall occur and of the information set forth in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below. Notice of redemption of Notes of a series shall be given by the Issuer or, at the Issuer’s request, by the Trustee in the name and at the expense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redemption to the Holders of Notes of any series to be redeemed as a whole or in part at the option of the Issuer shall be given by first-class mail, postage prepaid, mailed or otherwise delivered electronically or in accordance with the procedures or DTC to holders of Global Notes, with a copy to the Trustee, not fewer than 10 nor more than 60 days (unless in connection with a Discharge or Defeasance) prior to the applicable date specified for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to each such Holder at such Holder’s last address appearing in the Security Register (or by electronic delivery or pursuant to the applicable procedures of the Depositary). All notices of redemption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or if not then ascertainable, the manner of calculating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fewer than all outstanding Notes of a series are to be redeemed, the identification (and, in the case of partial redemption, the respective principal amounts) of the Notes of such series to be redeemed from the Holder to whom the notice is given and that on and after the Redemption Date, subject to the waiver by the Issuer in its sole discretion or the satisfaction of any conditions precedent to such redemption, upon surrender of such Note, a new Note or Notes in the aggregate principal amount equal to the unredeemed portion thereof shall be issued in accordance with </w:t>
      </w:r>
      <w:r>
        <w:rPr>
          <w:rFonts w:ascii="Times New Roman;Times;Serif" w:hAnsi="Times New Roman;Times;Serif"/>
          <w:b w:val="false"/>
          <w:i w:val="false"/>
          <w:caps w:val="false"/>
          <w:smallCaps w:val="false"/>
          <w:sz w:val="20"/>
          <w:u w:val="single"/>
        </w:rPr>
        <w:t>Section 10.01(e)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subject to the waiver by the Issuer in its sole discretion or the satisfaction of any conditions precedent to such redemption, on the Redemption Date the Redemption Price shall become due and payable upon each Note called for redemption, and that interest, if any, thereon shall cease to accrue from and after said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place where Notes called for redemption are to be surrendered for payment of the Redemption Price, which shall be the office or agency maintained by the Issuer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the Notes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and/or ISIN number, and that no representation is made as to the correctness or accuracy of the CUSIP and/or ISIN number, if any, listed in such notice or printed on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conditions precedent to such redemption and, that in the Issuer’s discretion, the Redemption Date may be delayed until such time (including more than 60 days after the date the notice of redemption was sent)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or such notice may be rescinded at any time in the Issuer’s sole discretion if in the good faith judgement of the Issuer any or all of such conditions will not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10:00 a.m., New York City time, on any Redemption Date, the Issuer shall deposit with the Trustee or with a Paying Agent (or, if the Issuer is acting as its own Paying Agent, segregate and hold in trust as provided in this Indenture) an amount of money sufficient to pay the Redemption Price of, and any accrued interest on, all the Notes which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Notice of redemption having been given as aforesaid, subject to the waiver by the Issuer in its sole discretion or the satisfaction of any conditions precedent to such redemption, the Notes (or portions thereof) so to be redeemed shall, on the Redemption Date, become due and payable at the Redemption Price plus accrued and unpaid interest to, but not including, the Redemption Date therein specified and from and after such date (unless the Issuer shall default in the payment of the Redemption Price) such Notes shall cease to bear interest. Any installment of interest due and payable on or prior to the Redemption Date with respect to any Notes so called for redemption shall be payable to the Holders of such Notes registered as such on the relevant Record Date according to the terms and the provisions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this Indenture. If any Note called for redemption shall not be so paid upon surrender thereof for redemption, the principal shall, until paid, bear interest from the Redemption Date at the rate prescribed therefor by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Note that is to be redeemed only in part shall be surrendered at the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of this Indenture (with, if the Issuer or the Trustee so requires, due endorsement by, or a written instrument of transfer in form reasonably satisfactory to the Issuer and the Trustee duly executed by, the Holder thereof or the Holder’s attorney duly authorized in writing) and the Issuer shall execute and the Trustee shall authenticate and deliver to the Holder of such Note without service charge and at the expense of the Issuer, a new Note or Notes, of any authorized denomination as requested by such Holder in aggregate principal amount equal to and in exchange for the unredeemed portion of the principal of such Note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fewer than all the Notes of a series are to be redeemed, the particular Notes to be redeemed shall be selected not more than 60 days prior to the Redemption Date by the Trustee from the outstanding Notes of such series not previously called for redemption, pro rata, by lot or by such other method as the Trustee shall deem fair and appropriate and in accordance with the applicable procedures of the Depositary in the case of Global Notes, and may provide for the selection for redemption of portions (equal to the minimum authorized denomination for the Notes of such series or any integral multiple thereof) of the principal amount of Notes of such series of a denomination larger than the minimum authorized denomination for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promptly notify the Issuer in writing of the Notes of such series selected for redemption and, in the case of any Notes selected for partial redemption, the principal amount thereof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all provisions relating to the redemption of Notes of a series shall relate, in the case of any Note redeemed or to be redeemed only in part, to the portion of the principal of such Note which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10.02.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required to make mandatory redemption or sinking fund payments with respect to the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75"/>
        <w:gridCol w:w="365"/>
        <w:gridCol w:w="650"/>
        <w:gridCol w:w="4745"/>
      </w:tblGrid>
      <w:tr>
        <w:trPr/>
        <w:tc>
          <w:tcPr>
            <w:tcW w:w="75" w:type="dxa"/>
            <w:tcBorders/>
            <w:vAlign w:val="center"/>
          </w:tcPr>
          <w:p>
            <w:pPr>
              <w:pStyle w:val="TableContents"/>
              <w:bidi w:val="0"/>
              <w:spacing w:before="0" w:after="283"/>
              <w:jc w:val="left"/>
              <w:rPr>
                <w:sz w:val="4"/>
                <w:szCs w:val="4"/>
              </w:rPr>
            </w:pPr>
            <w:r>
              <w:rPr>
                <w:sz w:val="4"/>
                <w:szCs w:val="4"/>
              </w:rPr>
            </w:r>
          </w:p>
        </w:tc>
        <w:tc>
          <w:tcPr>
            <w:tcW w:w="5760" w:type="dxa"/>
            <w:gridSpan w:val="3"/>
            <w:tcBorders/>
            <w:vAlign w:val="center"/>
          </w:tcPr>
          <w:p>
            <w:pPr>
              <w:pStyle w:val="TableContents"/>
              <w:bidi w:val="0"/>
              <w:spacing w:before="0" w:after="283"/>
              <w:jc w:val="left"/>
              <w:rPr/>
            </w:pPr>
            <w:r>
              <w:rPr/>
              <w:t>SKYWORKS SOLUTIONS,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39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745" w:type="dxa"/>
            <w:tcBorders/>
            <w:vAlign w:val="center"/>
          </w:tcPr>
          <w:p>
            <w:pPr>
              <w:pStyle w:val="TableContents"/>
              <w:bidi w:val="0"/>
              <w:spacing w:before="0" w:after="283"/>
              <w:jc w:val="left"/>
              <w:rPr/>
            </w:pPr>
            <w:r>
              <w:rPr/>
              <w:t>Philip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75"/>
        <w:gridCol w:w="2079"/>
        <w:gridCol w:w="4027"/>
        <w:gridCol w:w="1427"/>
      </w:tblGrid>
      <w:tr>
        <w:trPr/>
        <w:tc>
          <w:tcPr>
            <w:tcW w:w="75" w:type="dxa"/>
            <w:tcBorders/>
            <w:vAlign w:val="center"/>
          </w:tcPr>
          <w:p>
            <w:pPr>
              <w:pStyle w:val="TableContents"/>
              <w:bidi w:val="0"/>
              <w:spacing w:before="0" w:after="283"/>
              <w:jc w:val="left"/>
              <w:rPr>
                <w:sz w:val="4"/>
                <w:szCs w:val="4"/>
              </w:rPr>
            </w:pPr>
            <w:r>
              <w:rPr>
                <w:sz w:val="4"/>
                <w:szCs w:val="4"/>
              </w:rPr>
            </w:r>
          </w:p>
        </w:tc>
        <w:tc>
          <w:tcPr>
            <w:tcW w:w="7533" w:type="dxa"/>
            <w:gridSpan w:val="3"/>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 </w:t>
            </w:r>
          </w:p>
        </w:tc>
        <w:tc>
          <w:tcPr>
            <w:tcW w:w="402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By:</w:t>
            </w:r>
          </w:p>
        </w:tc>
        <w:tc>
          <w:tcPr>
            <w:tcW w:w="54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 </w:t>
            </w:r>
          </w:p>
        </w:tc>
        <w:tc>
          <w:tcPr>
            <w:tcW w:w="4027" w:type="dxa"/>
            <w:tcBorders/>
            <w:vAlign w:val="center"/>
          </w:tcPr>
          <w:p>
            <w:pPr>
              <w:pStyle w:val="TableContents"/>
              <w:bidi w:val="0"/>
              <w:spacing w:before="0" w:after="283"/>
              <w:jc w:val="left"/>
              <w:rPr/>
            </w:pPr>
            <w:r>
              <w:rPr/>
              <w:t>Name:</w:t>
            </w:r>
          </w:p>
        </w:tc>
        <w:tc>
          <w:tcPr>
            <w:tcW w:w="1427"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 </w:t>
            </w:r>
          </w:p>
        </w:tc>
        <w:tc>
          <w:tcPr>
            <w:tcW w:w="4027" w:type="dxa"/>
            <w:tcBorders/>
            <w:vAlign w:val="center"/>
          </w:tcPr>
          <w:p>
            <w:pPr>
              <w:pStyle w:val="TableContents"/>
              <w:bidi w:val="0"/>
              <w:spacing w:before="0" w:after="283"/>
              <w:jc w:val="left"/>
              <w:rPr/>
            </w:pPr>
            <w:r>
              <w:rPr/>
              <w:t>Title:</w:t>
            </w:r>
          </w:p>
        </w:tc>
        <w:tc>
          <w:tcPr>
            <w:tcW w:w="142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9" w:name="tm2620808d5_ex5-1.htm"/>
      <w:bookmarkStart w:id="20" w:name="kstm2620808d5_ex51"/>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4085"/>
        <w:gridCol w:w="1790"/>
      </w:tblGrid>
      <w:tr>
        <w:trPr/>
        <w:tc>
          <w:tcPr>
            <w:tcW w:w="4085" w:type="dxa"/>
            <w:tcBorders/>
            <w:vAlign w:val="center"/>
          </w:tcPr>
          <w:p>
            <w:pPr>
              <w:pStyle w:val="TableContents"/>
              <w:bidi w:val="0"/>
              <w:spacing w:before="0" w:after="283"/>
              <w:jc w:val="center"/>
              <w:rPr>
                <w:sz w:val="20"/>
              </w:rPr>
            </w:pPr>
            <w:r>
              <w:rPr>
                <w:smallCaps/>
                <w:sz w:val="20"/>
              </w:rPr>
              <w:t>Skadden, Arps, Slate, Meagher &amp; Flom llp</w:t>
            </w:r>
            <w:r>
              <w:rPr>
                <w:sz w:val="20"/>
              </w:rPr>
              <w:t>  </w:t>
            </w:r>
          </w:p>
        </w:tc>
        <w:tc>
          <w:tcPr>
            <w:tcW w:w="17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center"/>
              <w:rPr>
                <w:caps/>
                <w:sz w:val="20"/>
              </w:rPr>
            </w:pPr>
            <w:r>
              <w:rPr>
                <w:caps/>
                <w:sz w:val="20"/>
              </w:rPr>
              <w:t>One Manhattan West</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FIRM/AFFILIATE</w:t>
            </w:r>
          </w:p>
        </w:tc>
      </w:tr>
      <w:tr>
        <w:trPr/>
        <w:tc>
          <w:tcPr>
            <w:tcW w:w="4085" w:type="dxa"/>
            <w:tcBorders/>
            <w:vAlign w:val="center"/>
          </w:tcPr>
          <w:p>
            <w:pPr>
              <w:pStyle w:val="TableContents"/>
              <w:bidi w:val="0"/>
              <w:spacing w:before="0" w:after="283"/>
              <w:jc w:val="center"/>
              <w:rPr>
                <w:caps/>
                <w:sz w:val="20"/>
              </w:rPr>
            </w:pPr>
            <w:r>
              <w:rPr>
                <w:caps/>
                <w:sz w:val="20"/>
              </w:rPr>
              <w:t>New York, NY 10001</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w:t>
            </w:r>
          </w:p>
        </w:tc>
      </w:tr>
      <w:tr>
        <w:trPr/>
        <w:tc>
          <w:tcPr>
            <w:tcW w:w="4085" w:type="dxa"/>
            <w:tcBorders/>
            <w:vAlign w:val="center"/>
          </w:tcPr>
          <w:p>
            <w:pPr>
              <w:pStyle w:val="TableContents"/>
              <w:bidi w:val="0"/>
              <w:spacing w:before="0" w:after="283"/>
              <w:jc w:val="center"/>
              <w:rPr>
                <w:sz w:val="20"/>
              </w:rPr>
            </w:pPr>
            <w:r>
              <w:rPr>
                <w:sz w:val="20"/>
              </w:rPr>
              <w:t>-------</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4085" w:type="dxa"/>
            <w:tcBorders/>
            <w:vAlign w:val="center"/>
          </w:tcPr>
          <w:p>
            <w:pPr>
              <w:pStyle w:val="TableContents"/>
              <w:bidi w:val="0"/>
              <w:spacing w:before="0" w:after="283"/>
              <w:jc w:val="center"/>
              <w:rPr>
                <w:sz w:val="20"/>
              </w:rPr>
            </w:pPr>
            <w:r>
              <w:rPr>
                <w:sz w:val="20"/>
              </w:rPr>
              <w:t>TEL: (212) 735-3000</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w:t>
            </w:r>
          </w:p>
        </w:tc>
      </w:tr>
      <w:tr>
        <w:trPr/>
        <w:tc>
          <w:tcPr>
            <w:tcW w:w="4085" w:type="dxa"/>
            <w:tcBorders/>
            <w:vAlign w:val="center"/>
          </w:tcPr>
          <w:p>
            <w:pPr>
              <w:pStyle w:val="TableContents"/>
              <w:bidi w:val="0"/>
              <w:spacing w:before="0" w:after="283"/>
              <w:jc w:val="center"/>
              <w:rPr>
                <w:sz w:val="20"/>
              </w:rPr>
            </w:pPr>
            <w:r>
              <w:rPr>
                <w:sz w:val="20"/>
              </w:rPr>
              <w:t>FAX: (212) 735-2000</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w:t>
            </w:r>
          </w:p>
        </w:tc>
      </w:tr>
      <w:tr>
        <w:trPr/>
        <w:tc>
          <w:tcPr>
            <w:tcW w:w="4085" w:type="dxa"/>
            <w:tcBorders/>
            <w:vAlign w:val="center"/>
          </w:tcPr>
          <w:p>
            <w:pPr>
              <w:pStyle w:val="TableContents"/>
              <w:bidi w:val="0"/>
              <w:spacing w:before="0" w:after="283"/>
              <w:jc w:val="center"/>
              <w:rPr>
                <w:sz w:val="20"/>
              </w:rPr>
            </w:pPr>
            <w:r>
              <w:rPr>
                <w:sz w:val="20"/>
              </w:rPr>
              <w:t>www.skadden.com</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5" w:type="dxa"/>
            <w:tcBorders/>
            <w:vAlign w:val="center"/>
          </w:tcPr>
          <w:p>
            <w:pPr>
              <w:pStyle w:val="TableContents"/>
              <w:bidi w:val="0"/>
              <w:spacing w:before="0" w:after="283"/>
              <w:jc w:val="center"/>
              <w:rPr>
                <w:sz w:val="20"/>
              </w:rPr>
            </w:pPr>
            <w:r>
              <w:rPr>
                <w:sz w:val="20"/>
              </w:rPr>
              <w:t>August 3, 2026</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BRUSSELS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FRANKFURT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t>
            </w:r>
          </w:p>
        </w:tc>
      </w:tr>
      <w:tr>
        <w:trPr/>
        <w:tc>
          <w:tcPr>
            <w:tcW w:w="4085"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 </w:t>
            </w:r>
          </w:p>
        </w:tc>
      </w:tr>
      <w:tr>
        <w:trPr/>
        <w:tc>
          <w:tcPr>
            <w:tcW w:w="408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 </w:t>
            </w:r>
          </w:p>
        </w:tc>
      </w:tr>
      <w:tr>
        <w:trPr/>
        <w:tc>
          <w:tcPr>
            <w:tcW w:w="408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 </w:t>
            </w:r>
          </w:p>
        </w:tc>
      </w:tr>
      <w:tr>
        <w:trPr/>
        <w:tc>
          <w:tcPr>
            <w:tcW w:w="408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SEOUL </w:t>
            </w:r>
          </w:p>
        </w:tc>
      </w:tr>
      <w:tr>
        <w:trPr/>
        <w:tc>
          <w:tcPr>
            <w:tcW w:w="4085" w:type="dxa"/>
            <w:tcBorders/>
            <w:vAlign w:val="center"/>
          </w:tcPr>
          <w:p>
            <w:pPr>
              <w:pStyle w:val="TableContents"/>
              <w:bidi w:val="0"/>
              <w:spacing w:before="0" w:after="283"/>
              <w:jc w:val="left"/>
              <w:rPr>
                <w:sz w:val="20"/>
              </w:rPr>
            </w:pPr>
            <w:r>
              <w:rPr>
                <w:sz w:val="20"/>
              </w:rPr>
              <w:t>Skyworks Solutions, Inc.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w:t>
            </w:r>
          </w:p>
        </w:tc>
      </w:tr>
      <w:tr>
        <w:trPr/>
        <w:tc>
          <w:tcPr>
            <w:tcW w:w="4085" w:type="dxa"/>
            <w:tcBorders/>
            <w:vAlign w:val="center"/>
          </w:tcPr>
          <w:p>
            <w:pPr>
              <w:pStyle w:val="TableContents"/>
              <w:bidi w:val="0"/>
              <w:spacing w:before="0" w:after="283"/>
              <w:jc w:val="left"/>
              <w:rPr>
                <w:sz w:val="20"/>
              </w:rPr>
            </w:pPr>
            <w:r>
              <w:rPr>
                <w:sz w:val="20"/>
              </w:rPr>
              <w:t>5260 California Avenue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w:t>
            </w:r>
          </w:p>
        </w:tc>
      </w:tr>
      <w:tr>
        <w:trPr/>
        <w:tc>
          <w:tcPr>
            <w:tcW w:w="4085" w:type="dxa"/>
            <w:tcBorders/>
            <w:vAlign w:val="center"/>
          </w:tcPr>
          <w:p>
            <w:pPr>
              <w:pStyle w:val="TableContents"/>
              <w:bidi w:val="0"/>
              <w:spacing w:before="0" w:after="283"/>
              <w:jc w:val="left"/>
              <w:rPr>
                <w:sz w:val="20"/>
              </w:rPr>
            </w:pPr>
            <w:r>
              <w:rPr>
                <w:sz w:val="20"/>
              </w:rPr>
              <w:t>Irvine, California 92617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w:t>
            </w:r>
          </w:p>
        </w:tc>
      </w:tr>
    </w:tbl>
    <w:p>
      <w:pPr>
        <w:pStyle w:val="TextBody"/>
        <w:bidi w:val="0"/>
        <w:spacing w:before="0" w:after="0"/>
        <w:ind w:left="0" w:right="0" w:hanging="0"/>
        <w:jc w:val="center"/>
        <w:rPr>
          <w:caps w:val="false"/>
          <w:smallCaps w:val="false"/>
        </w:rPr>
      </w:pPr>
      <w:r>
        <w:rPr>
          <w:caps w:val="false"/>
          <w:smallCaps w:val="false"/>
        </w:rPr>
        <w:t> </w:t>
      </w:r>
    </w:p>
    <w:tbl>
      <w:tblPr>
        <w:tblW w:w="3300" w:type="dxa"/>
        <w:jc w:val="left"/>
        <w:tblInd w:w="0" w:type="dxa"/>
        <w:tblLayout w:type="fixed"/>
        <w:tblCellMar>
          <w:top w:w="0" w:type="dxa"/>
          <w:left w:w="0" w:type="dxa"/>
          <w:bottom w:w="0" w:type="dxa"/>
          <w:right w:w="0" w:type="dxa"/>
        </w:tblCellMar>
      </w:tblPr>
      <w:tblGrid>
        <w:gridCol w:w="80"/>
        <w:gridCol w:w="305"/>
        <w:gridCol w:w="2915"/>
      </w:tblGrid>
      <w:tr>
        <w:trPr/>
        <w:tc>
          <w:tcPr>
            <w:tcW w:w="8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r>
            <w:r>
              <w:rPr>
                <w:rFonts w:ascii="Times New Roman;Times;Serif" w:hAnsi="Times New Roman;Times;Serif"/>
                <w:b w:val="false"/>
                <w:i w:val="false"/>
                <w:caps w:val="false"/>
                <w:smallCaps w:val="false"/>
                <w:sz w:val="20"/>
                <w:u w:val="single"/>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Skyworks Solutions, Inc., a Delaware corporation (the “Company”), in connection with the registration statement on Form S-3ASR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$0.25 per share, of the Company (“Common Stock”), (ii) debt securities of the Company (“Debt Securities”), which may be issued in one or more series under an indenture (the “Indenture”) proposed to be entered into by the Company and the trustee to be named therein, the form of which is filed as an exhibit to the Registration Statement and (iii) such indeterminate number of shares of Common Stock, and such indeterminate amount of Debt Securities as may be issued upon conversion, exchange or exercise, as applicable, of any Debt Securities (collectively, “Indeterminate Securities”). The Common Stock, Debt Securities and Indeterminate Securities offered pursuant to the Registration Statement are collectively referred to herein as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Skyworks Solutions,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form of Indenture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copy of a certificate of Robert J. Terry, Corporate Secretary of the Company, dated the date hereof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copy of the Company’s Restated Certificate of Incorporation, as amended, certified by the Secretary of State of the State of Delaware as of July 31, 2026, and certified pursuant to the Secretary’s Certificate as being in effect on the date of the resolutions referred to below and as of the date hereof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copy of the Company’s Fourth Amended and Restated By-laws, as in effect as of the date hereof and certified pursuant to the Secretary’s Certificate as being in effect on the date of the resolutions referred to below and as of the date hereof (the “By-laws”);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copy of certain resolutions of the Board of Directors of the Company, adopted on July 27, 2026, certified pursuant to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(i) the laws of the State of New York and (ii) the General Corporation Law of the State of Delaware (the “DGCL”) (all of the foregoing being referred to as “Opined-on Law”). The Securities may be issued from time to time on a delayed or continuous basis, and this opinion letter is limited to the laws, including the rules and regulations, as in effect on the date hereof, which laws are subject to change with possible retroactive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“Transaction Documents” means the Indenture and any supplemental indentures and officer’s certificates establishing the terms of the Debt Securities pursuant thereto, and any applicable underwriting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Skyworks Solutions,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stated in paragraphs 1 and 2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so as not to violate any applicable law, the Certificate of Incorporation or the By-laws,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any shares of Common Stock offered by the Company (the “Offered Common Stock”), when (a) the general conditions shall have been satisfied, (b) if the Offered Common Stock is to be certificated, certificates in the form required under the DGCL representing the shares of Offered Common Stock are duly executed and countersigned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any series of Debt Securities offered by the Company, including any Indeterminate Securities constituting Debt Securities of such series (the “Offered Debt Securities”),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Skyworks Solutions,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stated herein are subject to the following assumptions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we do not express any opinion with respect to the enforceability of any provision of any Transaction Document to the extent that such section purports to bind the Company to the exclusive jurisdiction of any particular federal court or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Skyworks Solutions,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have assumed that the Indenture will be duly authorized, executed and delivered by the trustee in substantially the forms reviewed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subsequent to the effectiveness of the Indenture and immediately prior to the issuance of any series of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this opinion letter shall be interpreted in accordance with customary practice of United States lawyers who regularly give opinions in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we have assumed that the laws of the State of New York will be chosen to govern any Transaction Documents entered into subsequent to the date hereof and that such choice is and will be a valid and legal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we do not express any opinion as to the creation, validity, perfection or priority of any security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opinions we have also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Skyworks Solutions,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80"/>
        <w:gridCol w:w="3785"/>
      </w:tblGrid>
      <w:tr>
        <w:trPr/>
        <w:tc>
          <w:tcPr>
            <w:tcW w:w="8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1" w:name="tm2620808d5_ex23-1.htm"/>
      <w:bookmarkStart w:id="22" w:name="kstm2620808d5_ex231"/>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November 7, 2025, with respect to the consolidated financial statements of Skyworks Solutions, Inc.,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220"/>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b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3" w:name="tm2620808d5_ex23-2.htm"/>
      <w:bookmarkStart w:id="24" w:name="kstm2620808d5_ex232"/>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Skyworks Solutions, Inc. for the offer of notes by Skyworks Solutions, Inc. and to the incorporation by reference therein of our reports dated May 8, 2026, with respect to the consolidated financial statements of Qorvo, Inc. and subsidiaries, and the effectiveness of internal control over financial reporting of Qorvo, Inc. and subsidiaries, included in Skyworks Solutions, Inc.’s Current Report on Form 8-K dated May 20,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5" w:name="tm2620808d5_ex25-1.htm"/>
      <w:bookmarkStart w:id="26" w:name="kstm2620808d5_ex25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smallCaps/>
          <w:color w:val="000000"/>
          <w:sz w:val="28"/>
        </w:rPr>
        <w:t>securities and exchange commission</w:t>
      </w:r>
      <w:r>
        <w:rPr>
          <w:rFonts w:ascii="Times New Roman;Times;Serif" w:hAnsi="Times New Roman;Times;Serif"/>
          <w:b w:val="false"/>
          <w:i w:val="false"/>
          <w:caps w:val="false"/>
          <w:smallCaps w:val="false"/>
          <w:color w:val="000000"/>
          <w:sz w:val="28"/>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Washington, D.C. 20549</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60" w:after="60"/>
        <w:ind w:left="60" w:right="60" w:hanging="0"/>
        <w:jc w:val="left"/>
        <w:rPr>
          <w:color w:val="000000"/>
          <w:bdr w:val="single" w:sz="8" w:space="1" w:color="000000"/>
        </w:rPr>
      </w:pPr>
      <w:r>
        <w:rPr>
          <w:color w:val="000000"/>
          <w:bdr w:val="single" w:sz="8"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FORM T-1</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00000"/>
          <w:sz w:val="20"/>
        </w:rPr>
        <w:t>Statement of Eligibility Under</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00000"/>
          <w:sz w:val="20"/>
        </w:rPr>
        <w:t>The Trust Indenture Act of 1939 of a</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00000"/>
          <w:sz w:val="20"/>
        </w:rPr>
        <w:t>Corporation Designated to Act as Trustee</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Check if an Application to Determine Eligibility of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Trustee Pursuant to Section 305(b)(2)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_______________________________________________________</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color w:val="000000"/>
          <w:sz w:val="28"/>
        </w:rPr>
        <w:t>U.S. BANK TRUST COMPANY, NATIONAL ASSOCIATION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Trustee as specified in its charter)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91-1821036</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 Identification No.</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135" w:type="dxa"/>
        <w:jc w:val="left"/>
        <w:tblInd w:w="-10" w:type="dxa"/>
        <w:tblLayout w:type="fixed"/>
        <w:tblCellMar>
          <w:top w:w="28" w:type="dxa"/>
          <w:left w:w="28" w:type="dxa"/>
          <w:bottom w:w="28" w:type="dxa"/>
          <w:right w:w="2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color w:val="000000"/>
              </w:rPr>
            </w:pPr>
            <w:r>
              <w:rPr>
                <w:color w:val="000000"/>
              </w:rPr>
              <w:t>200 South 6</w:t>
            </w:r>
            <w:r>
              <w:rPr>
                <w:color w:val="000000"/>
                <w:position w:val="8"/>
                <w:sz w:val="19"/>
              </w:rPr>
              <w:t>th</w:t>
            </w:r>
            <w:r>
              <w:rPr>
                <w:color w:val="000000"/>
              </w:rPr>
              <w:t xml:space="preserve"> Street </w:t>
              <w:b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color w:val="000000"/>
              </w:rPr>
            </w:pPr>
            <w:r>
              <w:rPr>
                <w:color w:val="000000"/>
              </w:rPr>
              <w:t>55402</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(Zip Code)</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Bradley E. Scarbrough</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U.S.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633 West 5</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Street, 24</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Floor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Los Angeles, CA 90071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(213) 615-6047</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address and telephone number of agent for service)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z w:val="28"/>
        </w:rPr>
        <w:t>Skyworks Solutions, Inc.</w:t>
      </w:r>
      <w:r>
        <w:rPr>
          <w:rFonts w:ascii="Times New Roman;Times;Serif" w:hAnsi="Times New Roman;Times;Serif"/>
          <w:b w:val="false"/>
          <w:i w:val="false"/>
          <w:caps w:val="false"/>
          <w:smallCaps w:val="false"/>
          <w:color w:val="000000"/>
          <w:sz w:val="28"/>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(Issuer with respect to the Securities)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7795" w:type="dxa"/>
        <w:jc w:val="left"/>
        <w:tblInd w:w="-10" w:type="dxa"/>
        <w:tblLayout w:type="fixed"/>
        <w:tblCellMar>
          <w:top w:w="28" w:type="dxa"/>
          <w:left w:w="28" w:type="dxa"/>
          <w:bottom w:w="28" w:type="dxa"/>
          <w:right w:w="2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04-2302115</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(I.R.S. Employer Identification No.)</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4195" w:type="dxa"/>
        <w:jc w:val="left"/>
        <w:tblInd w:w="-10" w:type="dxa"/>
        <w:tblLayout w:type="fixed"/>
        <w:tblCellMar>
          <w:top w:w="28" w:type="dxa"/>
          <w:left w:w="28" w:type="dxa"/>
          <w:bottom w:w="28" w:type="dxa"/>
          <w:right w:w="2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color w:val="000000"/>
              </w:rPr>
            </w:pPr>
            <w:r>
              <w:rPr>
                <w:color w:val="000000"/>
              </w:rPr>
              <w:t xml:space="preserve">5260 California Avenue </w:t>
              <w:br/>
              <w:t>Irvine, California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color w:val="000000"/>
              </w:rPr>
            </w:pPr>
            <w:r>
              <w:rPr>
                <w:color w:val="000000"/>
              </w:rPr>
              <w:t>92617</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 GENERAL INFORMATION</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Furnish the following information as to the Trustee.</w:t>
      </w:r>
    </w:p>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0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7985" w:type="dxa"/>
            <w:tcBorders/>
            <w:vAlign w:val="center"/>
          </w:tcPr>
          <w:p>
            <w:pPr>
              <w:pStyle w:val="TableContents"/>
              <w:bidi w:val="0"/>
              <w:spacing w:before="0" w:after="283"/>
              <w:jc w:val="left"/>
              <w:rPr>
                <w:i/>
              </w:rPr>
            </w:pPr>
            <w:r>
              <w:rPr>
                <w:i/>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8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b)</w:t>
            </w:r>
          </w:p>
        </w:tc>
        <w:tc>
          <w:tcPr>
            <w:tcW w:w="5630" w:type="dxa"/>
            <w:tcBorders/>
            <w:vAlign w:val="center"/>
          </w:tcPr>
          <w:p>
            <w:pPr>
              <w:pStyle w:val="TableContents"/>
              <w:bidi w:val="0"/>
              <w:spacing w:before="0" w:after="283"/>
              <w:jc w:val="both"/>
              <w:rPr>
                <w:i/>
              </w:rPr>
            </w:pPr>
            <w:r>
              <w:rPr>
                <w:i/>
              </w:rPr>
              <w:t>Whether it is authorized to exercise corporate trust powers.</w:t>
            </w:r>
          </w:p>
        </w:tc>
      </w:tr>
    </w:tbl>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2. AFFILIATIONS WITH THE OBLIGOR. </w:t>
      </w:r>
      <w:r>
        <w:rPr>
          <w:rFonts w:ascii="Times New Roman;Times;Serif" w:hAnsi="Times New Roman;Times;Serif"/>
          <w:b w:val="false"/>
          <w:i/>
          <w:caps w:val="false"/>
          <w:smallCaps w:val="false"/>
          <w:sz w:val="20"/>
        </w:rPr>
        <w:t>If the obligor is an affiliate of the Trustee, describe each such affiliation.</w:t>
      </w:r>
      <w:r>
        <w:rPr>
          <w:rFonts w:ascii="Times New Roman;Times;Serif" w:hAnsi="Times New Roman;Times;Serif"/>
          <w:b w:val="false"/>
          <w:i w:val="false"/>
          <w:caps w:val="false"/>
          <w:smallCaps w:val="false"/>
          <w:sz w:val="20"/>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28"/>
        <w:gridCol w:w="9439"/>
      </w:tblGrid>
      <w:tr>
        <w:trPr/>
        <w:tc>
          <w:tcPr>
            <w:tcW w:w="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b/>
                <w:sz w:val="20"/>
              </w:rPr>
            </w:pPr>
            <w:r>
              <w:rPr>
                <w:b/>
                <w:sz w:val="20"/>
              </w:rPr>
              <w:t>Items 3-15</w:t>
            </w:r>
          </w:p>
        </w:tc>
        <w:tc>
          <w:tcPr>
            <w:tcW w:w="9439" w:type="dxa"/>
            <w:tcBorders/>
            <w:vAlign w:val="center"/>
          </w:tcPr>
          <w:p>
            <w:pPr>
              <w:pStyle w:val="TableContents"/>
              <w:bidi w:val="0"/>
              <w:spacing w:before="0" w:after="283"/>
              <w:jc w:val="both"/>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84"/>
        <w:gridCol w:w="9483"/>
      </w:tblGrid>
      <w:tr>
        <w:trPr/>
        <w:tc>
          <w:tcPr>
            <w:tcW w:w="3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b/>
                <w:sz w:val="20"/>
              </w:rPr>
            </w:pPr>
            <w:r>
              <w:rPr>
                <w:b/>
                <w:sz w:val="20"/>
              </w:rPr>
              <w:t>Item 16.</w:t>
            </w:r>
          </w:p>
        </w:tc>
        <w:tc>
          <w:tcPr>
            <w:tcW w:w="9483" w:type="dxa"/>
            <w:tcBorders/>
            <w:vAlign w:val="center"/>
          </w:tcPr>
          <w:p>
            <w:pPr>
              <w:pStyle w:val="TableContents"/>
              <w:bidi w:val="0"/>
              <w:spacing w:before="0" w:after="283"/>
              <w:jc w:val="both"/>
              <w:rPr/>
            </w:pPr>
            <w:r>
              <w:rPr>
                <w:b/>
              </w:rPr>
              <w:t>LIST OF EXHIBITS:</w:t>
            </w:r>
            <w:r>
              <w:rPr/>
              <w:t xml:space="preserve"> </w:t>
            </w:r>
            <w:r>
              <w:rPr>
                <w:i/>
              </w:rPr>
              <w:t>List below all exhibits filed as a part of this statement of eligibility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283"/>
              <w:jc w:val="both"/>
              <w:rPr/>
            </w:pPr>
            <w:r>
              <w:rPr/>
              <w:t>A copy of the Articles of Association of the Trustee, attached as Exhibit 1.</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both"/>
              <w:rPr/>
            </w:pPr>
            <w:r>
              <w:rPr/>
              <w:t>A copy of the certificate of authority of the Trustee to commence business, attached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283"/>
              <w:jc w:val="both"/>
              <w:rPr/>
            </w:pPr>
            <w:r>
              <w:rP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380" w:type="dxa"/>
            <w:tcBorders/>
            <w:vAlign w:val="center"/>
          </w:tcPr>
          <w:p>
            <w:pPr>
              <w:pStyle w:val="TableContents"/>
              <w:bidi w:val="0"/>
              <w:spacing w:before="0" w:after="283"/>
              <w:jc w:val="left"/>
              <w:rPr/>
            </w:pPr>
            <w:r>
              <w:rP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283"/>
              <w:jc w:val="left"/>
              <w:rPr/>
            </w:pPr>
            <w:r>
              <w:rP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283"/>
              <w:jc w:val="left"/>
              <w:rPr/>
            </w:pPr>
            <w:r>
              <w:rP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7.</w:t>
            </w:r>
          </w:p>
        </w:tc>
        <w:tc>
          <w:tcPr>
            <w:tcW w:w="9992" w:type="dxa"/>
            <w:tcBorders/>
            <w:vAlign w:val="center"/>
          </w:tcPr>
          <w:p>
            <w:pPr>
              <w:pStyle w:val="TableContents"/>
              <w:bidi w:val="0"/>
              <w:spacing w:before="0" w:after="283"/>
              <w:jc w:val="left"/>
              <w:rPr/>
            </w:pPr>
            <w:r>
              <w:rPr/>
              <w:t>Report of Condition of the Trustee as of March 31,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of August, 2026.</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320"/>
        <w:gridCol w:w="21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pPr>
      <w:r>
        <w:rPr/>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4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7085"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4" w:type="dxa"/>
            <w:tcBorders/>
            <w:vAlign w:val="center"/>
          </w:tcPr>
          <w:p>
            <w:pPr>
              <w:pStyle w:val="TableContents"/>
              <w:bidi w:val="0"/>
              <w:spacing w:before="0" w:after="283"/>
              <w:jc w:val="both"/>
              <w:rPr/>
            </w:pPr>
            <w:r>
              <w:rP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(4)</w:t>
            </w:r>
          </w:p>
        </w:tc>
        <w:tc>
          <w:tcPr>
            <w:tcW w:w="3080"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4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(5)</w:t>
            </w:r>
          </w:p>
        </w:tc>
        <w:tc>
          <w:tcPr>
            <w:tcW w:w="6995"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24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(6)</w:t>
            </w:r>
          </w:p>
        </w:tc>
        <w:tc>
          <w:tcPr>
            <w:tcW w:w="9020" w:type="dxa"/>
            <w:tcBorders/>
            <w:vAlign w:val="center"/>
          </w:tcPr>
          <w:p>
            <w:pPr>
              <w:pStyle w:val="TableContents"/>
              <w:bidi w:val="0"/>
              <w:spacing w:before="0" w:after="283"/>
              <w:jc w:val="both"/>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(7)</w:t>
            </w:r>
          </w:p>
        </w:tc>
        <w:tc>
          <w:tcPr>
            <w:tcW w:w="9967" w:type="dxa"/>
            <w:tcBorders/>
            <w:vAlign w:val="center"/>
          </w:tcPr>
          <w:p>
            <w:pPr>
              <w:pStyle w:val="TableContents"/>
              <w:bidi w:val="0"/>
              <w:spacing w:before="0" w:after="283"/>
              <w:jc w:val="both"/>
              <w:rPr/>
            </w:pPr>
            <w:r>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4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(8)</w:t>
            </w:r>
          </w:p>
        </w:tc>
        <w:tc>
          <w:tcPr>
            <w:tcW w:w="6320"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(9)</w:t>
            </w:r>
          </w:p>
        </w:tc>
        <w:tc>
          <w:tcPr>
            <w:tcW w:w="9942" w:type="dxa"/>
            <w:tcBorders/>
            <w:vAlign w:val="center"/>
          </w:tcPr>
          <w:p>
            <w:pPr>
              <w:pStyle w:val="TableContents"/>
              <w:bidi w:val="0"/>
              <w:spacing w:before="0" w:after="283"/>
              <w:jc w:val="left"/>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20"/>
              </w:rPr>
            </w:pPr>
            <w:r>
              <w:rPr>
                <w:sz w:val="20"/>
              </w:rPr>
              <w:t>(10)</w:t>
            </w:r>
          </w:p>
        </w:tc>
        <w:tc>
          <w:tcPr>
            <w:tcW w:w="9833" w:type="dxa"/>
            <w:tcBorders/>
            <w:vAlign w:val="center"/>
          </w:tcPr>
          <w:p>
            <w:pPr>
              <w:pStyle w:val="TableContents"/>
              <w:bidi w:val="0"/>
              <w:spacing w:before="0" w:after="283"/>
              <w:jc w:val="left"/>
              <w:rPr/>
            </w:pPr>
            <w:r>
              <w:rP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5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(11)</w:t>
            </w:r>
          </w:p>
        </w:tc>
        <w:tc>
          <w:tcPr>
            <w:tcW w:w="1535"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35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(12)</w:t>
            </w:r>
          </w:p>
        </w:tc>
        <w:tc>
          <w:tcPr>
            <w:tcW w:w="7070"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we have hereunto set our hands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8" w:space="0" w:color="000000"/>
            </w:tcBorders>
            <w:vAlign w:val="center"/>
          </w:tcPr>
          <w:p>
            <w:pPr>
              <w:pStyle w:val="TableContents"/>
              <w:bidi w:val="0"/>
              <w:spacing w:before="0" w:after="283"/>
              <w:jc w:val="left"/>
              <w:rPr/>
            </w:pPr>
            <w:r>
              <w:rPr/>
              <w:t>/s/ Jeffrey T. Grubb</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Jeffrey T. Grubb</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bottom w:val="single" w:sz="8" w:space="0" w:color="000000"/>
            </w:tcBorders>
            <w:vAlign w:val="center"/>
          </w:tcPr>
          <w:p>
            <w:pPr>
              <w:pStyle w:val="TableContents"/>
              <w:bidi w:val="0"/>
              <w:spacing w:before="0" w:after="283"/>
              <w:jc w:val="left"/>
              <w:rPr/>
            </w:pPr>
            <w:r>
              <w:rPr/>
              <w:t>/s/ Robert D. Sznewajs</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Robert D. Sznewajs</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bottom w:val="single" w:sz="8" w:space="0" w:color="000000"/>
            </w:tcBorders>
            <w:vAlign w:val="center"/>
          </w:tcPr>
          <w:p>
            <w:pPr>
              <w:pStyle w:val="TableContents"/>
              <w:bidi w:val="0"/>
              <w:spacing w:before="0" w:after="283"/>
              <w:jc w:val="left"/>
              <w:rPr/>
            </w:pPr>
            <w:r>
              <w:rPr/>
              <w:t>/s/ Dwight V. Board</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Dwight V. Board</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bottom w:val="single" w:sz="8" w:space="0" w:color="000000"/>
            </w:tcBorders>
            <w:vAlign w:val="center"/>
          </w:tcPr>
          <w:p>
            <w:pPr>
              <w:pStyle w:val="TableContents"/>
              <w:bidi w:val="0"/>
              <w:spacing w:before="0" w:after="283"/>
              <w:jc w:val="left"/>
              <w:rPr/>
            </w:pPr>
            <w:r>
              <w:rPr/>
              <w:t>/s/ P. K. Chatterjee</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P. K. Chatterjee</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bottom w:val="single" w:sz="8" w:space="0" w:color="000000"/>
            </w:tcBorders>
            <w:vAlign w:val="center"/>
          </w:tcPr>
          <w:p>
            <w:pPr>
              <w:pStyle w:val="TableContents"/>
              <w:bidi w:val="0"/>
              <w:spacing w:before="0" w:after="283"/>
              <w:jc w:val="left"/>
              <w:rPr/>
            </w:pPr>
            <w:r>
              <w:rPr/>
              <w:t>/s/ Robert Lane</w:t>
            </w:r>
          </w:p>
        </w:tc>
        <w:tc>
          <w:tcPr>
            <w:tcW w:w="75" w:type="dxa"/>
            <w:tcBorders/>
            <w:tcMar>
              <w:bottom w:w="0" w:type="dxa"/>
            </w:tcMar>
            <w:vAlign w:val="center"/>
          </w:tcPr>
          <w:p>
            <w:pPr>
              <w:pStyle w:val="TableContents"/>
              <w:bidi w:val="0"/>
              <w:spacing w:before="0" w:after="283"/>
              <w:jc w:val="both"/>
              <w:rPr/>
            </w:pPr>
            <w:r>
              <w:rPr/>
              <w:t> </w:t>
            </w:r>
          </w:p>
        </w:tc>
      </w:tr>
      <w:tr>
        <w:trPr/>
        <w:tc>
          <w:tcPr>
            <w:tcW w:w="2210" w:type="dxa"/>
            <w:tcBorders/>
            <w:tcMar>
              <w:bottom w:w="0" w:type="dxa"/>
            </w:tcMar>
            <w:vAlign w:val="center"/>
          </w:tcPr>
          <w:p>
            <w:pPr>
              <w:pStyle w:val="TableContents"/>
              <w:bidi w:val="0"/>
              <w:spacing w:before="0" w:after="283"/>
              <w:jc w:val="left"/>
              <w:rPr/>
            </w:pPr>
            <w:r>
              <w:rPr/>
              <w:t>Robert Lane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53200" cy="8220075"/>
            <wp:effectExtent l="0" t="0" r="0" b="0"/>
            <wp:docPr id="1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 descr=""/>
                    <pic:cNvPicPr>
                      <a:picLocks noChangeAspect="1" noChangeArrowheads="1"/>
                    </pic:cNvPicPr>
                  </pic:nvPicPr>
                  <pic:blipFill>
                    <a:blip r:embed="rId36"/>
                    <a:stretch>
                      <a:fillRect/>
                    </a:stretch>
                  </pic:blipFill>
                  <pic:spPr bwMode="auto">
                    <a:xfrm>
                      <a:off x="0" y="0"/>
                      <a:ext cx="6553200" cy="822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320"/>
        <w:gridCol w:w="21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 of Financial Condition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3/31/2026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($000’s)</w:t>
      </w:r>
      <w:r>
        <w:rPr>
          <w:rFonts w:ascii="Times New Roman;Times;Serif" w:hAnsi="Times New Roman;Times;Serif"/>
          <w:b w:val="false"/>
          <w:i w:val="false"/>
          <w:caps w:val="false"/>
          <w:smallCaps w:val="false"/>
          <w:sz w:val="20"/>
        </w:rPr>
        <w:t> </w:t>
      </w:r>
    </w:p>
    <w:tbl>
      <w:tblPr>
        <w:tblW w:w="4200" w:type="dxa"/>
        <w:jc w:val="left"/>
        <w:tblInd w:w="0" w:type="dxa"/>
        <w:tblLayout w:type="fixed"/>
        <w:tblCellMar>
          <w:top w:w="0" w:type="dxa"/>
          <w:left w:w="0" w:type="dxa"/>
          <w:bottom w:w="0" w:type="dxa"/>
          <w:right w:w="0" w:type="dxa"/>
        </w:tblCellMar>
      </w:tblPr>
      <w:tblGrid>
        <w:gridCol w:w="3095"/>
        <w:gridCol w:w="60"/>
        <w:gridCol w:w="125"/>
        <w:gridCol w:w="845"/>
        <w:gridCol w:w="75"/>
      </w:tblGrid>
      <w:tr>
        <w:trPr/>
        <w:tc>
          <w:tcPr>
            <w:tcW w:w="3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3/31/2026</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2,159,991</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Depository Institutions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4,683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Loans&amp; Lease Financing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534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573,596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160,011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2,898,815</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221,704</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845" w:type="dxa"/>
            <w:tcBorders/>
            <w:shd w:fill="CCEEFF" w:val="clear"/>
            <w:vAlign w:val="center"/>
          </w:tcPr>
          <w:p>
            <w:pPr>
              <w:pStyle w:val="TableContents"/>
              <w:bidi w:val="0"/>
              <w:spacing w:before="0" w:after="283"/>
              <w:jc w:val="right"/>
              <w:rPr>
                <w:b/>
                <w:sz w:val="20"/>
              </w:rPr>
            </w:pPr>
            <w:r>
              <w:rPr>
                <w:b/>
                <w:sz w:val="20"/>
              </w:rPr>
              <w:t>221,704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200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1,171,635</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1,505,276</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2,677,111</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2,898,815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tm2620808d1_ex-filingfees.htm"/>
      <w:bookmarkStart w:id="28" w:name="kstm2620808d1_exfilingfees"/>
      <w:bookmarkStart w:id="29" w:name="tm2620808d1_ex-filingfees.htm"/>
      <w:bookmarkStart w:id="30" w:name="kstm2620808d1_exfilingfees"/>
      <w:bookmarkEnd w:id="29"/>
      <w:bookmarkEnd w:id="30"/>
      <w:r>
        <w:br w:type="page"/>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8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b/>
              </w:rPr>
            </w:pPr>
            <w:r>
              <w:rPr>
                <w:b/>
              </w:rPr>
              <w:t xml:space="preserve">SKYWORKS SOLUTIONS,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1" w:name="MaxAggtOfferingPrice"/>
            <w:bookmarkEnd w:id="31"/>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An indeterminate amount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In accordance with Rules 456(b) and 457(r) under the Securities Act, the registrant is deferring payment of all registration fees and will pay the registration fees subsequently in advance or on a "pay-as-you-go" basis.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127/000000412725000085/swks-20251003.htm" TargetMode="External"/><Relationship Id="rId3" Type="http://schemas.openxmlformats.org/officeDocument/2006/relationships/hyperlink" Target="https://www.sec.gov/ix?doc=/Archives/edgar/data/4127/000000412726000008/swks-20260102.htm" TargetMode="External"/><Relationship Id="rId4" Type="http://schemas.openxmlformats.org/officeDocument/2006/relationships/hyperlink" Target="https://www.sec.gov/ix?doc=/Archives/edgar/data/4127/000000412726000015/swks-20260403.htm" TargetMode="External"/><Relationship Id="rId5" Type="http://schemas.openxmlformats.org/officeDocument/2006/relationships/hyperlink" Target="https://www.sec.gov/ix?doc=/Archives/edgar/data/4127/000000412726000049/swks-20260703.htm" TargetMode="External"/><Relationship Id="rId6" Type="http://schemas.openxmlformats.org/officeDocument/2006/relationships/hyperlink" Target="https://www.sec.gov/ix?doc=/Archives/edgar/data/4127/000000412725000085/swks-20251003.htm" TargetMode="External"/><Relationship Id="rId7" Type="http://schemas.openxmlformats.org/officeDocument/2006/relationships/hyperlink" Target="https://www.sec.gov/ix?doc=/Archives/edgar/data/4127/000000412726000003/swks-20251003.htm" TargetMode="External"/><Relationship Id="rId8" Type="http://schemas.openxmlformats.org/officeDocument/2006/relationships/hyperlink" Target="https://www.sec.gov/ix?doc=/Archives/edgar/data/4127/000000412726000008/swks-20260102.htm" TargetMode="External"/><Relationship Id="rId9" Type="http://schemas.openxmlformats.org/officeDocument/2006/relationships/hyperlink" Target="https://www.sec.gov/ix?doc=/Archives/edgar/data/4127/000000412726000015/swks-20260403.htm" TargetMode="External"/><Relationship Id="rId10" Type="http://schemas.openxmlformats.org/officeDocument/2006/relationships/hyperlink" Target="https://www.sec.gov/ix?doc=/Archives/edgar/data/4127/000000412726000049/swks-20260703.htm" TargetMode="External"/><Relationship Id="rId11" Type="http://schemas.openxmlformats.org/officeDocument/2006/relationships/hyperlink" Target="https://www.sec.gov/ix?doc=/Archives/edgar/data/4127/000110465925102806/tm2529220d2_8k.htm" TargetMode="External"/><Relationship Id="rId12" Type="http://schemas.openxmlformats.org/officeDocument/2006/relationships/hyperlink" Target="https://www.sec.gov/ix?doc=/Archives/edgar/data/4127/000110465925102814/tm2529602d1_8k.htm" TargetMode="External"/><Relationship Id="rId13" Type="http://schemas.openxmlformats.org/officeDocument/2006/relationships/hyperlink" Target="https://www.sec.gov/ix?doc=/Archives/edgar/data/4127/000000412725000088/swks-20251111.htm" TargetMode="External"/><Relationship Id="rId14" Type="http://schemas.openxmlformats.org/officeDocument/2006/relationships/hyperlink" Target="https://www.sec.gov/ix?doc=/Archives/edgar/data/4127/000000412725000090/swks-20251118.htm" TargetMode="External"/><Relationship Id="rId15" Type="http://schemas.openxmlformats.org/officeDocument/2006/relationships/hyperlink" Target="https://www.sec.gov/ix?doc=/Archives/edgar/data/4127/000000412725000092/swks-20251211.htm" TargetMode="External"/><Relationship Id="rId16" Type="http://schemas.openxmlformats.org/officeDocument/2006/relationships/hyperlink" Target="https://www.sec.gov/ix?doc=/Archives/edgar/data/4127/000110465926008644/tm264402d1_8k.htm" TargetMode="External"/><Relationship Id="rId17" Type="http://schemas.openxmlformats.org/officeDocument/2006/relationships/hyperlink" Target="https://www.sec.gov/ix?doc=/Archives/edgar/data/4127/000000412726000005/swks-20260203.htm" TargetMode="External"/><Relationship Id="rId18" Type="http://schemas.openxmlformats.org/officeDocument/2006/relationships/hyperlink" Target="https://www.sec.gov/ix?doc=/Archives/edgar/data/4127/000110465926013519/tm265879d1_8k.htm" TargetMode="External"/><Relationship Id="rId19" Type="http://schemas.openxmlformats.org/officeDocument/2006/relationships/hyperlink" Target="https://www.sec.gov/ix?doc=/Archives/edgar/data/4127/000000412726000014/swks-20260505.htm" TargetMode="External"/><Relationship Id="rId20" Type="http://schemas.openxmlformats.org/officeDocument/2006/relationships/hyperlink" Target="https://www.sec.gov/ix?doc=/Archives/edgar/data/4127/000000412726000031/swks-20260513.htm" TargetMode="External"/><Relationship Id="rId21" Type="http://schemas.openxmlformats.org/officeDocument/2006/relationships/hyperlink" Target="https://www.sec.gov/ix?doc=/Archives/edgar/data/4127/000110465926064574/tm2614811d2_8k.htm" TargetMode="External"/><Relationship Id="rId22" Type="http://schemas.openxmlformats.org/officeDocument/2006/relationships/hyperlink" Target="https://www.sec.gov/ix?doc=/Archives/edgar/data/4127/000110465926064624/tm2615189d1_8k.htm" TargetMode="External"/><Relationship Id="rId23" Type="http://schemas.openxmlformats.org/officeDocument/2006/relationships/hyperlink" Target="https://www.sec.gov/ix?doc=/Archives/edgar/data/4127/000110465926073096/tm2613769d1_8k.htm" TargetMode="External"/><Relationship Id="rId24" Type="http://schemas.openxmlformats.org/officeDocument/2006/relationships/hyperlink" Target="https://www.sec.gov/ix?doc=/Archives/edgar/data/4127/000000412726000045/swks-20260728.htm" TargetMode="External"/><Relationship Id="rId25" Type="http://schemas.openxmlformats.org/officeDocument/2006/relationships/hyperlink" Target="https://www.sec.gov/ix?doc=/Archives/edgar/data/4127/000000412726000047/swks-20260727.htm" TargetMode="External"/><Relationship Id="rId26" Type="http://schemas.openxmlformats.org/officeDocument/2006/relationships/hyperlink" Target="https://www.sec.gov/ix?doc=/Archives/edgar/data/4127/000110465926089381/tm2620808d3_8k.htm" TargetMode="External"/><Relationship Id="rId27" Type="http://schemas.openxmlformats.org/officeDocument/2006/relationships/hyperlink" Target="https://www.sec.gov/ix?doc=/Archives/edgar/data/4127/000110465926089397/tm2621905d1_8k.htm" TargetMode="External"/><Relationship Id="rId28" Type="http://schemas.openxmlformats.org/officeDocument/2006/relationships/hyperlink" Target="https://www.sec.gov/Archives/edgar/data/4127/000000412719000049/fy1910k92719ex42.htm" TargetMode="External"/><Relationship Id="rId29" Type="http://schemas.openxmlformats.org/officeDocument/2006/relationships/hyperlink" Target="https://www.sec.gov/ix?doc=/Archives/edgar/data/4127/000000412725000085/swks-20251003.htm" TargetMode="External"/><Relationship Id="rId30" Type="http://schemas.openxmlformats.org/officeDocument/2006/relationships/hyperlink" Target="https://www.sec.gov/ix?doc=/Archives/edgar/data/4127/000000412726000008/swks-20260102.htm" TargetMode="External"/><Relationship Id="rId31" Type="http://schemas.openxmlformats.org/officeDocument/2006/relationships/hyperlink" Target="https://www.sec.gov/ix?doc=/Archives/edgar/data/4127/000000412726000015/swks-20260403.htm" TargetMode="External"/><Relationship Id="rId32" Type="http://schemas.openxmlformats.org/officeDocument/2006/relationships/hyperlink" Target="https://www.sec.gov/ix?doc=/Archives/edgar/data/4127/000000412726000049/swks-20260703.htm" TargetMode="External"/><Relationship Id="rId33" Type="http://schemas.openxmlformats.org/officeDocument/2006/relationships/hyperlink" Target="https://www.sec.gov/ix?doc=/Archives/edgar/data/4127/000110465926064574/tm2614811d2_8k.htm" TargetMode="External"/><Relationship Id="rId34" Type="http://schemas.openxmlformats.org/officeDocument/2006/relationships/hyperlink" Target="https://www.sec.gov/Archives/edgar/data/4127/000000412725000085/exhibit31-restatedcertific.htm" TargetMode="External"/><Relationship Id="rId35" Type="http://schemas.openxmlformats.org/officeDocument/2006/relationships/hyperlink" Target="https://www.sec.gov/Archives/edgar/data/4127/000000412723000016/exhibit31fourthamendmentan.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56484</Words>
  <Characters>287461</Characters>
  <CharactersWithSpaces>348520</CharactersWithSpaces>
  <Paragraphs>3606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